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32"/>
        <w:gridCol w:w="7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center"/>
          </w:tcPr>
          <w:p>
            <w:pPr>
              <w:adjustRightInd w:val="0"/>
              <w:snapToGrid w:val="0"/>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232" w:type="dxa"/>
            <w:noWrap w:val="0"/>
            <w:vAlign w:val="center"/>
          </w:tcPr>
          <w:p>
            <w:pPr>
              <w:adjustRightInd w:val="0"/>
              <w:snapToGrid w:val="0"/>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产品名称</w:t>
            </w:r>
          </w:p>
        </w:tc>
        <w:tc>
          <w:tcPr>
            <w:tcW w:w="7191" w:type="dxa"/>
            <w:noWrap w:val="0"/>
            <w:vAlign w:val="center"/>
          </w:tcPr>
          <w:p>
            <w:pPr>
              <w:adjustRightInd w:val="0"/>
              <w:snapToGrid w:val="0"/>
              <w:spacing w:line="360" w:lineRule="auto"/>
              <w:jc w:val="center"/>
              <w:rPr>
                <w:rFonts w:hint="eastAsia" w:ascii="宋体" w:hAnsi="宋体" w:eastAsia="宋体" w:cs="宋体"/>
                <w:b w:val="0"/>
                <w:bCs w:val="0"/>
                <w:color w:val="auto"/>
                <w:kern w:val="2"/>
                <w:sz w:val="21"/>
                <w:szCs w:val="21"/>
                <w:highlight w:val="none"/>
                <w:lang w:val="en-US" w:eastAsia="zh-Hans" w:bidi="ar-SA"/>
              </w:rPr>
            </w:pPr>
            <w:r>
              <w:rPr>
                <w:rFonts w:hint="eastAsia" w:ascii="宋体" w:hAnsi="宋体" w:eastAsia="宋体" w:cs="宋体"/>
                <w:b/>
                <w:bCs/>
                <w:color w:val="auto"/>
                <w:sz w:val="21"/>
                <w:szCs w:val="21"/>
                <w:highlight w:val="none"/>
                <w:lang w:eastAsia="zh-Hans"/>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1" w:hRule="atLeast"/>
        </w:trPr>
        <w:tc>
          <w:tcPr>
            <w:tcW w:w="691"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rPr>
            </w:pPr>
            <w:r>
              <w:rPr>
                <w:rFonts w:hint="eastAsia" w:ascii="宋体" w:hAnsi="宋体" w:cs="宋体"/>
                <w:b w:val="0"/>
                <w:bCs w:val="0"/>
                <w:i w:val="0"/>
                <w:iCs w:val="0"/>
                <w:color w:val="auto"/>
                <w:kern w:val="0"/>
                <w:sz w:val="21"/>
                <w:szCs w:val="21"/>
                <w:u w:val="none"/>
                <w:lang w:val="en-US" w:eastAsia="zh-CN" w:bidi="ar"/>
              </w:rPr>
              <w:t>1</w:t>
            </w:r>
          </w:p>
        </w:tc>
        <w:tc>
          <w:tcPr>
            <w:tcW w:w="1232"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低速离心机</w:t>
            </w:r>
          </w:p>
        </w:tc>
        <w:tc>
          <w:tcPr>
            <w:tcW w:w="7191" w:type="dxa"/>
            <w:noWrap w:val="0"/>
            <w:vAlign w:val="center"/>
          </w:tcPr>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lang w:val="en-US" w:eastAsia="zh-CN"/>
              </w:rPr>
            </w:pPr>
            <w:r>
              <w:rPr>
                <w:rFonts w:hint="eastAsia"/>
                <w:lang w:val="en-US" w:eastAsia="zh-CN"/>
              </w:rPr>
              <w:t>1.可</w:t>
            </w:r>
            <w:r>
              <w:rPr>
                <w:rFonts w:hint="eastAsia" w:ascii="宋体" w:hAnsi="宋体" w:eastAsia="宋体" w:cs="宋体"/>
                <w:b w:val="0"/>
                <w:bCs w:val="0"/>
                <w:color w:val="auto"/>
                <w:kern w:val="0"/>
                <w:sz w:val="21"/>
                <w:szCs w:val="21"/>
                <w:highlight w:val="none"/>
                <w:lang w:val="en-US" w:eastAsia="zh-CN"/>
              </w:rPr>
              <w:t>适用20ml/10ml注射器直接分离，也</w:t>
            </w:r>
            <w:r>
              <w:rPr>
                <w:rFonts w:hint="eastAsia" w:ascii="宋体" w:hAnsi="宋体" w:eastAsia="宋体" w:cs="宋体"/>
                <w:b w:val="0"/>
                <w:bCs w:val="0"/>
                <w:color w:val="auto"/>
                <w:kern w:val="0"/>
                <w:sz w:val="21"/>
                <w:szCs w:val="21"/>
                <w:highlight w:val="none"/>
              </w:rPr>
              <w:t>可</w:t>
            </w:r>
            <w:r>
              <w:rPr>
                <w:rFonts w:hint="eastAsia" w:ascii="宋体" w:hAnsi="宋体" w:eastAsia="宋体" w:cs="宋体"/>
                <w:b w:val="0"/>
                <w:bCs w:val="0"/>
                <w:color w:val="auto"/>
                <w:kern w:val="0"/>
                <w:sz w:val="21"/>
                <w:szCs w:val="21"/>
                <w:highlight w:val="none"/>
                <w:lang w:val="en-US" w:eastAsia="zh-CN"/>
              </w:rPr>
              <w:t>分离</w:t>
            </w:r>
            <w:r>
              <w:rPr>
                <w:rFonts w:hint="eastAsia" w:ascii="宋体" w:hAnsi="宋体" w:eastAsia="宋体" w:cs="宋体"/>
                <w:b w:val="0"/>
                <w:bCs w:val="0"/>
                <w:color w:val="auto"/>
                <w:kern w:val="0"/>
                <w:sz w:val="21"/>
                <w:szCs w:val="21"/>
                <w:highlight w:val="none"/>
              </w:rPr>
              <w:t>PR</w:t>
            </w:r>
            <w:r>
              <w:rPr>
                <w:rFonts w:hint="eastAsia" w:ascii="宋体" w:hAnsi="宋体" w:eastAsia="宋体" w:cs="宋体"/>
                <w:b w:val="0"/>
                <w:bCs w:val="0"/>
                <w:color w:val="auto"/>
                <w:kern w:val="0"/>
                <w:sz w:val="21"/>
                <w:szCs w:val="21"/>
                <w:highlight w:val="none"/>
                <w:lang w:val="en-US" w:eastAsia="zh-CN"/>
              </w:rPr>
              <w:t>管；</w:t>
            </w:r>
          </w:p>
          <w:p>
            <w:pPr>
              <w:tabs>
                <w:tab w:val="left" w:pos="2774"/>
              </w:tabs>
              <w:snapToGrid/>
              <w:spacing w:before="0" w:beforeAutospacing="0" w:after="0" w:afterAutospacing="0" w:line="240" w:lineRule="auto"/>
              <w:jc w:val="left"/>
              <w:textAlignment w:val="baseline"/>
              <w:rPr>
                <w:rFonts w:hint="eastAsia" w:ascii="宋体" w:hAnsi="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充分</w:t>
            </w:r>
            <w:r>
              <w:rPr>
                <w:rFonts w:hint="eastAsia" w:ascii="宋体" w:hAnsi="宋体" w:eastAsia="宋体" w:cs="宋体"/>
                <w:b w:val="0"/>
                <w:bCs w:val="0"/>
                <w:color w:val="auto"/>
                <w:kern w:val="0"/>
                <w:sz w:val="21"/>
                <w:szCs w:val="21"/>
                <w:highlight w:val="none"/>
                <w:lang w:eastAsia="zh-CN"/>
              </w:rPr>
              <w:t>释</w:t>
            </w:r>
            <w:r>
              <w:rPr>
                <w:rFonts w:hint="eastAsia" w:ascii="宋体" w:hAnsi="宋体" w:eastAsia="宋体" w:cs="宋体"/>
                <w:b w:val="0"/>
                <w:bCs w:val="0"/>
                <w:color w:val="auto"/>
                <w:kern w:val="0"/>
                <w:sz w:val="21"/>
                <w:szCs w:val="21"/>
                <w:highlight w:val="none"/>
              </w:rPr>
              <w:t>放PRP的功效，提高PRP的有效提取率</w:t>
            </w:r>
            <w:r>
              <w:rPr>
                <w:rFonts w:hint="eastAsia" w:ascii="宋体" w:hAnsi="宋体" w:cs="宋体"/>
                <w:b w:val="0"/>
                <w:bCs w:val="0"/>
                <w:color w:val="auto"/>
                <w:kern w:val="0"/>
                <w:sz w:val="21"/>
                <w:szCs w:val="21"/>
                <w:highlight w:val="none"/>
                <w:lang w:eastAsia="zh-CN"/>
              </w:rPr>
              <w:t>。</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通过ISO9001质量体系认证</w:t>
            </w:r>
            <w:r>
              <w:rPr>
                <w:rFonts w:hint="eastAsia" w:ascii="宋体" w:hAnsi="宋体" w:eastAsia="宋体" w:cs="宋体"/>
                <w:b w:val="0"/>
                <w:bCs w:val="0"/>
                <w:color w:val="auto"/>
                <w:kern w:val="0"/>
                <w:sz w:val="21"/>
                <w:szCs w:val="21"/>
                <w:highlight w:val="none"/>
                <w:lang w:eastAsia="zh-CN"/>
              </w:rPr>
              <w:t>；</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最高转速</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00r/min</w:t>
            </w:r>
            <w:r>
              <w:rPr>
                <w:rFonts w:hint="eastAsia" w:ascii="宋体" w:hAnsi="宋体" w:eastAsia="宋体" w:cs="宋体"/>
                <w:b w:val="0"/>
                <w:bCs w:val="0"/>
                <w:color w:val="auto"/>
                <w:kern w:val="0"/>
                <w:sz w:val="21"/>
                <w:szCs w:val="21"/>
                <w:highlight w:val="none"/>
                <w:lang w:eastAsia="zh-CN"/>
              </w:rPr>
              <w:t>；</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最大相对离心力</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kern w:val="0"/>
                <w:sz w:val="21"/>
                <w:szCs w:val="21"/>
                <w:highlight w:val="none"/>
                <w:lang w:val="en-US" w:eastAsia="zh-CN"/>
              </w:rPr>
              <w:t>20</w:t>
            </w:r>
            <w:r>
              <w:rPr>
                <w:rFonts w:hint="eastAsia" w:ascii="宋体" w:hAnsi="宋体" w:eastAsia="宋体" w:cs="宋体"/>
                <w:b w:val="0"/>
                <w:bCs w:val="0"/>
                <w:color w:val="auto"/>
                <w:kern w:val="0"/>
                <w:sz w:val="21"/>
                <w:szCs w:val="21"/>
                <w:highlight w:val="none"/>
              </w:rPr>
              <w:t>0×g</w:t>
            </w:r>
            <w:r>
              <w:rPr>
                <w:rFonts w:hint="eastAsia" w:ascii="宋体" w:hAnsi="宋体" w:eastAsia="宋体" w:cs="宋体"/>
                <w:b w:val="0"/>
                <w:bCs w:val="0"/>
                <w:color w:val="auto"/>
                <w:kern w:val="0"/>
                <w:sz w:val="21"/>
                <w:szCs w:val="21"/>
                <w:highlight w:val="none"/>
                <w:lang w:eastAsia="zh-CN"/>
              </w:rPr>
              <w:t>；</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最大容量</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4×20ml(水平转子</w:t>
            </w:r>
            <w:r>
              <w:rPr>
                <w:rFonts w:hint="eastAsia" w:ascii="宋体" w:hAnsi="宋体" w:eastAsia="宋体" w:cs="宋体"/>
                <w:b w:val="0"/>
                <w:bCs w:val="0"/>
                <w:color w:val="auto"/>
                <w:kern w:val="0"/>
                <w:sz w:val="21"/>
                <w:szCs w:val="21"/>
                <w:highlight w:val="none"/>
                <w:lang w:eastAsia="zh-CN"/>
              </w:rPr>
              <w:t>）；</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转速精度</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0r/min</w:t>
            </w:r>
            <w:r>
              <w:rPr>
                <w:rFonts w:hint="eastAsia" w:ascii="宋体" w:hAnsi="宋体" w:eastAsia="宋体" w:cs="宋体"/>
                <w:b w:val="0"/>
                <w:bCs w:val="0"/>
                <w:color w:val="auto"/>
                <w:kern w:val="0"/>
                <w:sz w:val="21"/>
                <w:szCs w:val="21"/>
                <w:highlight w:val="none"/>
                <w:lang w:eastAsia="zh-CN"/>
              </w:rPr>
              <w:t>；</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定时范围</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0~99min</w:t>
            </w:r>
            <w:r>
              <w:rPr>
                <w:rFonts w:hint="eastAsia" w:ascii="宋体" w:hAnsi="宋体" w:eastAsia="宋体" w:cs="宋体"/>
                <w:b w:val="0"/>
                <w:bCs w:val="0"/>
                <w:color w:val="auto"/>
                <w:kern w:val="0"/>
                <w:sz w:val="21"/>
                <w:szCs w:val="21"/>
                <w:highlight w:val="none"/>
                <w:lang w:eastAsia="zh-CN"/>
              </w:rPr>
              <w:t>；</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rPr>
              <w:t>电机</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微机控制、变频电机</w:t>
            </w:r>
            <w:r>
              <w:rPr>
                <w:rFonts w:hint="eastAsia" w:ascii="宋体" w:hAnsi="宋体" w:eastAsia="宋体" w:cs="宋体"/>
                <w:b w:val="0"/>
                <w:bCs w:val="0"/>
                <w:color w:val="auto"/>
                <w:kern w:val="0"/>
                <w:sz w:val="21"/>
                <w:szCs w:val="21"/>
                <w:highlight w:val="none"/>
                <w:lang w:eastAsia="zh-CN"/>
              </w:rPr>
              <w:t>；</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噪声</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0dB(A)</w:t>
            </w:r>
            <w:r>
              <w:rPr>
                <w:rFonts w:hint="eastAsia" w:ascii="宋体" w:hAnsi="宋体" w:eastAsia="宋体" w:cs="宋体"/>
                <w:b w:val="0"/>
                <w:bCs w:val="0"/>
                <w:color w:val="auto"/>
                <w:kern w:val="0"/>
                <w:sz w:val="21"/>
                <w:szCs w:val="21"/>
                <w:highlight w:val="none"/>
                <w:lang w:eastAsia="zh-CN"/>
              </w:rPr>
              <w:t>；</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11.</w:t>
            </w:r>
            <w:r>
              <w:rPr>
                <w:rFonts w:hint="eastAsia" w:ascii="宋体" w:hAnsi="宋体" w:eastAsia="宋体" w:cs="宋体"/>
                <w:b w:val="0"/>
                <w:bCs w:val="0"/>
                <w:color w:val="auto"/>
                <w:kern w:val="0"/>
                <w:sz w:val="21"/>
                <w:szCs w:val="21"/>
                <w:highlight w:val="none"/>
              </w:rPr>
              <w:t>电源</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AC220v 50Hz-60Hz 5A</w:t>
            </w:r>
            <w:r>
              <w:rPr>
                <w:rFonts w:hint="eastAsia" w:ascii="宋体" w:hAnsi="宋体" w:eastAsia="宋体" w:cs="宋体"/>
                <w:b w:val="0"/>
                <w:bCs w:val="0"/>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2</w:t>
            </w:r>
          </w:p>
        </w:tc>
        <w:tc>
          <w:tcPr>
            <w:tcW w:w="1232"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体外膈肌起博器</w:t>
            </w:r>
          </w:p>
        </w:tc>
        <w:tc>
          <w:tcPr>
            <w:tcW w:w="7191" w:type="dxa"/>
            <w:noWrap w:val="0"/>
            <w:vAlign w:val="center"/>
          </w:tcPr>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1.脉冲频率：可调单频，30Hz、35 Hz、40 Hz、45 Hz、50Hz，可选择，默认标准状态40Hz；</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2.脉冲宽度：200us；</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3.起搏次数：5、6、7、8、9、10、11、12、13、14、15次/分钟，可选择，默认标准状态9次/分钟；</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4.刺激强度（输出脉冲幅度）：0～30单位（0-27V），可调节；</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5.治疗时间：5、10、15、20、25、30、60、120min，可选择，有倒计时功能；</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6.具有贴片位置提示功能；</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.脉冲幅度值：在负载阻抗为500Ω时，输出脉冲幅度不大于30V；</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.电源要求： DC 3.8V（专用锂电池）±10%；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3</w:t>
            </w:r>
          </w:p>
        </w:tc>
        <w:tc>
          <w:tcPr>
            <w:tcW w:w="1232"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电动起立床</w:t>
            </w:r>
          </w:p>
        </w:tc>
        <w:tc>
          <w:tcPr>
            <w:tcW w:w="7191"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1、控制方式：手柄点动控制</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2、床面参考尺寸：1860×830mm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3、床面参考高度：520mm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4、起立角度：0°～85°可调</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5、平均角速度1.25°/S</w:t>
            </w:r>
          </w:p>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6、脚踏板上下调整角度：0°～30°可调（允差±2°）（相对水平向上为正）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4</w:t>
            </w:r>
          </w:p>
        </w:tc>
        <w:tc>
          <w:tcPr>
            <w:tcW w:w="1232"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智能温热牵引系统</w:t>
            </w:r>
          </w:p>
        </w:tc>
        <w:tc>
          <w:tcPr>
            <w:tcW w:w="7191" w:type="dxa"/>
            <w:noWrap w:val="0"/>
            <w:vAlign w:val="center"/>
          </w:tcPr>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1、内置式腰部加热器：安装在牵引床内的碳纤维，柔软耐折，增大使用寿命。温热等级有5级可调。</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2、颈部加热带：采用碳纤丝材料，可根据颈椎曲线自由弯曲，柔软舒适。温热等级有5级可调，温度精准控制。</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3、传动装置：采用力矩电机，柔和牵引。</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、颈椎牵引高度209cm，患者治疗更舒适。</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、训练参数：牵引力：1-99Kg，牵引时间：0-99秒，治疗时间：0-99分</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、牵引模式：主副牵引、连续牵引、间歇牵引</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、输出通道：双通道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5</w:t>
            </w:r>
          </w:p>
        </w:tc>
        <w:tc>
          <w:tcPr>
            <w:tcW w:w="1232"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牵引网架（含床）</w:t>
            </w:r>
          </w:p>
        </w:tc>
        <w:tc>
          <w:tcPr>
            <w:tcW w:w="7191"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1、该设备主要用于肌力、关节活动度、放松调整训练，可进行牵引治疗。</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2、外形尺寸：2030*1275*2060(mm)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3、床面尺寸：2030*1240*45mm</w:t>
            </w:r>
          </w:p>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4、床面和顶网架距离：1520mm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6</w:t>
            </w:r>
          </w:p>
        </w:tc>
        <w:tc>
          <w:tcPr>
            <w:tcW w:w="1232"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平行杠</w:t>
            </w:r>
          </w:p>
        </w:tc>
        <w:tc>
          <w:tcPr>
            <w:tcW w:w="7191"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1、规格：3013*750*（785-1035）(mm)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2、扶手高度六级调节：</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3、扶手间距：562(mm)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4、扶手直径：38(mm)</w:t>
            </w:r>
          </w:p>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5、材质：不锈钢、冷拉钢、环保防滑垫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7</w:t>
            </w:r>
          </w:p>
        </w:tc>
        <w:tc>
          <w:tcPr>
            <w:tcW w:w="1232"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站立架</w:t>
            </w:r>
          </w:p>
        </w:tc>
        <w:tc>
          <w:tcPr>
            <w:tcW w:w="7191"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1、结构形式：台面、肘部垫、臀部垫和绑带、膝部垫、支架</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2、材质：木板、静电喷塑架、凹凸革</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3、肘部垫宽度cm：≥40</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4、肘部垫额定承载质量kg：≥80</w:t>
            </w:r>
          </w:p>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5、臀部垫和绑带额定承载质量kg：≥135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8</w:t>
            </w:r>
          </w:p>
        </w:tc>
        <w:tc>
          <w:tcPr>
            <w:tcW w:w="1232"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股四头肌训练椅</w:t>
            </w:r>
          </w:p>
        </w:tc>
        <w:tc>
          <w:tcPr>
            <w:tcW w:w="7191"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主要用于股四头肌肌力及关节活动度训练。</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3、扶手可调范围：0~235mm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4、靠背前后可调：0~110mm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5、脚控调节套可调范围：0~300mm</w:t>
            </w:r>
          </w:p>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6、支撑杆可调范围：0~100mm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9</w:t>
            </w:r>
          </w:p>
        </w:tc>
        <w:tc>
          <w:tcPr>
            <w:tcW w:w="1232"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移动肋木</w:t>
            </w:r>
          </w:p>
        </w:tc>
        <w:tc>
          <w:tcPr>
            <w:tcW w:w="7191" w:type="dxa"/>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1.规格：约 900×1000×1840(mm)。</w:t>
            </w:r>
          </w:p>
          <w:p>
            <w:pPr>
              <w:rPr>
                <w:rFonts w:hint="eastAsia" w:ascii="宋体" w:hAnsi="宋体" w:eastAsia="宋体" w:cs="宋体"/>
                <w:color w:val="auto"/>
                <w:sz w:val="21"/>
                <w:szCs w:val="21"/>
              </w:rPr>
            </w:pPr>
            <w:r>
              <w:rPr>
                <w:rFonts w:hint="eastAsia" w:ascii="宋体" w:hAnsi="宋体" w:eastAsia="宋体" w:cs="宋体"/>
                <w:color w:val="auto"/>
                <w:sz w:val="21"/>
                <w:szCs w:val="21"/>
              </w:rPr>
              <w:t>2.材质榉木，间隔:160mm。</w:t>
            </w:r>
          </w:p>
          <w:p>
            <w:pPr>
              <w:rPr>
                <w:rFonts w:hint="eastAsia" w:ascii="宋体" w:hAnsi="宋体" w:eastAsia="宋体" w:cs="宋体"/>
                <w:color w:val="auto"/>
                <w:sz w:val="21"/>
                <w:szCs w:val="21"/>
              </w:rPr>
            </w:pPr>
            <w:r>
              <w:rPr>
                <w:rFonts w:hint="eastAsia" w:ascii="宋体" w:hAnsi="宋体" w:eastAsia="宋体" w:cs="宋体"/>
                <w:color w:val="auto"/>
                <w:sz w:val="21"/>
                <w:szCs w:val="21"/>
              </w:rPr>
              <w:t>3.用途：借助肋木杠进行上下肢体关节活动范围和肌力训练、坐站立训</w:t>
            </w:r>
          </w:p>
          <w:p>
            <w:pP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szCs w:val="21"/>
              </w:rPr>
              <w:t>练、平衡训练及躯干的牵伸训练。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10</w:t>
            </w:r>
          </w:p>
        </w:tc>
        <w:tc>
          <w:tcPr>
            <w:tcW w:w="1232"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姿态校正镜</w:t>
            </w:r>
          </w:p>
        </w:tc>
        <w:tc>
          <w:tcPr>
            <w:tcW w:w="7191"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1、规格：776*660*1883(mm)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2、镜面尺寸：1660*600(mm)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3、镜面厚度：5(mm)</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4、材质：优质实木，环保油漆</w:t>
            </w:r>
          </w:p>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5、用途：用于各种姿势矫正训练。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11</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紫外线车</w:t>
            </w:r>
          </w:p>
        </w:tc>
        <w:tc>
          <w:tcPr>
            <w:tcW w:w="7191" w:type="dxa"/>
            <w:noWrap w:val="0"/>
            <w:vAlign w:val="center"/>
          </w:tcPr>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1)环境温度：5~40℃；</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2)相对湿度：80%；</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3)电源：220V±22V  50Hz±1Hz。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12</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指夹式脉搏血氧仪</w:t>
            </w:r>
          </w:p>
        </w:tc>
        <w:tc>
          <w:tcPr>
            <w:tcW w:w="7191"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1、血氧饱和度显示范围：70%-100%。±2%</w:t>
            </w:r>
          </w:p>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2、脉率显示范围：25250BPM,±1%或±1bpm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13</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压缩式雾化器</w:t>
            </w:r>
          </w:p>
        </w:tc>
        <w:tc>
          <w:tcPr>
            <w:tcW w:w="7191"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1、外形尺寸：17.5*17.5*12CM </w:t>
            </w:r>
          </w:p>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2、最大雾化率：≥0.2ML/min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14</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心电监护中央站</w:t>
            </w:r>
          </w:p>
        </w:tc>
        <w:tc>
          <w:tcPr>
            <w:tcW w:w="7191" w:type="dxa"/>
            <w:noWrap w:val="0"/>
            <w:vAlign w:val="center"/>
          </w:tcPr>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1.中心监护系统支持中央站, 工作站, 浏览站, 远程查询系统等多种产品形态互连,满足科室在护士站，医生办公室，会议室和科室外进行病人监护信息的集中查看。</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2.中央站提供其他产品形态访问中央站的权限设置，且提供单个床位是否允许外部进行访问的设置</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3.中心监护系统支持有线、无线、遥测多元化的组网方式</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4.中心监护系统可支持来自监护仪端监测ECG， ST, QT/QTc， RESP， SPO2， PR，TEMP，NIBP，IBP，CO2，AG，EEG，NMT等参数的显示和数据存储。 </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5.支持设备集成床旁呼吸机设备的参数监测显示</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6.中心监护系统支持Window 7中文操作系统</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7.配置磁盘阵列，保证磁盘数据的稳定性和安全性</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8.中心监护系统支持24寸以上液晶双显示器屏幕显示，1280×1024高分辨率彩色液晶显示</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9.可同时集中监护多个病人， 单个屏幕可支持</w:t>
            </w:r>
            <w:r>
              <w:rPr>
                <w:rFonts w:hint="eastAsia" w:ascii="宋体" w:hAnsi="宋体" w:cs="宋体"/>
                <w:b w:val="0"/>
                <w:bCs w:val="0"/>
                <w:color w:val="auto"/>
                <w:kern w:val="0"/>
                <w:sz w:val="21"/>
                <w:szCs w:val="21"/>
                <w:highlight w:val="none"/>
                <w:lang w:eastAsia="zh-CN"/>
              </w:rPr>
              <w:t>多</w:t>
            </w:r>
            <w:r>
              <w:rPr>
                <w:rFonts w:hint="eastAsia" w:ascii="宋体" w:hAnsi="宋体" w:eastAsia="宋体" w:cs="宋体"/>
                <w:b w:val="0"/>
                <w:bCs w:val="0"/>
                <w:color w:val="auto"/>
                <w:kern w:val="0"/>
                <w:sz w:val="21"/>
                <w:szCs w:val="21"/>
                <w:highlight w:val="none"/>
              </w:rPr>
              <w:t>个病人的同时集中监护。</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10.支持多个显示屏显示，满足科室不同病床数量的集中监护需要</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11.多床观察时每</w:t>
            </w:r>
            <w:bookmarkStart w:id="0" w:name="_GoBack"/>
            <w:bookmarkEnd w:id="0"/>
            <w:r>
              <w:rPr>
                <w:rFonts w:hint="eastAsia" w:ascii="宋体" w:hAnsi="宋体" w:eastAsia="宋体" w:cs="宋体"/>
                <w:b w:val="0"/>
                <w:bCs w:val="0"/>
                <w:color w:val="auto"/>
                <w:kern w:val="0"/>
                <w:sz w:val="21"/>
                <w:szCs w:val="21"/>
                <w:highlight w:val="none"/>
              </w:rPr>
              <w:t>床支持5个参数、4道波形的观察，支持大字体显示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15</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平车</w:t>
            </w:r>
          </w:p>
        </w:tc>
        <w:tc>
          <w:tcPr>
            <w:tcW w:w="7191" w:type="dxa"/>
            <w:noWrap w:val="0"/>
            <w:vAlign w:val="center"/>
          </w:tcPr>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1.担架车 、面分体结构、免打气单车轮、轮子前定向，后万向轮带刹。</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yellow"/>
              </w:rPr>
            </w:pPr>
            <w:r>
              <w:rPr>
                <w:rFonts w:hint="eastAsia" w:ascii="宋体" w:hAnsi="宋体" w:eastAsia="宋体" w:cs="宋体"/>
                <w:b w:val="0"/>
                <w:bCs w:val="0"/>
                <w:color w:val="auto"/>
                <w:kern w:val="0"/>
                <w:sz w:val="21"/>
                <w:szCs w:val="21"/>
                <w:highlight w:val="none"/>
              </w:rPr>
              <w:t>2.护栏1付、输液杆1条、垫子1张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16</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手动病床（三摇）</w:t>
            </w:r>
          </w:p>
        </w:tc>
        <w:tc>
          <w:tcPr>
            <w:tcW w:w="7191" w:type="dxa"/>
            <w:noWrap w:val="0"/>
            <w:vAlign w:val="center"/>
          </w:tcPr>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1.背部升降0-85°，腿部升降0-45°，整体升降230MM，</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2.床头尾板可拆快速放平作功能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17</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单道微量注射泵</w:t>
            </w:r>
          </w:p>
        </w:tc>
        <w:tc>
          <w:tcPr>
            <w:tcW w:w="7191" w:type="dxa"/>
            <w:noWrap w:val="0"/>
            <w:vAlign w:val="center"/>
          </w:tcPr>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注射器规格：自动识别各种品牌注射器，规格：10 ml、20 ml、30 ml、50 ml</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注射量范围：0-9999 ml（0.1-100ml以0.1 ml增量，100-9999ml以1ml增量）</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注射精度：±2%</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阻塞灵敏度：高中低档可选，分别为0.02Mpa~0.07Mpa、0.05Mpa~0.10Mpa、0.08Mpa~0.14Mpa</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使用环境：温度：+5-+40℃；湿度：20%-90%；大气压力：860-1060hPa</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存储环境：温度-20℃~﹢55℃，湿度：不超过93%无凝露，大气压力：700~1060hpa</w:t>
            </w:r>
          </w:p>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电源类型：AC220V/50Hz；DC9.6V（以5ml/h速度，运行不小于5小时）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18</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电动吸引器</w:t>
            </w:r>
          </w:p>
        </w:tc>
        <w:tc>
          <w:tcPr>
            <w:tcW w:w="7191" w:type="dxa"/>
            <w:noWrap w:val="0"/>
            <w:vAlign w:val="center"/>
          </w:tcPr>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输入功率：180VA、吸引泵：活塞泵，极限负压值：小于等于0.08mpa,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19</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血压计</w:t>
            </w:r>
          </w:p>
        </w:tc>
        <w:tc>
          <w:tcPr>
            <w:tcW w:w="7191"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显示方式：数字式显示方式、测量方式：示波测定发、测量精度：压力：±3mmHg(±0.4kPa)、脉搏数：精度为±5%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i w:val="0"/>
                <w:iCs w:val="0"/>
                <w:color w:val="auto"/>
                <w:kern w:val="0"/>
                <w:sz w:val="21"/>
                <w:szCs w:val="21"/>
                <w:u w:val="none"/>
                <w:lang w:val="en-US" w:eastAsia="zh-CN" w:bidi="ar"/>
              </w:rPr>
              <w:t>2</w:t>
            </w:r>
            <w:r>
              <w:rPr>
                <w:rFonts w:hint="eastAsia" w:ascii="宋体" w:hAnsi="宋体" w:cs="宋体"/>
                <w:b w:val="0"/>
                <w:bCs w:val="0"/>
                <w:i w:val="0"/>
                <w:iCs w:val="0"/>
                <w:color w:val="auto"/>
                <w:kern w:val="0"/>
                <w:sz w:val="21"/>
                <w:szCs w:val="21"/>
                <w:u w:val="none"/>
                <w:lang w:val="en-US" w:eastAsia="zh-CN" w:bidi="ar"/>
              </w:rPr>
              <w:t>0</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Geswll盖泽尔评估系统及工具</w:t>
            </w:r>
          </w:p>
        </w:tc>
        <w:tc>
          <w:tcPr>
            <w:tcW w:w="7191" w:type="dxa"/>
            <w:noWrap w:val="0"/>
            <w:vAlign w:val="center"/>
          </w:tcPr>
          <w:p>
            <w:pPr>
              <w:numPr>
                <w:ilvl w:val="0"/>
                <w:numId w:val="0"/>
              </w:numPr>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适用于评估机构使用（医院，儿童评估中心，儿童保健中心等），用于专业临床评估人员对婴幼儿进行生长发育临床评估！</w:t>
            </w:r>
            <w:r>
              <w:rPr>
                <w:rFonts w:hint="eastAsia" w:ascii="宋体" w:hAnsi="宋体" w:eastAsia="宋体" w:cs="宋体"/>
                <w:bCs/>
                <w:color w:val="auto"/>
                <w:sz w:val="21"/>
                <w:szCs w:val="21"/>
                <w:u w:val="none"/>
                <w:lang w:val="en-US" w:eastAsia="zh-CN"/>
              </w:rPr>
              <w:t>临床评估的婴幼儿的评估数据进行收集、分析和筛查管理，为今后科研数据作支持，更方便对客户进行跟踪和随访。</w:t>
            </w:r>
            <w:r>
              <w:rPr>
                <w:rFonts w:hint="eastAsia" w:ascii="宋体" w:hAnsi="宋体" w:eastAsia="宋体" w:cs="宋体"/>
                <w:bCs/>
                <w:color w:val="auto"/>
                <w:sz w:val="21"/>
                <w:szCs w:val="21"/>
                <w:u w:val="none"/>
              </w:rPr>
              <w:t>软件包含完整的评估检查工具一套.软件可对临床评估数据进行智能计算统计（DQ值计算等）、预约检查提醒功能,检查用户数据存储和统计（可用于科研调用）、规范报表打印检查结果。</w:t>
            </w:r>
          </w:p>
          <w:p>
            <w:pPr>
              <w:numPr>
                <w:ilvl w:val="0"/>
                <w:numId w:val="0"/>
              </w:numPr>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评估年龄范围为：0-6岁儿童。</w:t>
            </w:r>
          </w:p>
          <w:p>
            <w:pPr>
              <w:numPr>
                <w:ilvl w:val="0"/>
                <w:numId w:val="0"/>
              </w:numPr>
              <w:rPr>
                <w:rFonts w:hint="eastAsia" w:ascii="宋体" w:hAnsi="宋体" w:eastAsia="宋体" w:cs="宋体"/>
                <w:b/>
                <w:bCs w:val="0"/>
                <w:color w:val="auto"/>
                <w:sz w:val="21"/>
                <w:szCs w:val="21"/>
                <w:u w:val="none"/>
              </w:rPr>
            </w:pPr>
            <w:r>
              <w:rPr>
                <w:rFonts w:hint="eastAsia" w:ascii="宋体" w:hAnsi="宋体" w:eastAsia="宋体" w:cs="宋体"/>
                <w:b/>
                <w:bCs w:val="0"/>
                <w:color w:val="auto"/>
                <w:sz w:val="21"/>
                <w:szCs w:val="21"/>
                <w:u w:val="none"/>
                <w:lang w:val="en-US" w:eastAsia="zh-CN"/>
              </w:rPr>
              <w:t>软件参数：</w:t>
            </w:r>
          </w:p>
          <w:p>
            <w:pPr>
              <w:numPr>
                <w:ilvl w:val="0"/>
                <w:numId w:val="0"/>
              </w:numPr>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lang w:val="en-US" w:eastAsia="zh-CN"/>
              </w:rPr>
              <w:t>系统架构：c/s架构</w:t>
            </w:r>
          </w:p>
          <w:p>
            <w:pPr>
              <w:numPr>
                <w:ilvl w:val="0"/>
                <w:numId w:val="0"/>
              </w:numPr>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lang w:val="en-US" w:eastAsia="zh-CN"/>
              </w:rPr>
              <w:t>数据库：Access2007</w:t>
            </w:r>
          </w:p>
          <w:p>
            <w:pPr>
              <w:numPr>
                <w:ilvl w:val="0"/>
                <w:numId w:val="0"/>
              </w:numPr>
              <w:rPr>
                <w:rFonts w:hint="eastAsia" w:ascii="宋体" w:hAnsi="宋体" w:eastAsia="宋体" w:cs="宋体"/>
                <w:b w:val="0"/>
                <w:bCs w:val="0"/>
                <w:color w:val="auto"/>
                <w:kern w:val="0"/>
                <w:sz w:val="21"/>
                <w:szCs w:val="21"/>
                <w:highlight w:val="none"/>
              </w:rPr>
            </w:pPr>
            <w:r>
              <w:rPr>
                <w:rFonts w:hint="eastAsia" w:ascii="宋体" w:hAnsi="宋体" w:eastAsia="宋体" w:cs="宋体"/>
                <w:bCs/>
                <w:color w:val="auto"/>
                <w:sz w:val="21"/>
                <w:szCs w:val="21"/>
                <w:u w:val="none"/>
                <w:lang w:val="en-US" w:eastAsia="zh-CN"/>
              </w:rPr>
              <w:t>运行环境：windows xp及以上版本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21</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肩抬举训练器</w:t>
            </w:r>
          </w:p>
        </w:tc>
        <w:tc>
          <w:tcPr>
            <w:tcW w:w="7191"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规格：930*500*150-795(mm)</w:t>
            </w:r>
          </w:p>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可调节角度： 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22</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踝关节康复器</w:t>
            </w:r>
          </w:p>
        </w:tc>
        <w:tc>
          <w:tcPr>
            <w:tcW w:w="7191" w:type="dxa"/>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1、规格（cm）：47×47×50；</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2、重量：8.5kg；                          </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3、材质：主体为优质型钢，钢件表面喷塑或静电喷漆；        </w:t>
            </w:r>
          </w:p>
          <w:p>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4、液压式，四个液压缸，阻尼可调。</w:t>
            </w:r>
          </w:p>
          <w:p>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用途：踝关节活动范围训练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23</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Minnesoda明尼苏达手灵巧度评定（完整版）</w:t>
            </w:r>
          </w:p>
        </w:tc>
        <w:tc>
          <w:tcPr>
            <w:tcW w:w="7191" w:type="dxa"/>
            <w:noWrap w:val="0"/>
            <w:vAlign w:val="center"/>
          </w:tcPr>
          <w:p>
            <w:pPr>
              <w:tabs>
                <w:tab w:val="left" w:pos="2774"/>
              </w:tabs>
              <w:snapToGrid/>
              <w:spacing w:before="0" w:beforeAutospacing="0" w:after="0" w:afterAutospacing="0" w:line="240" w:lineRule="auto"/>
              <w:jc w:val="left"/>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60个由耐用塑料制成的小圆盘;</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二块由耐用塑料制成的折叠板(折叠板有4横排孔，每横排15个，共有60个孔);</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一个塑料手提箱(用于储存上述物品);评估使用说明书和常模数据1本;测试用评估表格(量表)1本</w:t>
            </w:r>
            <w:r>
              <w:rPr>
                <w:rFonts w:hint="eastAsia" w:ascii="宋体" w:hAnsi="宋体" w:eastAsia="宋体" w:cs="宋体"/>
                <w:b w:val="0"/>
                <w:bCs w:val="0"/>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691" w:type="dxa"/>
            <w:noWrap w:val="0"/>
            <w:vAlign w:val="top"/>
          </w:tcPr>
          <w:p>
            <w:pPr>
              <w:keepNext w:val="0"/>
              <w:keepLines w:val="0"/>
              <w:widowControl/>
              <w:suppressLineNumbers w:val="0"/>
              <w:jc w:val="left"/>
              <w:textAlignment w:val="top"/>
              <w:rPr>
                <w:rFonts w:hint="default" w:ascii="宋体" w:hAnsi="宋体" w:eastAsia="宋体" w:cs="宋体"/>
                <w:b w:val="0"/>
                <w:bCs w:val="0"/>
                <w:color w:val="auto"/>
                <w:sz w:val="21"/>
                <w:szCs w:val="21"/>
                <w:highlight w:val="none"/>
                <w:lang w:val="en-US"/>
              </w:rPr>
            </w:pPr>
            <w:r>
              <w:rPr>
                <w:rFonts w:hint="eastAsia" w:ascii="宋体" w:hAnsi="宋体" w:cs="宋体"/>
                <w:b w:val="0"/>
                <w:bCs w:val="0"/>
                <w:i w:val="0"/>
                <w:iCs w:val="0"/>
                <w:color w:val="auto"/>
                <w:kern w:val="0"/>
                <w:sz w:val="21"/>
                <w:szCs w:val="21"/>
                <w:u w:val="none"/>
                <w:lang w:val="en-US" w:eastAsia="zh-CN" w:bidi="ar"/>
              </w:rPr>
              <w:t>24</w:t>
            </w:r>
          </w:p>
        </w:tc>
        <w:tc>
          <w:tcPr>
            <w:tcW w:w="1232" w:type="dxa"/>
            <w:noWrap w:val="0"/>
            <w:vAlign w:val="top"/>
          </w:tcPr>
          <w:p>
            <w:pPr>
              <w:keepNext w:val="0"/>
              <w:keepLines w:val="0"/>
              <w:widowControl/>
              <w:suppressLineNumbers w:val="0"/>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u w:val="none"/>
                <w:lang w:val="en-US" w:eastAsia="zh-CN" w:bidi="ar"/>
              </w:rPr>
              <w:t>Purdue普渡手精细运动评定</w:t>
            </w:r>
          </w:p>
        </w:tc>
        <w:tc>
          <w:tcPr>
            <w:tcW w:w="7191" w:type="dxa"/>
            <w:noWrap w:val="0"/>
            <w:vAlign w:val="center"/>
          </w:tcPr>
          <w:p>
            <w:pPr>
              <w:tabs>
                <w:tab w:val="left" w:pos="2774"/>
              </w:tabs>
              <w:snapToGrid/>
              <w:spacing w:before="0" w:beforeAutospacing="0" w:after="0" w:afterAutospacing="0" w:line="240" w:lineRule="auto"/>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用于多种测试应用，如物理治疗、职业治疗、职业康复评估和就业前筛选</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钉板测试用于评估单手或双手的协调性，是手协调功能训练系统中用于评估确定手部精细动作协调性的标准化评估装置，也句括评估指间关节和堂指关节的运动能力和灵活性，通讨按顺序插入插板并目/或者按预先的设置插入插板、颈圈和垫圈，钉板测验可同时测量手和手的大小动作运动及手指敏捷性两个方面的能力。</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配有一块木板，该木板具有二列孔，每列是25个小孔:木板的上方是产品铭牌，可以抽出，具有四个空凹槽，可以在测试时分别放詈钉子和垫圈之类测试用物件:配有55个钉子，45个垫圈，25个颈圈</w:t>
            </w:r>
            <w:r>
              <w:rPr>
                <w:rFonts w:hint="eastAsia" w:ascii="宋体" w:hAnsi="宋体" w:eastAsia="宋体" w:cs="宋体"/>
                <w:color w:val="auto"/>
                <w:sz w:val="21"/>
                <w:szCs w:val="21"/>
                <w:lang w:eastAsia="zh-CN"/>
              </w:rPr>
              <w:t>。</w:t>
            </w:r>
          </w:p>
        </w:tc>
      </w:tr>
    </w:tbl>
    <w:p>
      <w:pPr>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jUwMDM5MDYwOTNmOTk2MWZkOTNhYzAyNDc4OTMifQ=="/>
  </w:docVars>
  <w:rsids>
    <w:rsidRoot w:val="306E2085"/>
    <w:rsid w:val="005A7208"/>
    <w:rsid w:val="054443A6"/>
    <w:rsid w:val="05BE3D95"/>
    <w:rsid w:val="0A780F70"/>
    <w:rsid w:val="0B8C5471"/>
    <w:rsid w:val="1128398B"/>
    <w:rsid w:val="13771CC9"/>
    <w:rsid w:val="13D5558E"/>
    <w:rsid w:val="19540841"/>
    <w:rsid w:val="1A4E2B03"/>
    <w:rsid w:val="306E2085"/>
    <w:rsid w:val="33932768"/>
    <w:rsid w:val="35AF60E5"/>
    <w:rsid w:val="39B52869"/>
    <w:rsid w:val="3F2F6B8F"/>
    <w:rsid w:val="45E05789"/>
    <w:rsid w:val="4983765E"/>
    <w:rsid w:val="504B29FB"/>
    <w:rsid w:val="53FB3C70"/>
    <w:rsid w:val="5DC90EBA"/>
    <w:rsid w:val="61344D24"/>
    <w:rsid w:val="62C81E55"/>
    <w:rsid w:val="6E3B07FD"/>
    <w:rsid w:val="6F4A2649"/>
    <w:rsid w:val="6F6C74D4"/>
    <w:rsid w:val="71546096"/>
    <w:rsid w:val="75C34AF2"/>
    <w:rsid w:val="77161E07"/>
    <w:rsid w:val="78210A63"/>
    <w:rsid w:val="7F6E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spacing w:line="500" w:lineRule="exact"/>
      <w:ind w:left="391" w:right="246"/>
    </w:pPr>
    <w:rPr>
      <w:rFonts w:ascii="仿宋_GB2312" w:eastAsia="仿宋_GB2312" w:cs="仿宋_GB2312"/>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宋体" w:hAnsi="宋体" w:eastAsia="宋体" w:cs="宋体"/>
      <w:color w:val="000000"/>
      <w:sz w:val="20"/>
      <w:szCs w:val="20"/>
      <w:u w:val="none"/>
    </w:rPr>
  </w:style>
  <w:style w:type="character" w:customStyle="1" w:styleId="7">
    <w:name w:val="font21"/>
    <w:basedOn w:val="5"/>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2702</Words>
  <Characters>3401</Characters>
  <Lines>0</Lines>
  <Paragraphs>0</Paragraphs>
  <TotalTime>13</TotalTime>
  <ScaleCrop>false</ScaleCrop>
  <LinksUpToDate>false</LinksUpToDate>
  <CharactersWithSpaces>3466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2022-11-11T02:30:00Z</dcterms:created>
  <dc:creator>辉辉</dc:creator>
  <cp:lastModifiedBy>铁甲依然在K</cp:lastModifiedBy>
  <dcterms:modified xsi:type="dcterms:W3CDTF">2022-12-06T09:56:27Z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6D042C46A83945CFBEAD47623DB282D5</vt:lpwstr>
  </property>
</Properties>
</file>