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/>
          <w:szCs w:val="21"/>
        </w:rPr>
      </w:pPr>
      <w:r>
        <w:rPr>
          <w:rFonts w:hint="eastAsia"/>
        </w:rPr>
        <w:t>流式细胞仪技术参数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  <w:lang w:val="en-US"/>
        </w:rPr>
        <w:t>1</w:t>
      </w:r>
      <w:r>
        <w:rPr>
          <w:rFonts w:ascii="宋体" w:hAnsi="宋体"/>
          <w:szCs w:val="21"/>
        </w:rPr>
        <w:t>．机器配置需求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  <w:lang w:val="en-US"/>
        </w:rPr>
        <w:t>1.</w:t>
      </w:r>
      <w:r>
        <w:rPr>
          <w:rFonts w:ascii="宋体" w:hAnsi="宋体"/>
          <w:szCs w:val="21"/>
        </w:rPr>
        <w:t xml:space="preserve">1双激光六色流式细胞仪 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  <w:lang w:val="en-US"/>
        </w:rPr>
        <w:t>1</w:t>
      </w:r>
      <w:r>
        <w:rPr>
          <w:rFonts w:ascii="宋体" w:hAnsi="宋体"/>
          <w:szCs w:val="21"/>
        </w:rPr>
        <w:t>.2 流式控制软件及相应的数据分析软件 若干套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  <w:lang w:val="en-US"/>
        </w:rPr>
        <w:t>4.3</w:t>
      </w:r>
      <w:r>
        <w:rPr>
          <w:rFonts w:ascii="宋体" w:hAnsi="宋体"/>
          <w:szCs w:val="21"/>
        </w:rPr>
        <w:t>原厂配备计算机工作站 一台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/>
          <w:szCs w:val="21"/>
          <w:lang w:val="en-US"/>
        </w:rPr>
        <w:t>.4</w:t>
      </w:r>
      <w:r>
        <w:rPr>
          <w:rFonts w:ascii="宋体" w:hAnsi="宋体"/>
          <w:szCs w:val="21"/>
        </w:rPr>
        <w:t>电脑显示器 两台</w:t>
      </w:r>
    </w:p>
    <w:p>
      <w:pPr>
        <w:spacing w:line="360" w:lineRule="auto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2. 设备用途：</w:t>
      </w:r>
      <w:r>
        <w:rPr>
          <w:rFonts w:hint="eastAsia" w:ascii="宋体" w:hAnsi="宋体"/>
          <w:b/>
          <w:szCs w:val="21"/>
          <w:lang w:eastAsia="zh-CN"/>
        </w:rPr>
        <w:t>（检测项目）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2.1.1淋巴细胞亚群分析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2.1.2细胞DNA周期倍体检测分析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2.1.3白血病及淋巴瘤免疫分型、残余白血病检测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2.1.4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树突细胞检测分析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2.1.5造血干细胞计数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2.1.6血小板疾病及活化血小板检测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2.1.7器官移植的配型及免疫状态监控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2.1.8 细胞凋亡检测分析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2.1.9 细胞因子检测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2.1.10 干细胞检测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3. 技术规格和参数：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3.1主机系统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*3.1.1流式细胞仪主机系统：含488nm固体蓝色激光器，6</w:t>
      </w:r>
      <w:r>
        <w:rPr>
          <w:rFonts w:ascii="宋体" w:hAnsi="宋体"/>
          <w:szCs w:val="21"/>
        </w:rPr>
        <w:t>33</w:t>
      </w:r>
      <w:r>
        <w:rPr>
          <w:rFonts w:hint="eastAsia" w:ascii="宋体" w:hAnsi="宋体"/>
          <w:szCs w:val="21"/>
        </w:rPr>
        <w:t>nm色激光器，</w:t>
      </w:r>
      <w:r>
        <w:rPr>
          <w:rFonts w:hint="eastAsia" w:ascii="宋体" w:hAnsi="宋体"/>
          <w:szCs w:val="21"/>
          <w:lang w:eastAsia="zh-CN"/>
        </w:rPr>
        <w:t>≥</w:t>
      </w:r>
      <w:r>
        <w:rPr>
          <w:rFonts w:hint="eastAsia" w:ascii="宋体" w:hAnsi="宋体"/>
          <w:szCs w:val="21"/>
        </w:rPr>
        <w:t>6个荧光探测器</w:t>
      </w:r>
      <w:r>
        <w:rPr>
          <w:rFonts w:hint="eastAsia" w:ascii="宋体" w:hAnsi="宋体"/>
          <w:szCs w:val="21"/>
          <w:lang w:eastAsia="zh-CN"/>
        </w:rPr>
        <w:t>，≥</w:t>
      </w:r>
      <w:r>
        <w:rPr>
          <w:rFonts w:hint="eastAsia" w:ascii="宋体" w:hAnsi="宋体"/>
          <w:szCs w:val="21"/>
        </w:rPr>
        <w:t>2个散射光探测器</w:t>
      </w:r>
    </w:p>
    <w:p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3.1.2光路：激光传递和荧光传导必须采用全光纤化光路；光路固定,无需用户自行调校光路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*3.1.3荧光通道：</w:t>
      </w:r>
      <w:r>
        <w:rPr>
          <w:rFonts w:hint="eastAsia" w:ascii="宋体" w:hAnsi="宋体"/>
          <w:szCs w:val="21"/>
          <w:lang w:eastAsia="zh-CN"/>
        </w:rPr>
        <w:t>至少</w:t>
      </w:r>
      <w:r>
        <w:rPr>
          <w:rFonts w:hint="eastAsia" w:ascii="宋体" w:hAnsi="宋体"/>
          <w:szCs w:val="21"/>
        </w:rPr>
        <w:t>488nm激光激发4个荧光通道，</w:t>
      </w:r>
      <w:r>
        <w:rPr>
          <w:rFonts w:ascii="宋体" w:hAnsi="宋体"/>
          <w:szCs w:val="21"/>
        </w:rPr>
        <w:t>滤光片</w:t>
      </w:r>
      <w:r>
        <w:rPr>
          <w:rFonts w:hint="eastAsia" w:ascii="宋体" w:hAnsi="宋体"/>
          <w:szCs w:val="21"/>
        </w:rPr>
        <w:t>包括：525</w:t>
      </w:r>
      <w:r>
        <w:rPr>
          <w:rFonts w:ascii="宋体" w:hAnsi="宋体"/>
          <w:szCs w:val="21"/>
        </w:rPr>
        <w:t>nm</w:t>
      </w:r>
      <w:r>
        <w:rPr>
          <w:rFonts w:hint="eastAsia" w:ascii="宋体" w:hAnsi="宋体"/>
          <w:szCs w:val="21"/>
        </w:rPr>
        <w:t>、575</w:t>
      </w:r>
      <w:r>
        <w:rPr>
          <w:rFonts w:ascii="宋体" w:hAnsi="宋体"/>
          <w:szCs w:val="21"/>
        </w:rPr>
        <w:t>nm</w:t>
      </w:r>
      <w:r>
        <w:rPr>
          <w:rFonts w:hint="eastAsia" w:ascii="宋体" w:hAnsi="宋体"/>
          <w:szCs w:val="21"/>
        </w:rPr>
        <w:t>、678</w:t>
      </w:r>
      <w:r>
        <w:rPr>
          <w:rFonts w:ascii="宋体" w:hAnsi="宋体"/>
          <w:szCs w:val="21"/>
        </w:rPr>
        <w:t>nm</w:t>
      </w:r>
      <w:r>
        <w:rPr>
          <w:rFonts w:hint="eastAsia" w:ascii="宋体" w:hAnsi="宋体"/>
          <w:szCs w:val="21"/>
        </w:rPr>
        <w:t>、785</w:t>
      </w:r>
      <w:r>
        <w:rPr>
          <w:rFonts w:ascii="宋体" w:hAnsi="宋体"/>
          <w:szCs w:val="21"/>
        </w:rPr>
        <w:t>nm</w:t>
      </w:r>
      <w:r>
        <w:rPr>
          <w:rFonts w:hint="eastAsia" w:ascii="宋体" w:hAnsi="宋体"/>
          <w:szCs w:val="21"/>
        </w:rPr>
        <w:t>；</w:t>
      </w:r>
      <w:r>
        <w:rPr>
          <w:rFonts w:hint="eastAsia" w:ascii="宋体" w:hAnsi="宋体"/>
          <w:szCs w:val="21"/>
          <w:lang w:eastAsia="zh-CN"/>
        </w:rPr>
        <w:t>至少</w:t>
      </w:r>
      <w:r>
        <w:rPr>
          <w:rFonts w:hint="eastAsia" w:ascii="宋体" w:hAnsi="宋体"/>
          <w:szCs w:val="21"/>
        </w:rPr>
        <w:t>6</w:t>
      </w:r>
      <w:r>
        <w:rPr>
          <w:rFonts w:ascii="宋体" w:hAnsi="宋体"/>
          <w:szCs w:val="21"/>
        </w:rPr>
        <w:t>33</w:t>
      </w:r>
      <w:r>
        <w:rPr>
          <w:rFonts w:hint="eastAsia" w:ascii="宋体" w:hAnsi="宋体"/>
          <w:szCs w:val="21"/>
        </w:rPr>
        <w:t>nm激光激发2个荧光通道，</w:t>
      </w:r>
      <w:r>
        <w:rPr>
          <w:rFonts w:ascii="宋体" w:hAnsi="宋体"/>
          <w:szCs w:val="21"/>
        </w:rPr>
        <w:t>滤光片</w:t>
      </w:r>
      <w:r>
        <w:rPr>
          <w:rFonts w:hint="eastAsia" w:ascii="宋体" w:hAnsi="宋体"/>
          <w:szCs w:val="21"/>
        </w:rPr>
        <w:t>包括：660</w:t>
      </w:r>
      <w:r>
        <w:rPr>
          <w:rFonts w:ascii="宋体" w:hAnsi="宋体"/>
          <w:szCs w:val="21"/>
        </w:rPr>
        <w:t>nm</w:t>
      </w:r>
      <w:r>
        <w:rPr>
          <w:rFonts w:hint="eastAsia" w:ascii="宋体" w:hAnsi="宋体"/>
          <w:szCs w:val="21"/>
        </w:rPr>
        <w:t>、785</w:t>
      </w:r>
      <w:r>
        <w:rPr>
          <w:rFonts w:ascii="宋体" w:hAnsi="宋体"/>
          <w:szCs w:val="21"/>
        </w:rPr>
        <w:t>nm</w:t>
      </w:r>
      <w:r>
        <w:rPr>
          <w:rFonts w:hint="eastAsia" w:ascii="宋体" w:hAnsi="宋体"/>
          <w:szCs w:val="21"/>
        </w:rPr>
        <w:t>；</w:t>
      </w:r>
    </w:p>
    <w:p>
      <w:pPr>
        <w:spacing w:line="360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3.1.4 激光光斑:激光之间无共轴,所有激光拥有独立光径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*3.1.5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PMT荧光收集系统：采用八角形和三角形连续反射荧光收集系统，依照先收集易衰减的长波荧光后收集短波荧光的原则,所有荧光在抵达检测器之前只经过一次透射，减少荧光损失，提升检测灵敏度。</w:t>
      </w:r>
    </w:p>
    <w:p>
      <w:pPr>
        <w:autoSpaceDE w:val="0"/>
        <w:autoSpaceDN w:val="0"/>
        <w:adjustRightInd w:val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3.1.6 检测荧光素及荧光蛋白种类：</w:t>
      </w:r>
      <w:r>
        <w:rPr>
          <w:rFonts w:ascii="宋体" w:hAnsi="宋体"/>
          <w:szCs w:val="21"/>
        </w:rPr>
        <w:t>FITC,* PE,* PerCP*or PerCP-Cy™5.5,*PE-Cy™7*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APC,* , APC-Cy7* orAPC-H7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3.1.7 光胶耦合石英杯，流动室孔径180x430um</w:t>
      </w:r>
    </w:p>
    <w:p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3.1.8检测颗粒大小：0.5~50</w:t>
      </w:r>
      <w:r>
        <w:rPr>
          <w:rFonts w:hint="eastAsia" w:ascii="宋体" w:hAnsi="宋体"/>
          <w:szCs w:val="21"/>
        </w:rPr>
        <w:sym w:font="Symbol" w:char="F06D"/>
      </w:r>
      <w:r>
        <w:rPr>
          <w:rFonts w:hint="eastAsia" w:ascii="宋体" w:hAnsi="宋体"/>
          <w:szCs w:val="21"/>
        </w:rPr>
        <w:t>m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3.1.9荧光灵敏度：达到FITC&lt;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00MESF，PE&lt;50MESF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3.1.10全峰宽变异系数CV&lt;3%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3.1.11样本获取速率：10,000个细胞/秒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3.1.12样本残留量&lt;0.1%,确保样本间交叉污染最小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3.1.13独立液流车系统，可在无人值守时自动完成开机、关机工作及清洗、消毒工作；能不停机补充鞘液，以保证实验的长时间不间断进行；能确保液流始终维持在+-0.5PSK的状态，稳定的液流，保证大量检测，及长时间检测结果始终一致</w:t>
      </w:r>
    </w:p>
    <w:p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3.1</w:t>
      </w:r>
      <w:r>
        <w:rPr>
          <w:rFonts w:ascii="宋体" w:hAnsi="宋体"/>
          <w:szCs w:val="21"/>
        </w:rPr>
        <w:t>.1</w:t>
      </w:r>
      <w:r>
        <w:rPr>
          <w:rFonts w:hint="eastAsia" w:ascii="宋体" w:hAnsi="宋体"/>
          <w:szCs w:val="21"/>
        </w:rPr>
        <w:t>4仪器运行溶液容量：</w:t>
      </w:r>
      <w:r>
        <w:rPr>
          <w:rFonts w:hint="eastAsia" w:ascii="宋体" w:hAnsi="宋体"/>
          <w:szCs w:val="21"/>
          <w:lang w:eastAsia="zh-CN"/>
        </w:rPr>
        <w:t>至少</w:t>
      </w:r>
      <w:r>
        <w:rPr>
          <w:rFonts w:ascii="宋体" w:hAnsi="宋体"/>
          <w:szCs w:val="21"/>
        </w:rPr>
        <w:t>20L</w:t>
      </w:r>
      <w:r>
        <w:rPr>
          <w:rFonts w:hint="eastAsia" w:ascii="宋体" w:hAnsi="宋体"/>
          <w:szCs w:val="21"/>
        </w:rPr>
        <w:t>鞘液桶、</w:t>
      </w:r>
      <w:r>
        <w:rPr>
          <w:rFonts w:ascii="宋体" w:hAnsi="宋体"/>
          <w:szCs w:val="21"/>
        </w:rPr>
        <w:t>10L</w:t>
      </w:r>
      <w:r>
        <w:rPr>
          <w:rFonts w:hint="eastAsia" w:ascii="宋体" w:hAnsi="宋体"/>
          <w:szCs w:val="21"/>
        </w:rPr>
        <w:t>废液桶、5L清洁液桶、5L清洁液关机液桶</w:t>
      </w:r>
    </w:p>
    <w:p>
      <w:pPr>
        <w:spacing w:line="360" w:lineRule="auto"/>
        <w:rPr>
          <w:rFonts w:ascii="宋体" w:hAnsi="宋体"/>
          <w:szCs w:val="21"/>
        </w:rPr>
      </w:pPr>
      <w:bookmarkStart w:id="0" w:name="_GoBack"/>
      <w:bookmarkEnd w:id="0"/>
    </w:p>
    <w:p>
      <w:pPr>
        <w:rPr>
          <w:rFonts w:ascii="宋体" w:hAnsi="宋体"/>
          <w:szCs w:val="21"/>
        </w:rPr>
      </w:pPr>
    </w:p>
    <w:p>
      <w:pPr>
        <w:rPr>
          <w:b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kzidenz Grotesk BQ">
    <w:altName w:val="宋体"/>
    <w:panose1 w:val="00000000000000000000"/>
    <w:charset w:val="86"/>
    <w:family w:val="swiss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000000"/>
    <w:rsid w:val="0D360713"/>
    <w:rsid w:val="4151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48"/>
      <w:szCs w:val="44"/>
    </w:rPr>
  </w:style>
  <w:style w:type="character" w:default="1" w:styleId="7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iPriority w:val="99"/>
    <w:rPr>
      <w:sz w:val="18"/>
      <w:szCs w:val="18"/>
    </w:rPr>
  </w:style>
  <w:style w:type="paragraph" w:styleId="4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uiPriority w:val="99"/>
    <w:rPr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Akzidenz Grotesk BQ" w:hAnsi="Calibri" w:eastAsia="Akzidenz Grotesk BQ" w:cs="Akzidenz Grotesk BQ"/>
      <w:color w:val="000000"/>
      <w:kern w:val="0"/>
      <w:sz w:val="24"/>
      <w:szCs w:val="24"/>
      <w:lang w:val="en-US" w:eastAsia="zh-CN" w:bidi="ar-SA"/>
    </w:rPr>
  </w:style>
  <w:style w:type="paragraph" w:customStyle="1" w:styleId="10">
    <w:name w:val="Pa2"/>
    <w:basedOn w:val="9"/>
    <w:next w:val="9"/>
    <w:uiPriority w:val="99"/>
    <w:pPr>
      <w:spacing w:line="181" w:lineRule="atLeast"/>
    </w:pPr>
    <w:rPr>
      <w:rFonts w:cs="宋体"/>
      <w:color w:val="auto"/>
    </w:rPr>
  </w:style>
  <w:style w:type="character" w:customStyle="1" w:styleId="11">
    <w:name w:val="A2"/>
    <w:uiPriority w:val="99"/>
    <w:rPr>
      <w:rFonts w:cs="Akzidenz Grotesk BQ"/>
      <w:color w:val="000000"/>
      <w:sz w:val="11"/>
      <w:szCs w:val="11"/>
    </w:rPr>
  </w:style>
  <w:style w:type="character" w:customStyle="1" w:styleId="12">
    <w:name w:val="A1"/>
    <w:uiPriority w:val="99"/>
    <w:rPr>
      <w:rFonts w:cs="Akzidenz Grotesk BQ"/>
      <w:color w:val="000000"/>
      <w:sz w:val="17"/>
      <w:szCs w:val="17"/>
    </w:rPr>
  </w:style>
  <w:style w:type="paragraph" w:customStyle="1" w:styleId="13">
    <w:name w:val="Pa0"/>
    <w:basedOn w:val="9"/>
    <w:next w:val="9"/>
    <w:uiPriority w:val="99"/>
    <w:pPr>
      <w:spacing w:line="181" w:lineRule="atLeast"/>
    </w:pPr>
    <w:rPr>
      <w:rFonts w:cs="宋体"/>
      <w:color w:val="auto"/>
    </w:rPr>
  </w:style>
  <w:style w:type="character" w:customStyle="1" w:styleId="14">
    <w:name w:val="标题 1 字符"/>
    <w:basedOn w:val="7"/>
    <w:link w:val="2"/>
    <w:uiPriority w:val="0"/>
    <w:rPr>
      <w:rFonts w:ascii="Times New Roman" w:hAnsi="Times New Roman" w:eastAsia="黑体" w:cs="Times New Roman"/>
      <w:b/>
      <w:bCs/>
      <w:kern w:val="44"/>
      <w:sz w:val="48"/>
      <w:szCs w:val="44"/>
    </w:rPr>
  </w:style>
  <w:style w:type="character" w:customStyle="1" w:styleId="15">
    <w:name w:val="页眉 字符"/>
    <w:basedOn w:val="7"/>
    <w:link w:val="5"/>
    <w:uiPriority w:val="99"/>
    <w:rPr>
      <w:sz w:val="18"/>
      <w:szCs w:val="18"/>
    </w:rPr>
  </w:style>
  <w:style w:type="character" w:customStyle="1" w:styleId="16">
    <w:name w:val="页脚 字符"/>
    <w:basedOn w:val="7"/>
    <w:link w:val="4"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BD</Company>
  <Pages>2</Pages>
  <Words>701</Words>
  <Characters>976</Characters>
  <Paragraphs>36</Paragraphs>
  <TotalTime>4</TotalTime>
  <ScaleCrop>false</ScaleCrop>
  <LinksUpToDate>false</LinksUpToDate>
  <CharactersWithSpaces>999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2022-07-01T09:24:00Z</dcterms:created>
  <dc:creator>Lu Liang</dc:creator>
  <cp:lastModifiedBy> LAN</cp:lastModifiedBy>
  <dcterms:modified xsi:type="dcterms:W3CDTF">2022-07-06T09:11:36Z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38b92c0a41c54bfa936387f78fd760d1</vt:lpwstr>
  </property>
  <property fmtid="{D5CDD505-2E9C-101B-9397-08002B2CF9AE}" pid="3" name="KSOProductBuildVer">
    <vt:lpwstr>2052-11.1.0.11830</vt:lpwstr>
  </property>
</Properties>
</file>