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bCs/>
          <w:color w:val="000000"/>
          <w:sz w:val="24"/>
          <w:lang w:eastAsia="zh-CN"/>
        </w:rPr>
      </w:pPr>
      <w:r>
        <w:rPr>
          <w:rFonts w:hint="eastAsia" w:ascii="黑体" w:hAnsi="黑体" w:eastAsia="黑体"/>
          <w:b/>
          <w:bCs/>
          <w:color w:val="000000"/>
          <w:sz w:val="24"/>
          <w:lang w:eastAsia="zh-CN"/>
        </w:rPr>
        <w:t>供应室设备参数要求</w:t>
      </w:r>
    </w:p>
    <w:tbl>
      <w:tblPr>
        <w:tblStyle w:val="24"/>
        <w:tblW w:w="102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1267"/>
        <w:gridCol w:w="735"/>
        <w:gridCol w:w="4611"/>
        <w:gridCol w:w="1506"/>
        <w:gridCol w:w="15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631" w:type="dxa"/>
            <w:noWrap w:val="0"/>
            <w:vAlign w:val="center"/>
          </w:tcPr>
          <w:p>
            <w:pPr>
              <w:tabs>
                <w:tab w:val="left" w:pos="180"/>
                <w:tab w:val="left" w:pos="1620"/>
              </w:tabs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tabs>
                <w:tab w:val="left" w:pos="180"/>
                <w:tab w:val="left" w:pos="1620"/>
              </w:tabs>
              <w:spacing w:line="36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采购内容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tabs>
                <w:tab w:val="left" w:pos="180"/>
                <w:tab w:val="left" w:pos="1620"/>
              </w:tabs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数量单位</w:t>
            </w:r>
          </w:p>
        </w:tc>
        <w:tc>
          <w:tcPr>
            <w:tcW w:w="461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80"/>
                <w:tab w:val="left" w:pos="1620"/>
              </w:tabs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技术参数需求</w:t>
            </w:r>
          </w:p>
        </w:tc>
        <w:tc>
          <w:tcPr>
            <w:tcW w:w="150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80"/>
                <w:tab w:val="left" w:pos="1620"/>
              </w:tabs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单价</w:t>
            </w:r>
          </w:p>
        </w:tc>
        <w:tc>
          <w:tcPr>
            <w:tcW w:w="150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80"/>
                <w:tab w:val="left" w:pos="1620"/>
              </w:tabs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合计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6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电动密封下送车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2"/>
                <w:szCs w:val="22"/>
                <w:lang w:val="en-US" w:eastAsia="zh-CN"/>
              </w:rPr>
              <w:t>1个</w:t>
            </w:r>
          </w:p>
        </w:tc>
        <w:tc>
          <w:tcPr>
            <w:tcW w:w="461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1、材质：优质304不锈钢 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2、外形尺寸：≥(长x宽x高) 1200x650x1260 mm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3、最大装载量（kg）：350   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4、最高时速（km）：8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5、电池容量(Ah)： 15 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6、(根据温度不同有所改变）连续工作时间：≥8H</w:t>
            </w:r>
          </w:p>
        </w:tc>
        <w:tc>
          <w:tcPr>
            <w:tcW w:w="150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bookmarkStart w:id="3" w:name="_GoBack"/>
            <w:bookmarkEnd w:id="3"/>
          </w:p>
        </w:tc>
        <w:tc>
          <w:tcPr>
            <w:tcW w:w="150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6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auto"/>
                <w:sz w:val="22"/>
                <w:szCs w:val="22"/>
              </w:rPr>
              <w:t>2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电动升降传递窗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2个</w:t>
            </w:r>
          </w:p>
        </w:tc>
        <w:tc>
          <w:tcPr>
            <w:tcW w:w="461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1、外形尺寸：710*100*790mm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2、产品材质：采用优质304不锈钢，主材规格：板材厚度≥1.0mm。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3、配置：电动升降。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4、电源：220V/0.1KW ，按钮面板控制，操作简单方便。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5、采用钢化玻璃视窗。</w:t>
            </w:r>
          </w:p>
        </w:tc>
        <w:tc>
          <w:tcPr>
            <w:tcW w:w="150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50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器械发放台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2个</w:t>
            </w:r>
          </w:p>
        </w:tc>
        <w:tc>
          <w:tcPr>
            <w:tcW w:w="461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1、外形尺寸：1800*800*800mm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2、采用优质不锈钢材质</w:t>
            </w:r>
          </w:p>
        </w:tc>
        <w:tc>
          <w:tcPr>
            <w:tcW w:w="150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50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6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auto"/>
                <w:sz w:val="22"/>
                <w:szCs w:val="22"/>
              </w:rPr>
              <w:t>4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腔镜器械打包台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个</w:t>
            </w:r>
          </w:p>
        </w:tc>
        <w:tc>
          <w:tcPr>
            <w:tcW w:w="461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1、外形尺寸：2000*700*800/1500mm</w:t>
            </w:r>
          </w:p>
          <w:p>
            <w:pPr>
              <w:widowControl/>
              <w:spacing w:line="36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2、采用优质不锈钢板材及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不小于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38*38厚度1.2mm的方管焊接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、带节能照明灯，用于器械的检查打包 带有双层灯架，灯架采用可移动式、方便使用，可放置纸袋切割机，封口机，储物筐等实现封口机与纸袋切割机的一体化操作。</w:t>
            </w:r>
          </w:p>
        </w:tc>
        <w:tc>
          <w:tcPr>
            <w:tcW w:w="150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50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6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auto"/>
                <w:sz w:val="22"/>
                <w:szCs w:val="22"/>
              </w:rPr>
              <w:t>5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敷料器械转运车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辆</w:t>
            </w:r>
          </w:p>
        </w:tc>
        <w:tc>
          <w:tcPr>
            <w:tcW w:w="461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1、外形尺寸：1200*500*1800mm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bookmarkStart w:id="0" w:name="_Hlk87875585"/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2、</w:t>
            </w:r>
            <w:bookmarkEnd w:id="0"/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采用优质不锈钢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不小于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32mm厚度1.2圆管及38*25厚度1.2mm的方管焊接制作，四层设计,离地面200mm，符合院感要求。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6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auto"/>
                <w:sz w:val="22"/>
                <w:szCs w:val="22"/>
              </w:rPr>
              <w:t>6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不锈钢柜子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2个</w:t>
            </w:r>
          </w:p>
        </w:tc>
        <w:tc>
          <w:tcPr>
            <w:tcW w:w="461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1、外形尺寸：1300*600*2000mm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2、采用优质不锈钢制作两门设计、内置4层搁板，高度可调，可存放不同大小物品。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3、采用外开门，玻璃视窗，使用方便、全玻璃门双门带锁设计。</w:t>
            </w:r>
          </w:p>
        </w:tc>
        <w:tc>
          <w:tcPr>
            <w:tcW w:w="150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50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6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auto"/>
                <w:sz w:val="22"/>
                <w:szCs w:val="22"/>
              </w:rPr>
              <w:t>7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危化品安全存储柜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个</w:t>
            </w:r>
          </w:p>
        </w:tc>
        <w:tc>
          <w:tcPr>
            <w:tcW w:w="461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bookmarkStart w:id="1" w:name="_Hlk127455207"/>
            <w:r>
              <w:rPr>
                <w:rFonts w:hint="eastAsia" w:ascii="宋体" w:hAnsi="宋体" w:cs="宋体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、外形尺寸：900*400*1750mm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bookmarkEnd w:id="1"/>
            <w:bookmarkStart w:id="2" w:name="_Hlk127455244"/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2、采用优质不锈钢制作</w:t>
            </w:r>
            <w:bookmarkEnd w:id="2"/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、内置搁板，高度可调，可存放不同大小物品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3、全不锈钢门带锁设计，四门对开式，美观整洁；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4、用于危化品的暂时存放、存储容量大，也可作为库房橱柜</w:t>
            </w:r>
          </w:p>
        </w:tc>
        <w:tc>
          <w:tcPr>
            <w:tcW w:w="150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50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  <w:jc w:val="center"/>
        </w:trPr>
        <w:tc>
          <w:tcPr>
            <w:tcW w:w="6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auto"/>
                <w:sz w:val="22"/>
                <w:szCs w:val="22"/>
              </w:rPr>
              <w:t>8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包布车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个</w:t>
            </w:r>
          </w:p>
        </w:tc>
        <w:tc>
          <w:tcPr>
            <w:tcW w:w="461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1、外形尺寸：1200*450*1000mm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2、采用优质不锈钢材质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3、可存放不同规格的包布或包装纸；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4、存取方便，移动灵活；用于包布和医用包装纸的晾干及存放。</w:t>
            </w:r>
          </w:p>
        </w:tc>
        <w:tc>
          <w:tcPr>
            <w:tcW w:w="150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50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6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auto"/>
                <w:sz w:val="22"/>
                <w:szCs w:val="22"/>
              </w:rPr>
              <w:t>9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壁挂式热风干燥系统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1套</w:t>
            </w:r>
          </w:p>
        </w:tc>
        <w:tc>
          <w:tcPr>
            <w:tcW w:w="461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1.适用于医院管腔器械的干燥；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2.壁挂式，需外接气源及空气过滤器和压力调节阀；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3.设备电源：AC220V±10%， 50Hz±1，1.0kVA。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4.设备尺寸：≤260(长度)*340(宽度)*60(厚度)mm 。</w:t>
            </w:r>
          </w:p>
          <w:p>
            <w:pPr>
              <w:widowControl/>
              <w:spacing w:line="360" w:lineRule="exact"/>
              <w:jc w:val="left"/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5.风枪：工程塑料材质，枪身防烫，配耐高温弹簧，操作轻便。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6.工作气压：内置压力表，可实时显示气压，配压力调节阀，压力范围0.3-0.5MPa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7.干燥温度：温度可调，面板上设置温度和实际温度实时显示。</w:t>
            </w:r>
          </w:p>
        </w:tc>
        <w:tc>
          <w:tcPr>
            <w:tcW w:w="150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50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吊柜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腔镜清洗工作站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1套</w:t>
            </w:r>
          </w:p>
        </w:tc>
        <w:tc>
          <w:tcPr>
            <w:tcW w:w="461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1.台面、洗消槽、功能背板及干燥台等主体配置与材质要求：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用模具一体成形，具有抗压强度高，柔韧性好，耐侯性优良；抗氧化，耐强酸强碱，满足清洗槽使用消毒液不腐蚀</w:t>
            </w:r>
            <w:r>
              <w:rPr>
                <w:rFonts w:hint="eastAsia" w:ascii="宋体" w:hAnsi="宋体" w:cs="宋体"/>
                <w:kern w:val="0"/>
                <w:szCs w:val="21"/>
                <w:lang w:eastAsia="zh-CN" w:bidi="ar"/>
              </w:rPr>
              <w:t>。</w:t>
            </w:r>
          </w:p>
          <w:p>
            <w:pPr>
              <w:widowControl/>
              <w:numPr>
                <w:ilvl w:val="0"/>
                <w:numId w:val="3"/>
              </w:numPr>
              <w:spacing w:line="360" w:lineRule="auto"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台面、洗消槽及干燥台的规格与形状要求：                                    2.1内镜单方槽规格约为：0.87m×0.76m双方槽规格约为：1.685m×0.76m干燥台规格约为：1m×0.76m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2.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功能背板采用吊柜式设计，吊柜选用PVC板（或SUS304不锈钢）材质，非复合板及碳钢烤漆板，杜绝出现膨胀或生锈现象；柜体开门方式采用平行开门设计</w:t>
            </w:r>
            <w:r>
              <w:rPr>
                <w:rFonts w:hint="eastAsia" w:ascii="宋体" w:hAnsi="宋体" w:cs="宋体"/>
                <w:kern w:val="0"/>
                <w:szCs w:val="21"/>
                <w:lang w:eastAsia="zh-CN" w:bidi="ar"/>
              </w:rPr>
              <w:t>。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.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执行部分由：高压水泵、电磁阀、供气管组成。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.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.面板采用</w:t>
            </w:r>
            <w:r>
              <w:rPr>
                <w:rFonts w:hint="eastAsia" w:ascii="宋体" w:hAnsi="宋体" w:cs="宋体"/>
                <w:kern w:val="0"/>
                <w:szCs w:val="21"/>
                <w:lang w:eastAsia="zh-CN" w:bidi="ar"/>
              </w:rPr>
              <w:t>不小于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7寸彩色液晶屏，屏幕分辨率</w:t>
            </w:r>
            <w:r>
              <w:rPr>
                <w:rFonts w:hint="eastAsia" w:ascii="宋体" w:hAnsi="宋体" w:cs="宋体"/>
                <w:kern w:val="0"/>
                <w:szCs w:val="21"/>
                <w:lang w:eastAsia="zh-CN" w:bidi="ar"/>
              </w:rPr>
              <w:t>不低于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1024*600。各流程功能均由微电脑控制，一键启动。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.1中心处理器数量要求：1套；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.2采用优质气体处理器，气压调节范围：0～0.75Mpa，分离空气中的水分及其它杂质，为内镜洗消提供干燥纯净的压力空气，并另外设有注气压力调节器（不高于0.02MPa），专为内镜腔道提供清洁而又安全的气压，不损伤昂贵的内镜。无耗材、免维护、免清洗。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.专用空压机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.1专用空压机数量要求：1个；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.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具有压力显示功能，显示精确度≤0.02 MPa；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.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具备压力可调功能，可调范围 0.05MPa～1.0MPa。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.高压供水器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.1高压供水器数量要求：1个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.2电压：DC≥12V，电流：≥3.5A，出水水压：≥0.4MPa（恒压）。功率：≥36W，流量：≥5.0L/min（0.3T/h），控制：水压自动恒定控制、自动启动，高压脉冲型，具有高水压低水流特性。提供恒定高压力注水（用户供水水压在高于或低于设定压力时自动启动，维持恒定压力）。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.全不锈钢高压气枪数量要求：3把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7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.全不锈钢高压水枪数量要求：2把；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.嵌入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式超声波清洗机（1台）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.1用途：用于内镜及器械辅助清洗；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.2内胆采用304不锈钢；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.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内胆尺寸为：长宽高620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380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150mm容量约30L；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.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超声频率为40\80\120kHz，功率900w；</w:t>
            </w:r>
          </w:p>
          <w:p>
            <w:pPr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9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.煮沸消毒器（升降式）：（1台）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9.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工作电源：AC380V±38V   50Hz±1Hz, 13KW。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.3产品尺寸：≤740（L）*900(W)*855(H)mm，清洗舱容积≥102L，清洗舱尺寸：595*520*330mm。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.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自动升降门：设备采用自动升降开关门方式，减少工作人员负担及职业的可能性。自动升降门采用触摸屏操作和脚踢控制升降两种控制方式。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.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门防护：门具有防夹功能，防夹采用激光避障方式，门在下降过程中，遇到障碍物进行自动防护。</w:t>
            </w:r>
          </w:p>
        </w:tc>
        <w:tc>
          <w:tcPr>
            <w:tcW w:w="150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150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6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蒸汽清洗站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1套</w:t>
            </w:r>
          </w:p>
        </w:tc>
        <w:tc>
          <w:tcPr>
            <w:tcW w:w="461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一、主体</w:t>
            </w:r>
          </w:p>
          <w:p>
            <w:pPr>
              <w:pStyle w:val="11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1.1、台面、清洗槽、柜体，整机尺寸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：1400*680*1800mm，尺寸可根据要求定制。</w:t>
            </w:r>
          </w:p>
          <w:p>
            <w:pPr>
              <w:pStyle w:val="11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蒸汽槽规格尺寸要求：≥长600*宽450*高250mm  内槽为弧形设计，一次拉伸成型。</w:t>
            </w:r>
          </w:p>
          <w:p>
            <w:pPr>
              <w:pStyle w:val="11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二、蒸汽清洗机</w:t>
            </w:r>
          </w:p>
          <w:p>
            <w:pPr>
              <w:pStyle w:val="11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2.1、壳体：罐体</w:t>
            </w:r>
          </w:p>
          <w:p>
            <w:pPr>
              <w:pStyle w:val="11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2.2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材质要求：外罩采用SUS304不锈钢拉丝板，板材厚度≥1.2mm，罐体材料为优质不锈钢筒体，壁厚≥4mm</w:t>
            </w:r>
          </w:p>
          <w:p>
            <w:pPr>
              <w:pStyle w:val="11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2.3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结构要求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外罩： 侧端采用互通样式通风口，设计压力≥1.5Mpa</w:t>
            </w:r>
          </w:p>
          <w:p>
            <w:pPr>
              <w:pStyle w:val="11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2.4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容量要求：≥5L</w:t>
            </w:r>
          </w:p>
          <w:p>
            <w:pPr>
              <w:pStyle w:val="11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2.5外形尺寸：长440*宽380*高380 mm，可以直接隐藏式放在柜体里面</w:t>
            </w:r>
          </w:p>
          <w:p>
            <w:pPr>
              <w:pStyle w:val="11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2.7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蒸汽枪要求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：手柄按键式操作，简单便捷；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不少于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8个标准喷头，触电膜开关，加热到0.8Mpa,连续喷气30min，操作手柄表面温度≤45℃</w:t>
            </w:r>
          </w:p>
          <w:p>
            <w:pPr>
              <w:pStyle w:val="11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2.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控制系统要求：彩色液晶触摸屏，可编程序控制，时间、温度可调。 预置标准程序可随时工作。并可显示槽内温度、工作运行时间、 报警信息等参数；一键启动启动方便快捷，具有故障自动检测功能及提示故障处理方法。四、排风装置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ab/>
            </w:r>
          </w:p>
          <w:p>
            <w:pPr>
              <w:pStyle w:val="11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4.1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负压吸引系统：采用真空负压吸引排放系统技术，功率0.75KW、-0.45bar有效避免透明防护罩雾化，保障清洗时清晰可见度，风量≥800立方米/h吸引排风系统，100%无气溶胶蒸汽析出，减少了对工作人员的伤害。 </w:t>
            </w:r>
          </w:p>
          <w:p>
            <w:pPr>
              <w:pStyle w:val="11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五、主要配件参数</w:t>
            </w:r>
          </w:p>
          <w:p>
            <w:pPr>
              <w:pStyle w:val="11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5.1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、电动阀要求：采用耐高温电动阀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。</w:t>
            </w:r>
          </w:p>
          <w:p>
            <w:pPr>
              <w:pStyle w:val="11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5.2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、蒸汽槽： 1套</w:t>
            </w:r>
          </w:p>
          <w:p>
            <w:pPr>
              <w:pStyle w:val="11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5.3、蒸汽枪：1套</w:t>
            </w:r>
          </w:p>
          <w:p>
            <w:pPr>
              <w:pStyle w:val="11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5.4、蒸汽发清洗机：1台</w:t>
            </w:r>
          </w:p>
          <w:p>
            <w:pPr>
              <w:pStyle w:val="11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5.5、高分子透明防护罩：1套</w:t>
            </w:r>
          </w:p>
          <w:p>
            <w:pPr>
              <w:pStyle w:val="11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5.6、负压吸引系统：1套</w:t>
            </w:r>
          </w:p>
          <w:p>
            <w:pPr>
              <w:pStyle w:val="11"/>
              <w:jc w:val="left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5.7、不锈钢水龙头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：1套</w:t>
            </w:r>
          </w:p>
        </w:tc>
        <w:tc>
          <w:tcPr>
            <w:tcW w:w="150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50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6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污物分类台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1个</w:t>
            </w:r>
          </w:p>
        </w:tc>
        <w:tc>
          <w:tcPr>
            <w:tcW w:w="461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1、外形尺寸：1500*600*800mm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2、采用优质不锈钢材质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3、用于污染物品的分类、清洗存放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150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150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6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污物接收台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1个</w:t>
            </w:r>
          </w:p>
        </w:tc>
        <w:tc>
          <w:tcPr>
            <w:tcW w:w="461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1、外形尺寸：1100*600*800mm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2、采用优质不锈钢</w:t>
            </w:r>
          </w:p>
        </w:tc>
        <w:tc>
          <w:tcPr>
            <w:tcW w:w="150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50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6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cs="宋体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高压清洗机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1台</w:t>
            </w:r>
          </w:p>
        </w:tc>
        <w:tc>
          <w:tcPr>
            <w:tcW w:w="461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1.用途：用于密封下送车污物回收车的清洗消毒；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2.工作流量：5L/min,最大6.5L/min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3.出水压力：6.7MPa,最大压力10MPa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4.最大输入压力：1MPa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5.功率：1300W</w:t>
            </w:r>
          </w:p>
        </w:tc>
        <w:tc>
          <w:tcPr>
            <w:tcW w:w="150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50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</w:tbl>
    <w:p>
      <w:pPr>
        <w:pStyle w:val="15"/>
        <w:spacing w:line="360" w:lineRule="auto"/>
        <w:ind w:left="25" w:leftChars="12" w:firstLine="325" w:firstLineChars="147"/>
        <w:rPr>
          <w:rFonts w:hint="eastAsia" w:hAnsi="宋体" w:cs="宋体"/>
          <w:b/>
          <w:color w:val="000000"/>
          <w:sz w:val="22"/>
          <w:szCs w:val="22"/>
        </w:rPr>
      </w:pPr>
    </w:p>
    <w:p>
      <w:pPr>
        <w:snapToGrid w:val="0"/>
        <w:jc w:val="left"/>
        <w:rPr>
          <w:rFonts w:hint="eastAsia" w:ascii="宋体" w:hAnsi="宋体" w:cs="宋体"/>
          <w:color w:val="000000"/>
          <w:sz w:val="22"/>
          <w:szCs w:val="22"/>
        </w:rPr>
      </w:pPr>
    </w:p>
    <w:sectPr>
      <w:footerReference r:id="rId5" w:type="first"/>
      <w:headerReference r:id="rId3" w:type="default"/>
      <w:footerReference r:id="rId4" w:type="default"/>
      <w:pgSz w:w="11910" w:h="16840"/>
      <w:pgMar w:top="1168" w:right="1055" w:bottom="1071" w:left="1395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6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fPguckBAACZAwAADgAAAGRycy9lMm9Eb2MueG1srVPNjtMwEL6vxDtY&#10;vlNnK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mUOG5x4OefP86/Hs8P38mb&#10;LE8foMasu4B5aXjvh5w6+QGdmfWgos1f5EMwjuKeLuLKIRGRH62Wq1WFIYGx+YI47Ol5iJA+SG9J&#10;NhoacXpFVH78BGlMnVNyNedvtTHo57VxfzkQM3tY7n3sMVtp2A1T4zvfnpBPj4NvqMM9p8R8dKhr&#10;3pHZiLOxm41DiHrflSXK9SC8OyRsovSWK4ywU2GcWGE3bVdeiT/vJevpj9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h8+C5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6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37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1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6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CX2Gk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6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3ABD93"/>
    <w:multiLevelType w:val="singleLevel"/>
    <w:tmpl w:val="843ABD9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CD8AA8D"/>
    <w:multiLevelType w:val="singleLevel"/>
    <w:tmpl w:val="BCD8AA8D"/>
    <w:lvl w:ilvl="0" w:tentative="0">
      <w:start w:val="1"/>
      <w:numFmt w:val="decimal"/>
      <w:pStyle w:val="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2">
    <w:nsid w:val="012A45ED"/>
    <w:multiLevelType w:val="multilevel"/>
    <w:tmpl w:val="012A45E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decimal"/>
      <w:lvlText w:val="%2、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pStyle w:val="5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lYjUwMDM5MDYwOTNmOTk2MWZkOTNhYzAyNDc4OTMifQ=="/>
  </w:docVars>
  <w:rsids>
    <w:rsidRoot w:val="00FE2540"/>
    <w:rsid w:val="000C3D5E"/>
    <w:rsid w:val="00163B5E"/>
    <w:rsid w:val="00172E78"/>
    <w:rsid w:val="004C6939"/>
    <w:rsid w:val="005D5572"/>
    <w:rsid w:val="00687862"/>
    <w:rsid w:val="007637EC"/>
    <w:rsid w:val="007875EE"/>
    <w:rsid w:val="007D32D4"/>
    <w:rsid w:val="0085038F"/>
    <w:rsid w:val="008842DF"/>
    <w:rsid w:val="0097594C"/>
    <w:rsid w:val="00B62B4D"/>
    <w:rsid w:val="00C276D6"/>
    <w:rsid w:val="00D67631"/>
    <w:rsid w:val="00DD710C"/>
    <w:rsid w:val="00DE47E5"/>
    <w:rsid w:val="00F407E2"/>
    <w:rsid w:val="00FA1CEA"/>
    <w:rsid w:val="00FE2540"/>
    <w:rsid w:val="013E1A16"/>
    <w:rsid w:val="01521C8D"/>
    <w:rsid w:val="016232D1"/>
    <w:rsid w:val="0178590C"/>
    <w:rsid w:val="01BA5FCD"/>
    <w:rsid w:val="01BF0969"/>
    <w:rsid w:val="01E1277F"/>
    <w:rsid w:val="01EF0FCE"/>
    <w:rsid w:val="0213141D"/>
    <w:rsid w:val="023066CB"/>
    <w:rsid w:val="02A84BE2"/>
    <w:rsid w:val="02C866AB"/>
    <w:rsid w:val="02EB149D"/>
    <w:rsid w:val="02FA7806"/>
    <w:rsid w:val="03687828"/>
    <w:rsid w:val="03C30E4D"/>
    <w:rsid w:val="046014C3"/>
    <w:rsid w:val="04640DD8"/>
    <w:rsid w:val="04EE7F1F"/>
    <w:rsid w:val="04F1140B"/>
    <w:rsid w:val="053A3164"/>
    <w:rsid w:val="055B0844"/>
    <w:rsid w:val="05676916"/>
    <w:rsid w:val="05B00AA5"/>
    <w:rsid w:val="05B66C8F"/>
    <w:rsid w:val="05D56314"/>
    <w:rsid w:val="05EB2750"/>
    <w:rsid w:val="05F17CC7"/>
    <w:rsid w:val="06FD6B08"/>
    <w:rsid w:val="071B421C"/>
    <w:rsid w:val="071F47D4"/>
    <w:rsid w:val="0746144D"/>
    <w:rsid w:val="07A751AF"/>
    <w:rsid w:val="07B0512D"/>
    <w:rsid w:val="084E7541"/>
    <w:rsid w:val="084F36D4"/>
    <w:rsid w:val="085D7E4F"/>
    <w:rsid w:val="08AF79C5"/>
    <w:rsid w:val="08BF2532"/>
    <w:rsid w:val="08DF32A4"/>
    <w:rsid w:val="08EF447B"/>
    <w:rsid w:val="08EF7CFA"/>
    <w:rsid w:val="09332723"/>
    <w:rsid w:val="095E5061"/>
    <w:rsid w:val="096B5ED6"/>
    <w:rsid w:val="0A5B6057"/>
    <w:rsid w:val="0A881731"/>
    <w:rsid w:val="0AA61D51"/>
    <w:rsid w:val="0AAF6AF4"/>
    <w:rsid w:val="0ADA236A"/>
    <w:rsid w:val="0AE47DFA"/>
    <w:rsid w:val="0AE918B4"/>
    <w:rsid w:val="0B047927"/>
    <w:rsid w:val="0B2428ED"/>
    <w:rsid w:val="0B5331D2"/>
    <w:rsid w:val="0B570618"/>
    <w:rsid w:val="0B5F56D3"/>
    <w:rsid w:val="0B654B12"/>
    <w:rsid w:val="0BB80D15"/>
    <w:rsid w:val="0BCC39E2"/>
    <w:rsid w:val="0BEC4A61"/>
    <w:rsid w:val="0C984A61"/>
    <w:rsid w:val="0CC003F3"/>
    <w:rsid w:val="0CDF68EC"/>
    <w:rsid w:val="0CF3004D"/>
    <w:rsid w:val="0D533015"/>
    <w:rsid w:val="0D647EFF"/>
    <w:rsid w:val="0D7F7418"/>
    <w:rsid w:val="0D840A84"/>
    <w:rsid w:val="0DB02DA2"/>
    <w:rsid w:val="0DB07E20"/>
    <w:rsid w:val="0DBB0A3B"/>
    <w:rsid w:val="0E264D90"/>
    <w:rsid w:val="0E2C1FE0"/>
    <w:rsid w:val="0E654569"/>
    <w:rsid w:val="0E6B0F3D"/>
    <w:rsid w:val="0E81294B"/>
    <w:rsid w:val="0EBD108E"/>
    <w:rsid w:val="0EEC717A"/>
    <w:rsid w:val="0F3346E5"/>
    <w:rsid w:val="0F9477AA"/>
    <w:rsid w:val="0FC52521"/>
    <w:rsid w:val="0FDE35BC"/>
    <w:rsid w:val="1053332C"/>
    <w:rsid w:val="106F21FD"/>
    <w:rsid w:val="109F095D"/>
    <w:rsid w:val="10A51DDA"/>
    <w:rsid w:val="10FE0847"/>
    <w:rsid w:val="110A7075"/>
    <w:rsid w:val="11444317"/>
    <w:rsid w:val="1183789B"/>
    <w:rsid w:val="11970A0A"/>
    <w:rsid w:val="11DF2538"/>
    <w:rsid w:val="11E0470C"/>
    <w:rsid w:val="124F6B50"/>
    <w:rsid w:val="125457F4"/>
    <w:rsid w:val="125D2834"/>
    <w:rsid w:val="125E055F"/>
    <w:rsid w:val="127A5AD5"/>
    <w:rsid w:val="127F6A58"/>
    <w:rsid w:val="12D13580"/>
    <w:rsid w:val="12EA3623"/>
    <w:rsid w:val="130003A3"/>
    <w:rsid w:val="132E2569"/>
    <w:rsid w:val="133418CB"/>
    <w:rsid w:val="135004FB"/>
    <w:rsid w:val="13713219"/>
    <w:rsid w:val="13BA240D"/>
    <w:rsid w:val="13E63119"/>
    <w:rsid w:val="143442E5"/>
    <w:rsid w:val="144D6F2F"/>
    <w:rsid w:val="144F1093"/>
    <w:rsid w:val="14A45F3A"/>
    <w:rsid w:val="150B6CB2"/>
    <w:rsid w:val="15420AF2"/>
    <w:rsid w:val="156839A2"/>
    <w:rsid w:val="15A5233F"/>
    <w:rsid w:val="15D453F7"/>
    <w:rsid w:val="165B1D5D"/>
    <w:rsid w:val="16634B89"/>
    <w:rsid w:val="167B0738"/>
    <w:rsid w:val="16A2220E"/>
    <w:rsid w:val="16C50850"/>
    <w:rsid w:val="16D73273"/>
    <w:rsid w:val="171916E9"/>
    <w:rsid w:val="175D5164"/>
    <w:rsid w:val="179901BE"/>
    <w:rsid w:val="17D94A63"/>
    <w:rsid w:val="17EB16FF"/>
    <w:rsid w:val="17EF7DDE"/>
    <w:rsid w:val="18523A81"/>
    <w:rsid w:val="18591D0D"/>
    <w:rsid w:val="186176B1"/>
    <w:rsid w:val="18BA7466"/>
    <w:rsid w:val="18D94D16"/>
    <w:rsid w:val="19164D58"/>
    <w:rsid w:val="1927372E"/>
    <w:rsid w:val="1A4433D8"/>
    <w:rsid w:val="1A7B4AAD"/>
    <w:rsid w:val="1B2B6C67"/>
    <w:rsid w:val="1BB11F7A"/>
    <w:rsid w:val="1BEC77DF"/>
    <w:rsid w:val="1C1E60A1"/>
    <w:rsid w:val="1C483FBE"/>
    <w:rsid w:val="1C525A91"/>
    <w:rsid w:val="1CA765F7"/>
    <w:rsid w:val="1CD630B7"/>
    <w:rsid w:val="1D4F4B37"/>
    <w:rsid w:val="1D5B233B"/>
    <w:rsid w:val="1D7A45EE"/>
    <w:rsid w:val="1DAF4F77"/>
    <w:rsid w:val="1DD97409"/>
    <w:rsid w:val="1E1B6297"/>
    <w:rsid w:val="1E51534F"/>
    <w:rsid w:val="1E6A799F"/>
    <w:rsid w:val="1E900DD2"/>
    <w:rsid w:val="1EB102EB"/>
    <w:rsid w:val="1EB62D7B"/>
    <w:rsid w:val="1F6033E8"/>
    <w:rsid w:val="1F751D2D"/>
    <w:rsid w:val="1F9C2F03"/>
    <w:rsid w:val="1FA80DFA"/>
    <w:rsid w:val="1FB634D7"/>
    <w:rsid w:val="1FC51AA8"/>
    <w:rsid w:val="1FDD66D9"/>
    <w:rsid w:val="1FE557AB"/>
    <w:rsid w:val="20307454"/>
    <w:rsid w:val="203F13EF"/>
    <w:rsid w:val="2053055D"/>
    <w:rsid w:val="20534951"/>
    <w:rsid w:val="20A641B9"/>
    <w:rsid w:val="20DB698E"/>
    <w:rsid w:val="20E92247"/>
    <w:rsid w:val="214B1562"/>
    <w:rsid w:val="220D5A31"/>
    <w:rsid w:val="22917E74"/>
    <w:rsid w:val="22D1633E"/>
    <w:rsid w:val="22DB2830"/>
    <w:rsid w:val="22E75F90"/>
    <w:rsid w:val="22EE7B1D"/>
    <w:rsid w:val="2314780F"/>
    <w:rsid w:val="235E5611"/>
    <w:rsid w:val="23790688"/>
    <w:rsid w:val="23937A3F"/>
    <w:rsid w:val="239D03D1"/>
    <w:rsid w:val="23BC770E"/>
    <w:rsid w:val="23C23A39"/>
    <w:rsid w:val="23DC5285"/>
    <w:rsid w:val="24090DEE"/>
    <w:rsid w:val="24575689"/>
    <w:rsid w:val="24886CA2"/>
    <w:rsid w:val="24C0322E"/>
    <w:rsid w:val="24C9132E"/>
    <w:rsid w:val="24CA0EDA"/>
    <w:rsid w:val="24D26126"/>
    <w:rsid w:val="24E715EF"/>
    <w:rsid w:val="250C1FD0"/>
    <w:rsid w:val="25257535"/>
    <w:rsid w:val="254479BB"/>
    <w:rsid w:val="256252E8"/>
    <w:rsid w:val="25867FD4"/>
    <w:rsid w:val="258E15E7"/>
    <w:rsid w:val="25CF0BF0"/>
    <w:rsid w:val="25DA0320"/>
    <w:rsid w:val="25F82C0F"/>
    <w:rsid w:val="26445799"/>
    <w:rsid w:val="26841A89"/>
    <w:rsid w:val="269D1AC8"/>
    <w:rsid w:val="26A5092E"/>
    <w:rsid w:val="26FB3535"/>
    <w:rsid w:val="270618B7"/>
    <w:rsid w:val="270A7FA3"/>
    <w:rsid w:val="276C27A7"/>
    <w:rsid w:val="27871DE1"/>
    <w:rsid w:val="27C9769D"/>
    <w:rsid w:val="27DA0163"/>
    <w:rsid w:val="283D35B1"/>
    <w:rsid w:val="286A0A07"/>
    <w:rsid w:val="287868DB"/>
    <w:rsid w:val="287B0392"/>
    <w:rsid w:val="28995F69"/>
    <w:rsid w:val="292C04A2"/>
    <w:rsid w:val="293E5F38"/>
    <w:rsid w:val="29A94BD5"/>
    <w:rsid w:val="29AA1DB7"/>
    <w:rsid w:val="29AB414D"/>
    <w:rsid w:val="29F56B73"/>
    <w:rsid w:val="2A2207A6"/>
    <w:rsid w:val="2A49597A"/>
    <w:rsid w:val="2A571FB8"/>
    <w:rsid w:val="2A6460CA"/>
    <w:rsid w:val="2A9D0D4E"/>
    <w:rsid w:val="2AB360A9"/>
    <w:rsid w:val="2AEB2519"/>
    <w:rsid w:val="2B055DED"/>
    <w:rsid w:val="2B2A5341"/>
    <w:rsid w:val="2B675434"/>
    <w:rsid w:val="2B7B05AF"/>
    <w:rsid w:val="2BBB45B8"/>
    <w:rsid w:val="2BE96F01"/>
    <w:rsid w:val="2C027C88"/>
    <w:rsid w:val="2C352A1A"/>
    <w:rsid w:val="2C6803E8"/>
    <w:rsid w:val="2C7E1D3B"/>
    <w:rsid w:val="2D0F3EF4"/>
    <w:rsid w:val="2DB26E52"/>
    <w:rsid w:val="2DB33BE0"/>
    <w:rsid w:val="2DDC2D3E"/>
    <w:rsid w:val="2E5844D8"/>
    <w:rsid w:val="2E762F5B"/>
    <w:rsid w:val="2EAE4419"/>
    <w:rsid w:val="2F10062A"/>
    <w:rsid w:val="2F161737"/>
    <w:rsid w:val="2F6F0B8C"/>
    <w:rsid w:val="2F6F0F50"/>
    <w:rsid w:val="2F6F4B44"/>
    <w:rsid w:val="2F794705"/>
    <w:rsid w:val="2F8C268B"/>
    <w:rsid w:val="2FB56B53"/>
    <w:rsid w:val="2FBA62D4"/>
    <w:rsid w:val="2FE726F9"/>
    <w:rsid w:val="2FF05E74"/>
    <w:rsid w:val="30533F6E"/>
    <w:rsid w:val="30750D3B"/>
    <w:rsid w:val="308B0249"/>
    <w:rsid w:val="31162FEA"/>
    <w:rsid w:val="312C49B4"/>
    <w:rsid w:val="313A35EF"/>
    <w:rsid w:val="31447CFF"/>
    <w:rsid w:val="3156493B"/>
    <w:rsid w:val="31A056D5"/>
    <w:rsid w:val="31B36AA4"/>
    <w:rsid w:val="322F72FD"/>
    <w:rsid w:val="32335040"/>
    <w:rsid w:val="32785148"/>
    <w:rsid w:val="32991814"/>
    <w:rsid w:val="32A442DF"/>
    <w:rsid w:val="330139BB"/>
    <w:rsid w:val="3323063B"/>
    <w:rsid w:val="3344502A"/>
    <w:rsid w:val="334D1BEF"/>
    <w:rsid w:val="339836C4"/>
    <w:rsid w:val="33C543BD"/>
    <w:rsid w:val="33FB70CE"/>
    <w:rsid w:val="345F0C0E"/>
    <w:rsid w:val="34F9043A"/>
    <w:rsid w:val="35064114"/>
    <w:rsid w:val="350908BE"/>
    <w:rsid w:val="350D4F59"/>
    <w:rsid w:val="353C3A0C"/>
    <w:rsid w:val="354946BF"/>
    <w:rsid w:val="35A46BE2"/>
    <w:rsid w:val="35FD7FF2"/>
    <w:rsid w:val="36425FAA"/>
    <w:rsid w:val="366D1C16"/>
    <w:rsid w:val="36C46AB1"/>
    <w:rsid w:val="36DE46C4"/>
    <w:rsid w:val="375717D0"/>
    <w:rsid w:val="376932B2"/>
    <w:rsid w:val="37726BFC"/>
    <w:rsid w:val="37A8389D"/>
    <w:rsid w:val="37C738C0"/>
    <w:rsid w:val="37D61BD5"/>
    <w:rsid w:val="37E449AE"/>
    <w:rsid w:val="37F33C83"/>
    <w:rsid w:val="38043A72"/>
    <w:rsid w:val="38092F17"/>
    <w:rsid w:val="380D1DA1"/>
    <w:rsid w:val="38250FFE"/>
    <w:rsid w:val="38501CC7"/>
    <w:rsid w:val="38950DA7"/>
    <w:rsid w:val="38D16055"/>
    <w:rsid w:val="39243934"/>
    <w:rsid w:val="396401D4"/>
    <w:rsid w:val="39C12F31"/>
    <w:rsid w:val="39E937E8"/>
    <w:rsid w:val="3A735BB6"/>
    <w:rsid w:val="3A882C86"/>
    <w:rsid w:val="3B3B6CA2"/>
    <w:rsid w:val="3BA945C4"/>
    <w:rsid w:val="3BBF7944"/>
    <w:rsid w:val="3BDF2E8B"/>
    <w:rsid w:val="3BE3267B"/>
    <w:rsid w:val="3C8A2427"/>
    <w:rsid w:val="3C9E1B26"/>
    <w:rsid w:val="3CBE68E3"/>
    <w:rsid w:val="3D0F48FB"/>
    <w:rsid w:val="3D65474D"/>
    <w:rsid w:val="3D7E2E24"/>
    <w:rsid w:val="3DA42B88"/>
    <w:rsid w:val="3DA75107"/>
    <w:rsid w:val="3DB02669"/>
    <w:rsid w:val="3DC20808"/>
    <w:rsid w:val="3DD87553"/>
    <w:rsid w:val="3DEE4E5C"/>
    <w:rsid w:val="3DF63D78"/>
    <w:rsid w:val="3DFC2B6B"/>
    <w:rsid w:val="3E250720"/>
    <w:rsid w:val="3E315959"/>
    <w:rsid w:val="3E333186"/>
    <w:rsid w:val="3E521EA1"/>
    <w:rsid w:val="3E720A67"/>
    <w:rsid w:val="3E742C68"/>
    <w:rsid w:val="3E7B4D8F"/>
    <w:rsid w:val="3E9D741A"/>
    <w:rsid w:val="3EC21EC7"/>
    <w:rsid w:val="3F0F473E"/>
    <w:rsid w:val="3F696545"/>
    <w:rsid w:val="3F79434E"/>
    <w:rsid w:val="3FCC0881"/>
    <w:rsid w:val="3FE43052"/>
    <w:rsid w:val="405C7E57"/>
    <w:rsid w:val="40642868"/>
    <w:rsid w:val="406E3006"/>
    <w:rsid w:val="40866FF0"/>
    <w:rsid w:val="408D3138"/>
    <w:rsid w:val="40BA1A3E"/>
    <w:rsid w:val="4102744E"/>
    <w:rsid w:val="414A022C"/>
    <w:rsid w:val="416F5B7F"/>
    <w:rsid w:val="41B40FF8"/>
    <w:rsid w:val="423D48A6"/>
    <w:rsid w:val="42541572"/>
    <w:rsid w:val="42764AD5"/>
    <w:rsid w:val="42CC2B70"/>
    <w:rsid w:val="42F2194B"/>
    <w:rsid w:val="4315361E"/>
    <w:rsid w:val="431A42C3"/>
    <w:rsid w:val="434B4DC0"/>
    <w:rsid w:val="437017B5"/>
    <w:rsid w:val="43C532AA"/>
    <w:rsid w:val="43D540E0"/>
    <w:rsid w:val="43FB2CD2"/>
    <w:rsid w:val="440156EF"/>
    <w:rsid w:val="44066E94"/>
    <w:rsid w:val="440C7D7A"/>
    <w:rsid w:val="443C0E21"/>
    <w:rsid w:val="44410C36"/>
    <w:rsid w:val="44476729"/>
    <w:rsid w:val="446954AC"/>
    <w:rsid w:val="44AC647C"/>
    <w:rsid w:val="44C33916"/>
    <w:rsid w:val="44CB7FF4"/>
    <w:rsid w:val="459870D2"/>
    <w:rsid w:val="45E10D59"/>
    <w:rsid w:val="463D2FD2"/>
    <w:rsid w:val="4642047F"/>
    <w:rsid w:val="465C4F1D"/>
    <w:rsid w:val="465D3252"/>
    <w:rsid w:val="467C47F5"/>
    <w:rsid w:val="46A529AE"/>
    <w:rsid w:val="46A80E87"/>
    <w:rsid w:val="46BA58D8"/>
    <w:rsid w:val="46BE1C04"/>
    <w:rsid w:val="46D33A11"/>
    <w:rsid w:val="46DE2752"/>
    <w:rsid w:val="4705742D"/>
    <w:rsid w:val="479825AD"/>
    <w:rsid w:val="47BB52E5"/>
    <w:rsid w:val="47E0136E"/>
    <w:rsid w:val="483F42E6"/>
    <w:rsid w:val="48F919B1"/>
    <w:rsid w:val="49032750"/>
    <w:rsid w:val="494C47F7"/>
    <w:rsid w:val="494F76CE"/>
    <w:rsid w:val="496B4928"/>
    <w:rsid w:val="496F0BFB"/>
    <w:rsid w:val="497E0BAB"/>
    <w:rsid w:val="49894135"/>
    <w:rsid w:val="49A95670"/>
    <w:rsid w:val="49C11094"/>
    <w:rsid w:val="49E02B49"/>
    <w:rsid w:val="4A273ECB"/>
    <w:rsid w:val="4A464AE8"/>
    <w:rsid w:val="4A90553F"/>
    <w:rsid w:val="4A9C3B5F"/>
    <w:rsid w:val="4AB23144"/>
    <w:rsid w:val="4B2A4224"/>
    <w:rsid w:val="4B2D30CB"/>
    <w:rsid w:val="4B655460"/>
    <w:rsid w:val="4B696CD8"/>
    <w:rsid w:val="4B7F49FA"/>
    <w:rsid w:val="4C000128"/>
    <w:rsid w:val="4C132FC1"/>
    <w:rsid w:val="4C1D5407"/>
    <w:rsid w:val="4C332AE5"/>
    <w:rsid w:val="4C4801FF"/>
    <w:rsid w:val="4CAA59EB"/>
    <w:rsid w:val="4CCB62B6"/>
    <w:rsid w:val="4CF1614A"/>
    <w:rsid w:val="4D0F61C4"/>
    <w:rsid w:val="4D110AC5"/>
    <w:rsid w:val="4D447AF9"/>
    <w:rsid w:val="4D575AFC"/>
    <w:rsid w:val="4DAF7E4C"/>
    <w:rsid w:val="4DCE6884"/>
    <w:rsid w:val="4E00768E"/>
    <w:rsid w:val="4E1E02E8"/>
    <w:rsid w:val="4E241889"/>
    <w:rsid w:val="4E2D698F"/>
    <w:rsid w:val="4E437684"/>
    <w:rsid w:val="4E577EB0"/>
    <w:rsid w:val="4E7D5C14"/>
    <w:rsid w:val="4EDF00BF"/>
    <w:rsid w:val="4F005E52"/>
    <w:rsid w:val="4F0A73DD"/>
    <w:rsid w:val="4F1A3CE9"/>
    <w:rsid w:val="4F2B6E56"/>
    <w:rsid w:val="4F761B09"/>
    <w:rsid w:val="4F7B171E"/>
    <w:rsid w:val="4F7C54AB"/>
    <w:rsid w:val="4FCC21D8"/>
    <w:rsid w:val="50342257"/>
    <w:rsid w:val="50470410"/>
    <w:rsid w:val="50856C04"/>
    <w:rsid w:val="50984A69"/>
    <w:rsid w:val="50D31A4F"/>
    <w:rsid w:val="50E96661"/>
    <w:rsid w:val="51700665"/>
    <w:rsid w:val="517E16DC"/>
    <w:rsid w:val="519C0FC2"/>
    <w:rsid w:val="51BB1B8C"/>
    <w:rsid w:val="51E43C34"/>
    <w:rsid w:val="51ED1C6D"/>
    <w:rsid w:val="51EF032B"/>
    <w:rsid w:val="51F27F6D"/>
    <w:rsid w:val="523B30B9"/>
    <w:rsid w:val="52982FDE"/>
    <w:rsid w:val="52BA393A"/>
    <w:rsid w:val="52C5745E"/>
    <w:rsid w:val="52D92366"/>
    <w:rsid w:val="52FC5B0A"/>
    <w:rsid w:val="536C65B8"/>
    <w:rsid w:val="537C6D46"/>
    <w:rsid w:val="53982AFD"/>
    <w:rsid w:val="53A73844"/>
    <w:rsid w:val="53AC696A"/>
    <w:rsid w:val="53B7124F"/>
    <w:rsid w:val="541F4FCC"/>
    <w:rsid w:val="54230120"/>
    <w:rsid w:val="542A555A"/>
    <w:rsid w:val="54EE60A1"/>
    <w:rsid w:val="54EF2BF0"/>
    <w:rsid w:val="54F57FFF"/>
    <w:rsid w:val="550063E9"/>
    <w:rsid w:val="551B39E5"/>
    <w:rsid w:val="553447F0"/>
    <w:rsid w:val="557157C6"/>
    <w:rsid w:val="55741EFB"/>
    <w:rsid w:val="55B73327"/>
    <w:rsid w:val="55E97640"/>
    <w:rsid w:val="55F37482"/>
    <w:rsid w:val="55F655FB"/>
    <w:rsid w:val="56005CDE"/>
    <w:rsid w:val="566D0CA1"/>
    <w:rsid w:val="567515C3"/>
    <w:rsid w:val="56BD05D4"/>
    <w:rsid w:val="56F91B04"/>
    <w:rsid w:val="56FE210A"/>
    <w:rsid w:val="577E22AE"/>
    <w:rsid w:val="57C1138B"/>
    <w:rsid w:val="57E95BC9"/>
    <w:rsid w:val="57F21F58"/>
    <w:rsid w:val="5823430B"/>
    <w:rsid w:val="584B4346"/>
    <w:rsid w:val="586F4450"/>
    <w:rsid w:val="58871D81"/>
    <w:rsid w:val="58D03E1B"/>
    <w:rsid w:val="59150F1B"/>
    <w:rsid w:val="5967369D"/>
    <w:rsid w:val="597A5DA9"/>
    <w:rsid w:val="597B439A"/>
    <w:rsid w:val="59C50DA9"/>
    <w:rsid w:val="59DB1995"/>
    <w:rsid w:val="5A3F1F24"/>
    <w:rsid w:val="5A493823"/>
    <w:rsid w:val="5A69419E"/>
    <w:rsid w:val="5AF26F96"/>
    <w:rsid w:val="5B5A4B3C"/>
    <w:rsid w:val="5B721E85"/>
    <w:rsid w:val="5C0D4069"/>
    <w:rsid w:val="5C174686"/>
    <w:rsid w:val="5C4750C0"/>
    <w:rsid w:val="5C4E4675"/>
    <w:rsid w:val="5C8A2EFE"/>
    <w:rsid w:val="5C936557"/>
    <w:rsid w:val="5CA471A4"/>
    <w:rsid w:val="5CCD47EC"/>
    <w:rsid w:val="5CDC150B"/>
    <w:rsid w:val="5CE1369D"/>
    <w:rsid w:val="5D0246C1"/>
    <w:rsid w:val="5D215911"/>
    <w:rsid w:val="5D330B54"/>
    <w:rsid w:val="5D34259A"/>
    <w:rsid w:val="5D3D63DE"/>
    <w:rsid w:val="5D3F4BF0"/>
    <w:rsid w:val="5D540BAF"/>
    <w:rsid w:val="5D7B7998"/>
    <w:rsid w:val="5D7F4929"/>
    <w:rsid w:val="5D8D3526"/>
    <w:rsid w:val="5DAF2ACA"/>
    <w:rsid w:val="5DD05B5F"/>
    <w:rsid w:val="5DE7700A"/>
    <w:rsid w:val="5E231D6D"/>
    <w:rsid w:val="5E2B4113"/>
    <w:rsid w:val="5E485079"/>
    <w:rsid w:val="5E5B12F6"/>
    <w:rsid w:val="5E7C101F"/>
    <w:rsid w:val="5EB12673"/>
    <w:rsid w:val="5EDC521E"/>
    <w:rsid w:val="5F494EE8"/>
    <w:rsid w:val="5F5D4BFA"/>
    <w:rsid w:val="5F7C02C8"/>
    <w:rsid w:val="5F870BD6"/>
    <w:rsid w:val="6011058C"/>
    <w:rsid w:val="60215FD5"/>
    <w:rsid w:val="608B03F9"/>
    <w:rsid w:val="60A920C2"/>
    <w:rsid w:val="60C54520"/>
    <w:rsid w:val="60D717C1"/>
    <w:rsid w:val="60E66CCC"/>
    <w:rsid w:val="61A378F9"/>
    <w:rsid w:val="61DA69D6"/>
    <w:rsid w:val="628B7490"/>
    <w:rsid w:val="62C06D0D"/>
    <w:rsid w:val="62C358B5"/>
    <w:rsid w:val="62C914DB"/>
    <w:rsid w:val="6360596F"/>
    <w:rsid w:val="637F3CAB"/>
    <w:rsid w:val="63A44AAA"/>
    <w:rsid w:val="63E3567B"/>
    <w:rsid w:val="63E93A51"/>
    <w:rsid w:val="642F6EA2"/>
    <w:rsid w:val="644907AB"/>
    <w:rsid w:val="6470717E"/>
    <w:rsid w:val="64C70214"/>
    <w:rsid w:val="64D14BF1"/>
    <w:rsid w:val="64D9042F"/>
    <w:rsid w:val="64F64B09"/>
    <w:rsid w:val="65266133"/>
    <w:rsid w:val="65801C60"/>
    <w:rsid w:val="65A75B2F"/>
    <w:rsid w:val="65AF0FF7"/>
    <w:rsid w:val="65BA2DA7"/>
    <w:rsid w:val="65D36190"/>
    <w:rsid w:val="6615291A"/>
    <w:rsid w:val="676A160C"/>
    <w:rsid w:val="679E7AAA"/>
    <w:rsid w:val="67C26CC2"/>
    <w:rsid w:val="67D725D7"/>
    <w:rsid w:val="67EA126E"/>
    <w:rsid w:val="681B173A"/>
    <w:rsid w:val="68273F10"/>
    <w:rsid w:val="684B418A"/>
    <w:rsid w:val="68C47A98"/>
    <w:rsid w:val="68D26659"/>
    <w:rsid w:val="68EA1A5B"/>
    <w:rsid w:val="695232F6"/>
    <w:rsid w:val="69593369"/>
    <w:rsid w:val="697E6757"/>
    <w:rsid w:val="69CB1A31"/>
    <w:rsid w:val="6A5639FE"/>
    <w:rsid w:val="6A8D2044"/>
    <w:rsid w:val="6AD62431"/>
    <w:rsid w:val="6B142F4E"/>
    <w:rsid w:val="6B1D005F"/>
    <w:rsid w:val="6B5138C3"/>
    <w:rsid w:val="6B814558"/>
    <w:rsid w:val="6BB1298F"/>
    <w:rsid w:val="6BB612E3"/>
    <w:rsid w:val="6BC313E2"/>
    <w:rsid w:val="6BC77FCB"/>
    <w:rsid w:val="6BD35809"/>
    <w:rsid w:val="6BE80D5D"/>
    <w:rsid w:val="6C684C0C"/>
    <w:rsid w:val="6C6D7B17"/>
    <w:rsid w:val="6C8639E2"/>
    <w:rsid w:val="6CAF2375"/>
    <w:rsid w:val="6CF57BC3"/>
    <w:rsid w:val="6D054CDB"/>
    <w:rsid w:val="6D1A3EA4"/>
    <w:rsid w:val="6D1A5361"/>
    <w:rsid w:val="6D6A08DB"/>
    <w:rsid w:val="6E251A3D"/>
    <w:rsid w:val="6EA240D9"/>
    <w:rsid w:val="6F15104E"/>
    <w:rsid w:val="6F9B128E"/>
    <w:rsid w:val="6FC36A7E"/>
    <w:rsid w:val="6FFB53DA"/>
    <w:rsid w:val="70294DB1"/>
    <w:rsid w:val="703B136B"/>
    <w:rsid w:val="704156E9"/>
    <w:rsid w:val="70983D93"/>
    <w:rsid w:val="70A43CF7"/>
    <w:rsid w:val="70A4452E"/>
    <w:rsid w:val="70A96AD3"/>
    <w:rsid w:val="70E1568B"/>
    <w:rsid w:val="71225FFD"/>
    <w:rsid w:val="713A7397"/>
    <w:rsid w:val="718F1548"/>
    <w:rsid w:val="71CD4D43"/>
    <w:rsid w:val="71D147B7"/>
    <w:rsid w:val="72566886"/>
    <w:rsid w:val="72633B80"/>
    <w:rsid w:val="72907369"/>
    <w:rsid w:val="72BE562F"/>
    <w:rsid w:val="72E55D40"/>
    <w:rsid w:val="734939BC"/>
    <w:rsid w:val="73707AE7"/>
    <w:rsid w:val="73B00672"/>
    <w:rsid w:val="740C2DE4"/>
    <w:rsid w:val="74253A54"/>
    <w:rsid w:val="742F4FB5"/>
    <w:rsid w:val="744101B6"/>
    <w:rsid w:val="744519C8"/>
    <w:rsid w:val="744F5002"/>
    <w:rsid w:val="74566390"/>
    <w:rsid w:val="74640AAD"/>
    <w:rsid w:val="74812FCF"/>
    <w:rsid w:val="749D7B1B"/>
    <w:rsid w:val="74A83C4A"/>
    <w:rsid w:val="751F49D4"/>
    <w:rsid w:val="75646EFD"/>
    <w:rsid w:val="757C3BD5"/>
    <w:rsid w:val="75994786"/>
    <w:rsid w:val="759B45EE"/>
    <w:rsid w:val="759D04D6"/>
    <w:rsid w:val="759E224D"/>
    <w:rsid w:val="75A81461"/>
    <w:rsid w:val="75AE3808"/>
    <w:rsid w:val="75C43283"/>
    <w:rsid w:val="75CD082D"/>
    <w:rsid w:val="76065B94"/>
    <w:rsid w:val="760B4FB6"/>
    <w:rsid w:val="760F4A49"/>
    <w:rsid w:val="763F2868"/>
    <w:rsid w:val="764A0642"/>
    <w:rsid w:val="76E73992"/>
    <w:rsid w:val="76E90359"/>
    <w:rsid w:val="77154C42"/>
    <w:rsid w:val="77265A7B"/>
    <w:rsid w:val="773802DA"/>
    <w:rsid w:val="775C34C2"/>
    <w:rsid w:val="77773585"/>
    <w:rsid w:val="77860258"/>
    <w:rsid w:val="778939A2"/>
    <w:rsid w:val="77A80CB1"/>
    <w:rsid w:val="77B95AF3"/>
    <w:rsid w:val="77D8631C"/>
    <w:rsid w:val="77DE2925"/>
    <w:rsid w:val="780B3809"/>
    <w:rsid w:val="782345EF"/>
    <w:rsid w:val="783424BA"/>
    <w:rsid w:val="7856695F"/>
    <w:rsid w:val="787B5598"/>
    <w:rsid w:val="78AA1738"/>
    <w:rsid w:val="78CB776D"/>
    <w:rsid w:val="78DD7F47"/>
    <w:rsid w:val="78FF398D"/>
    <w:rsid w:val="790904FF"/>
    <w:rsid w:val="7967694A"/>
    <w:rsid w:val="798973A7"/>
    <w:rsid w:val="79961D25"/>
    <w:rsid w:val="79CB6ED9"/>
    <w:rsid w:val="79D6777C"/>
    <w:rsid w:val="7A146AD1"/>
    <w:rsid w:val="7AC676A0"/>
    <w:rsid w:val="7AE2097E"/>
    <w:rsid w:val="7B1D055E"/>
    <w:rsid w:val="7B5226A2"/>
    <w:rsid w:val="7B5A49B8"/>
    <w:rsid w:val="7B6A58D0"/>
    <w:rsid w:val="7BA50A03"/>
    <w:rsid w:val="7BBB4405"/>
    <w:rsid w:val="7BCD4E47"/>
    <w:rsid w:val="7BD30CB9"/>
    <w:rsid w:val="7C4D1CE0"/>
    <w:rsid w:val="7C584880"/>
    <w:rsid w:val="7C614A76"/>
    <w:rsid w:val="7C9459ED"/>
    <w:rsid w:val="7C9C690A"/>
    <w:rsid w:val="7D0C1CE2"/>
    <w:rsid w:val="7D3A2A00"/>
    <w:rsid w:val="7D4D05FC"/>
    <w:rsid w:val="7DC9372F"/>
    <w:rsid w:val="7E0700E2"/>
    <w:rsid w:val="7E2150AF"/>
    <w:rsid w:val="7E4D0364"/>
    <w:rsid w:val="7E5E42B5"/>
    <w:rsid w:val="7E6873EC"/>
    <w:rsid w:val="7E6A3164"/>
    <w:rsid w:val="7E7858C2"/>
    <w:rsid w:val="7E807C70"/>
    <w:rsid w:val="7EF401A0"/>
    <w:rsid w:val="7F1E41ED"/>
    <w:rsid w:val="7F650DC4"/>
    <w:rsid w:val="7F7149AC"/>
    <w:rsid w:val="7F7B4EFD"/>
    <w:rsid w:val="7F966C81"/>
    <w:rsid w:val="7FE80F44"/>
    <w:rsid w:val="7FF142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qFormat="1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adjustRightInd w:val="0"/>
      <w:spacing w:before="280" w:beforeLines="0" w:after="290" w:afterLines="0" w:line="376" w:lineRule="atLeast"/>
      <w:jc w:val="left"/>
      <w:textAlignment w:val="baseline"/>
      <w:outlineLvl w:val="3"/>
    </w:pPr>
    <w:rPr>
      <w:rFonts w:ascii="Arial" w:hAnsi="Arial" w:eastAsia="黑体"/>
      <w:b/>
      <w:kern w:val="0"/>
      <w:sz w:val="28"/>
      <w:szCs w:val="20"/>
    </w:rPr>
  </w:style>
  <w:style w:type="character" w:default="1" w:styleId="25">
    <w:name w:val="Default Paragraph Font"/>
    <w:semiHidden/>
    <w:qFormat/>
    <w:uiPriority w:val="0"/>
  </w:style>
  <w:style w:type="table" w:default="1" w:styleId="2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index 8"/>
    <w:basedOn w:val="1"/>
    <w:next w:val="1"/>
    <w:qFormat/>
    <w:uiPriority w:val="0"/>
    <w:pPr>
      <w:ind w:left="1400" w:leftChars="1400"/>
    </w:pPr>
  </w:style>
  <w:style w:type="paragraph" w:styleId="7">
    <w:name w:val="List Number"/>
    <w:basedOn w:val="1"/>
    <w:qFormat/>
    <w:uiPriority w:val="0"/>
    <w:pPr>
      <w:numPr>
        <w:ilvl w:val="0"/>
        <w:numId w:val="2"/>
      </w:numPr>
    </w:pPr>
  </w:style>
  <w:style w:type="paragraph" w:styleId="8">
    <w:name w:val="Normal Indent"/>
    <w:basedOn w:val="1"/>
    <w:qFormat/>
    <w:uiPriority w:val="0"/>
    <w:pPr>
      <w:ind w:firstLine="420"/>
    </w:pPr>
    <w:rPr>
      <w:szCs w:val="20"/>
    </w:rPr>
  </w:style>
  <w:style w:type="paragraph" w:styleId="9">
    <w:name w:val="annotation text"/>
    <w:basedOn w:val="1"/>
    <w:qFormat/>
    <w:uiPriority w:val="0"/>
    <w:pPr>
      <w:jc w:val="left"/>
    </w:pPr>
  </w:style>
  <w:style w:type="paragraph" w:styleId="10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styleId="11">
    <w:name w:val="Body Text"/>
    <w:basedOn w:val="1"/>
    <w:link w:val="29"/>
    <w:unhideWhenUsed/>
    <w:qFormat/>
    <w:uiPriority w:val="0"/>
    <w:pPr>
      <w:spacing w:after="120"/>
    </w:pPr>
  </w:style>
  <w:style w:type="paragraph" w:styleId="12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kern w:val="0"/>
      <w:sz w:val="32"/>
      <w:szCs w:val="20"/>
    </w:rPr>
  </w:style>
  <w:style w:type="paragraph" w:styleId="13">
    <w:name w:val="List 2"/>
    <w:basedOn w:val="1"/>
    <w:unhideWhenUsed/>
    <w:qFormat/>
    <w:uiPriority w:val="99"/>
    <w:pPr>
      <w:ind w:left="100" w:leftChars="200" w:hanging="200" w:hangingChars="200"/>
      <w:contextualSpacing/>
    </w:pPr>
  </w:style>
  <w:style w:type="paragraph" w:styleId="14">
    <w:name w:val="Block Text"/>
    <w:basedOn w:val="1"/>
    <w:unhideWhenUsed/>
    <w:qFormat/>
    <w:uiPriority w:val="0"/>
    <w:pPr>
      <w:adjustRightInd w:val="0"/>
      <w:spacing w:beforeLines="0" w:afterLines="0"/>
      <w:ind w:left="420" w:right="33"/>
      <w:jc w:val="left"/>
      <w:textAlignment w:val="baseline"/>
    </w:pPr>
    <w:rPr>
      <w:rFonts w:hint="default"/>
      <w:kern w:val="0"/>
      <w:sz w:val="24"/>
      <w:szCs w:val="24"/>
    </w:rPr>
  </w:style>
  <w:style w:type="paragraph" w:styleId="15">
    <w:name w:val="Plain Text"/>
    <w:basedOn w:val="1"/>
    <w:next w:val="5"/>
    <w:qFormat/>
    <w:uiPriority w:val="0"/>
    <w:rPr>
      <w:rFonts w:ascii="宋体" w:hAnsi="Courier New"/>
      <w:kern w:val="0"/>
      <w:sz w:val="20"/>
      <w:szCs w:val="21"/>
    </w:rPr>
  </w:style>
  <w:style w:type="paragraph" w:styleId="16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8">
    <w:name w:val="toc 1"/>
    <w:basedOn w:val="1"/>
    <w:next w:val="1"/>
    <w:semiHidden/>
    <w:qFormat/>
    <w:uiPriority w:val="0"/>
    <w:pPr>
      <w:tabs>
        <w:tab w:val="right" w:leader="dot" w:pos="8820"/>
      </w:tabs>
      <w:spacing w:line="500" w:lineRule="exact"/>
      <w:ind w:left="359" w:leftChars="171" w:right="1134" w:firstLine="51" w:firstLineChars="14"/>
      <w:jc w:val="left"/>
    </w:pPr>
    <w:rPr>
      <w:rFonts w:ascii="宋体" w:hAnsi="宋体"/>
      <w:b/>
      <w:bCs/>
      <w:caps/>
      <w:szCs w:val="21"/>
    </w:rPr>
  </w:style>
  <w:style w:type="paragraph" w:styleId="19">
    <w:name w:val="toc 2"/>
    <w:basedOn w:val="1"/>
    <w:next w:val="1"/>
    <w:unhideWhenUsed/>
    <w:qFormat/>
    <w:uiPriority w:val="39"/>
    <w:pPr>
      <w:tabs>
        <w:tab w:val="right" w:leader="dot" w:pos="8296"/>
      </w:tabs>
      <w:ind w:left="420" w:leftChars="200"/>
    </w:pPr>
  </w:style>
  <w:style w:type="paragraph" w:styleId="20">
    <w:name w:val="Message Header"/>
    <w:basedOn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500" w:leftChars="500" w:hanging="1080" w:hangingChars="500"/>
    </w:pPr>
    <w:rPr>
      <w:rFonts w:ascii="Arial" w:hAnsi="Arial"/>
      <w:sz w:val="24"/>
    </w:rPr>
  </w:style>
  <w:style w:type="paragraph" w:styleId="21">
    <w:name w:val="Normal (Web)"/>
    <w:basedOn w:val="1"/>
    <w:unhideWhenUsed/>
    <w:qFormat/>
    <w:uiPriority w:val="99"/>
    <w:pPr>
      <w:spacing w:before="0" w:beforeAutospacing="0" w:after="0" w:afterAutospacing="0"/>
      <w:ind w:left="0" w:right="0"/>
      <w:jc w:val="both"/>
    </w:pPr>
    <w:rPr>
      <w:rFonts w:hint="default" w:ascii="Calibri" w:hAnsi="Calibri" w:cs="Calibri"/>
      <w:kern w:val="0"/>
      <w:sz w:val="24"/>
      <w:szCs w:val="24"/>
      <w:lang w:val="en-US" w:eastAsia="zh-CN" w:bidi="ar"/>
    </w:rPr>
  </w:style>
  <w:style w:type="paragraph" w:styleId="2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23">
    <w:name w:val="Body Text First Indent"/>
    <w:basedOn w:val="11"/>
    <w:qFormat/>
    <w:uiPriority w:val="0"/>
    <w:pPr>
      <w:spacing w:after="120"/>
      <w:ind w:firstLine="420" w:firstLineChars="100"/>
    </w:pPr>
    <w:rPr>
      <w:rFonts w:ascii="Arial" w:hAnsi="Arial"/>
      <w:kern w:val="2"/>
    </w:rPr>
  </w:style>
  <w:style w:type="character" w:styleId="26">
    <w:name w:val="page number"/>
    <w:qFormat/>
    <w:uiPriority w:val="0"/>
  </w:style>
  <w:style w:type="character" w:styleId="27">
    <w:name w:val="Emphasis"/>
    <w:qFormat/>
    <w:uiPriority w:val="0"/>
    <w:rPr>
      <w:i/>
    </w:rPr>
  </w:style>
  <w:style w:type="character" w:styleId="28">
    <w:name w:val="Hyperlink"/>
    <w:unhideWhenUsed/>
    <w:qFormat/>
    <w:uiPriority w:val="99"/>
    <w:rPr>
      <w:color w:val="0000FF"/>
      <w:u w:val="single"/>
    </w:rPr>
  </w:style>
  <w:style w:type="character" w:customStyle="1" w:styleId="29">
    <w:name w:val="正文文本 Char"/>
    <w:link w:val="11"/>
    <w:qFormat/>
    <w:uiPriority w:val="0"/>
    <w:rPr>
      <w:kern w:val="2"/>
      <w:sz w:val="21"/>
      <w:szCs w:val="24"/>
    </w:rPr>
  </w:style>
  <w:style w:type="paragraph" w:customStyle="1" w:styleId="30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31">
    <w:name w:val="Heading2"/>
    <w:next w:val="1"/>
    <w:qFormat/>
    <w:uiPriority w:val="0"/>
    <w:pPr>
      <w:keepNext/>
      <w:keepLines/>
      <w:widowControl w:val="0"/>
      <w:spacing w:before="60" w:after="60" w:line="413" w:lineRule="auto"/>
      <w:jc w:val="both"/>
      <w:textAlignment w:val="baseline"/>
    </w:pPr>
    <w:rPr>
      <w:rFonts w:ascii="Arial" w:hAnsi="Arial" w:eastAsia="黑体" w:cs="Times New Roman"/>
      <w:b/>
      <w:bCs/>
      <w:kern w:val="2"/>
      <w:sz w:val="21"/>
      <w:szCs w:val="32"/>
      <w:lang w:val="en-US" w:eastAsia="zh-CN" w:bidi="ar-SA"/>
    </w:rPr>
  </w:style>
  <w:style w:type="character" w:customStyle="1" w:styleId="32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  <w:style w:type="paragraph" w:customStyle="1" w:styleId="34">
    <w:name w:val="表格文字"/>
    <w:basedOn w:val="1"/>
    <w:next w:val="11"/>
    <w:qFormat/>
    <w:uiPriority w:val="0"/>
    <w:pPr>
      <w:spacing w:before="25" w:beforeLines="0" w:after="25" w:afterLines="0" w:line="240" w:lineRule="auto"/>
      <w:ind w:firstLine="0"/>
      <w:jc w:val="left"/>
    </w:pPr>
    <w:rPr>
      <w:bCs/>
      <w:spacing w:val="10"/>
      <w:kern w:val="0"/>
      <w:sz w:val="24"/>
    </w:rPr>
  </w:style>
  <w:style w:type="paragraph" w:customStyle="1" w:styleId="35">
    <w:name w:val="xl2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</w:pPr>
    <w:rPr>
      <w:rFonts w:ascii="Times New Roman" w:hAnsi="Times New Roman"/>
      <w:kern w:val="0"/>
      <w:szCs w:val="21"/>
    </w:rPr>
  </w:style>
  <w:style w:type="paragraph" w:customStyle="1" w:styleId="36">
    <w:name w:val="Table Paragraph"/>
    <w:basedOn w:val="1"/>
    <w:qFormat/>
    <w:uiPriority w:val="1"/>
    <w:pPr>
      <w:jc w:val="left"/>
    </w:pPr>
    <w:rPr>
      <w:rFonts w:ascii="Calibri" w:hAnsi="Calibri" w:eastAsia="宋体" w:cs="Times New Roman"/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81</Pages>
  <Words>46007</Words>
  <Characters>49214</Characters>
  <Lines>409</Lines>
  <Paragraphs>115</Paragraphs>
  <TotalTime>5</TotalTime>
  <ScaleCrop>false</ScaleCrop>
  <LinksUpToDate>false</LinksUpToDate>
  <CharactersWithSpaces>54893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铁甲依然在K</cp:lastModifiedBy>
  <cp:lastPrinted>2022-01-14T01:29:00Z</cp:lastPrinted>
  <dcterms:modified xsi:type="dcterms:W3CDTF">2023-10-08T07:29:16Z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CFAFE6117C9B4953BAF56BC22A41EADD_13</vt:lpwstr>
  </property>
</Properties>
</file>