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pacing w:before="156" w:beforeLines="50" w:after="312" w:afterLines="100" w:line="440" w:lineRule="exact"/>
        <w:jc w:val="center"/>
        <w:outlineLvl w:val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硬性电子输尿管肾镜技术参数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440" w:lineRule="exact"/>
        <w:jc w:val="both"/>
        <w:textAlignment w:val="auto"/>
        <w:outlineLvl w:val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  <w:lang w:val="en-US" w:eastAsia="zh-CN"/>
        </w:rPr>
        <w:t>一、用途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用于为输尿管和肾脏疾病诊断和治疗提供图像。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440" w:lineRule="exact"/>
        <w:jc w:val="both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1.外径：≥7.5/9Fr.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440" w:lineRule="exact"/>
        <w:jc w:val="both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2.器械通道：≥φ1.8mm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440" w:lineRule="exact"/>
        <w:jc w:val="both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3.工作长度：≥430mm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440" w:lineRule="exact"/>
        <w:jc w:val="both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4.视向角：≥6°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440" w:lineRule="exact"/>
        <w:jc w:val="both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5.视场角：≥110°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440" w:lineRule="exact"/>
        <w:jc w:val="both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6.输出像素：≥1920x1080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440" w:lineRule="exact"/>
        <w:jc w:val="both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7.输出接口：SDI、DVI、HDMI</w:t>
      </w: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200"/>
          <w:tab w:val="left" w:pos="1440"/>
        </w:tabs>
        <w:wordWrap/>
        <w:topLinePunct w:val="0"/>
        <w:bidi w:val="0"/>
        <w:spacing w:line="440" w:lineRule="exact"/>
        <w:jc w:val="center"/>
        <w:rPr>
          <w:rFonts w:hint="eastAsia" w:ascii="宋体" w:hAnsi="宋体" w:eastAsia="宋体" w:cs="宋体"/>
          <w:b/>
          <w:color w:val="000000"/>
          <w:spacing w:val="-2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二、尿道膀胱镜及配套手术器械</w:t>
      </w:r>
      <w:r>
        <w:rPr>
          <w:rFonts w:hint="eastAsia" w:ascii="宋体" w:hAnsi="宋体" w:eastAsia="宋体" w:cs="宋体"/>
          <w:b/>
          <w:sz w:val="24"/>
          <w:szCs w:val="24"/>
        </w:rPr>
        <w:t>技术</w:t>
      </w:r>
      <w:r>
        <w:rPr>
          <w:rFonts w:hint="eastAsia" w:ascii="宋体" w:hAnsi="宋体" w:eastAsia="宋体" w:cs="宋体"/>
          <w:b/>
          <w:color w:val="000000"/>
          <w:spacing w:val="-20"/>
          <w:kern w:val="0"/>
          <w:sz w:val="24"/>
          <w:szCs w:val="24"/>
        </w:rPr>
        <w:t>参数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200"/>
          <w:tab w:val="left" w:pos="1440"/>
        </w:tabs>
        <w:wordWrap/>
        <w:topLinePunct w:val="0"/>
        <w:bidi w:val="0"/>
        <w:spacing w:line="440" w:lineRule="exact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auto"/>
          <w:spacing w:val="-20"/>
          <w:kern w:val="0"/>
          <w:sz w:val="24"/>
          <w:szCs w:val="24"/>
          <w:lang w:eastAsia="zh-CN"/>
        </w:rPr>
        <w:t>用途：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供临床实施尿道或膀胱内疾病的检查和手术治疗用。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200"/>
          <w:tab w:val="left" w:pos="1440"/>
        </w:tabs>
        <w:wordWrap/>
        <w:topLinePunct w:val="0"/>
        <w:bidi w:val="0"/>
        <w:spacing w:line="440" w:lineRule="exact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技术参数</w:t>
      </w:r>
    </w:p>
    <w:p>
      <w:pPr>
        <w:keepNext w:val="0"/>
        <w:keepLines w:val="0"/>
        <w:pageBreakBefore w:val="0"/>
        <w:widowControl/>
        <w:tabs>
          <w:tab w:val="left" w:pos="1200"/>
          <w:tab w:val="left" w:pos="1440"/>
        </w:tabs>
        <w:wordWrap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、视 场 角：≥60°；</w:t>
      </w:r>
    </w:p>
    <w:p>
      <w:pPr>
        <w:keepNext w:val="0"/>
        <w:keepLines w:val="0"/>
        <w:pageBreakBefore w:val="0"/>
        <w:widowControl/>
        <w:tabs>
          <w:tab w:val="left" w:pos="1200"/>
          <w:tab w:val="left" w:pos="1440"/>
        </w:tabs>
        <w:wordWrap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、景深范围：3mm～50mm；</w:t>
      </w:r>
    </w:p>
    <w:p>
      <w:pPr>
        <w:keepNext w:val="0"/>
        <w:keepLines w:val="0"/>
        <w:pageBreakBefore w:val="0"/>
        <w:widowControl/>
        <w:tabs>
          <w:tab w:val="left" w:pos="1200"/>
          <w:tab w:val="left" w:pos="1440"/>
        </w:tabs>
        <w:wordWrap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、工作长度：≥302mm；             </w:t>
      </w:r>
    </w:p>
    <w:p>
      <w:pPr>
        <w:keepNext w:val="0"/>
        <w:keepLines w:val="0"/>
        <w:pageBreakBefore w:val="0"/>
        <w:widowControl/>
        <w:tabs>
          <w:tab w:val="left" w:pos="1200"/>
          <w:tab w:val="left" w:pos="1440"/>
        </w:tabs>
        <w:wordWrap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、分辨率：≥8.34lp/mm(物距20 mm)；</w:t>
      </w:r>
    </w:p>
    <w:p>
      <w:pPr>
        <w:keepNext w:val="0"/>
        <w:keepLines w:val="0"/>
        <w:pageBreakBefore w:val="0"/>
        <w:widowControl/>
        <w:tabs>
          <w:tab w:val="left" w:pos="1200"/>
          <w:tab w:val="left" w:pos="1440"/>
        </w:tabs>
        <w:wordWrap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、全医用不锈钢；</w:t>
      </w:r>
    </w:p>
    <w:p>
      <w:pPr>
        <w:keepNext w:val="0"/>
        <w:keepLines w:val="0"/>
        <w:pageBreakBefore w:val="0"/>
        <w:widowControl/>
        <w:tabs>
          <w:tab w:val="left" w:pos="1200"/>
          <w:tab w:val="left" w:pos="1440"/>
        </w:tabs>
        <w:wordWrap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、镜鞘：18Fr、21Fr、24Fr可选；</w:t>
      </w:r>
    </w:p>
    <w:p>
      <w:pPr>
        <w:keepNext w:val="0"/>
        <w:keepLines w:val="0"/>
        <w:pageBreakBefore w:val="0"/>
        <w:widowControl/>
        <w:tabs>
          <w:tab w:val="left" w:pos="1200"/>
          <w:tab w:val="left" w:pos="1440"/>
        </w:tabs>
        <w:wordWrap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、工作长度≥230mm。</w:t>
      </w:r>
    </w:p>
    <w:p>
      <w:pPr>
        <w:keepNext w:val="0"/>
        <w:keepLines w:val="0"/>
        <w:pageBreakBefore w:val="0"/>
        <w:widowControl/>
        <w:tabs>
          <w:tab w:val="left" w:pos="1200"/>
          <w:tab w:val="left" w:pos="1440"/>
        </w:tabs>
        <w:wordWrap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、18Fr以上镜鞘可通过8Fr以下软性器械；</w:t>
      </w: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wordWrap/>
        <w:topLinePunct w:val="0"/>
        <w:bidi w:val="0"/>
        <w:snapToGrid/>
        <w:spacing w:before="0" w:beforeAutospacing="0" w:after="0" w:afterAutospacing="0" w:line="440" w:lineRule="exact"/>
        <w:jc w:val="center"/>
        <w:textAlignment w:val="baseline"/>
        <w:rPr>
          <w:rStyle w:val="10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电切内窥镜技术参数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wordWrap/>
        <w:topLinePunct w:val="0"/>
        <w:bidi w:val="0"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用途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用于经宫腔对宫内组织进行切除和经尿道对前列腺进行切除。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wordWrap/>
        <w:topLinePunct w:val="0"/>
        <w:bidi w:val="0"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outlineLvl w:val="9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1、电切内窥镜，30°   2.9mm×302mm高清（HD） 内窥镜,目镜与镜端采用高品质蓝宝石镜面，无腐蚀性，可高温高压消毒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outlineLvl w:val="9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outlineLvl w:val="9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2、被动式操作器 ，被动式，新型人体工程学被动式工作手件，前操控手柄可同时四手指抓握，从中指至小指由上至下逐渐向后倾斜，与后拇指始终形成圆弧型的自然抓握状态，可提高操控性，减少操作疲劳。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outlineLvl w:val="9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outlineLvl w:val="9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3、外鞘， 22Fr设置 进、出水通道和控制开关，始终保持进出水垂直对流。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outlineLvl w:val="9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outlineLvl w:val="9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4、内鞘， 19Fr  可360°旋转。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outlineLvl w:val="9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outlineLvl w:val="9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5、闭孔鞘芯，与内鞘配套使用。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outlineLvl w:val="9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outlineLvl w:val="9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冲洗接头，与内鞘配套使用。</w:t>
      </w:r>
    </w:p>
    <w:p>
      <w:pPr>
        <w:pStyle w:val="11"/>
        <w:keepNext w:val="0"/>
        <w:keepLines w:val="0"/>
        <w:pageBreakBefore w:val="0"/>
        <w:widowControl/>
        <w:wordWrap/>
        <w:topLinePunct w:val="0"/>
        <w:bidi w:val="0"/>
        <w:snapToGrid/>
        <w:spacing w:before="0" w:beforeAutospacing="0" w:after="62" w:afterAutospacing="0" w:line="440" w:lineRule="exact"/>
        <w:ind w:left="525"/>
        <w:jc w:val="both"/>
        <w:textAlignment w:val="baseline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before="0" w:beforeAutospacing="0" w:after="0" w:afterAutospacing="0" w:line="440" w:lineRule="exact"/>
        <w:jc w:val="both"/>
        <w:textAlignment w:val="baseline"/>
        <w:rPr>
          <w:rStyle w:val="10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电动吸引器技术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用途：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于吸取病人体腔内的脓、血、痰等粘质液体。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进口膜式泵，使用寿命长，噪音低，免维护；溢流保护装置，防止液体进入泵内；手推式，备有手动开关和脚踏开关。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工作制：间隙加载连续运行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电源：AC220V±10% 50Hz</w:t>
      </w:r>
    </w:p>
    <w:p>
      <w:pPr>
        <w:keepNext w:val="0"/>
        <w:keepLines w:val="0"/>
        <w:pageBreakBefore w:val="0"/>
        <w:widowControl w:val="0"/>
        <w:tabs>
          <w:tab w:val="center" w:pos="50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抽气速率：≥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L/min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负压调节范围：0.013～0.090MPa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吸液瓶：2500ml×2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输入功率：400VA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噪音：≤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5dB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beforeLines="50" w:afterLines="50" w:line="440" w:lineRule="exact"/>
        <w:ind w:right="105" w:rightChars="5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电磁式体外冲击波碎石机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技术参数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beforeLines="50" w:afterLines="50" w:line="440" w:lineRule="exact"/>
        <w:ind w:right="105" w:rightChars="5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、设备用途：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主要用于</w:t>
      </w:r>
      <w:r>
        <w:rPr>
          <w:rFonts w:hint="eastAsia" w:ascii="宋体" w:hAnsi="宋体" w:eastAsia="宋体" w:cs="宋体"/>
          <w:sz w:val="24"/>
          <w:szCs w:val="24"/>
        </w:rPr>
        <w:t>治疗人体泌尿系统结石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50" w:afterLines="50" w:line="440" w:lineRule="exact"/>
        <w:ind w:right="105" w:rightChars="5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技术参数：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bidi w:val="0"/>
        <w:spacing w:line="440" w:lineRule="exact"/>
        <w:ind w:left="420" w:lef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1.焦点冲击波压力峰值的最大值≤30MPa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bidi w:val="0"/>
        <w:spacing w:line="440" w:lineRule="exact"/>
        <w:ind w:left="420" w:lef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2.治疗时的电压稳定，即：在进行治疗时电压数值是定值非波动值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bidi w:val="0"/>
        <w:spacing w:line="440" w:lineRule="exact"/>
        <w:ind w:left="420" w:lef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冲击波源、高压开关、高压电容可独立维修更换，非使用电容箱的整体更换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；冲击波源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具有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故障报警功能，自动切断高压系统，安全可靠；</w:t>
      </w:r>
      <w:r>
        <w:rPr>
          <w:rFonts w:hint="eastAsia" w:ascii="宋体" w:hAnsi="宋体" w:eastAsia="宋体" w:cs="宋体"/>
          <w:sz w:val="24"/>
          <w:szCs w:val="24"/>
        </w:rPr>
        <w:t>冲击波波源具有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实时抽真空功能（非电磁盘出厂预抽真空），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实现低能量低剂量碎石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left="720" w:leftChars="228" w:right="105" w:rightChars="50" w:hanging="241" w:hangingChars="1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 X线定位系统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高清晰图像显示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分辨率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LP/cm；碎石病例工作站，可储存图像、打印病例和图像。</w:t>
      </w: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bidi w:val="0"/>
        <w:adjustRightInd w:val="0"/>
        <w:snapToGrid w:val="0"/>
        <w:spacing w:beforeLines="50" w:afterLines="50" w:line="440" w:lineRule="exact"/>
        <w:ind w:left="720" w:leftChars="228" w:right="105" w:rightChars="50" w:hanging="241" w:hangingChars="10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B超定位系统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B超探头定位装置环冲击波源锥形多角度运动；电动探头进给范围：25～125mm。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50" w:afterLines="50" w:line="440" w:lineRule="exact"/>
        <w:ind w:left="479" w:leftChars="228" w:right="105" w:rightChars="5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操作控制系统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操作系统由内嵌式计算机模块控制（非PLC编程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,非MCU控制</w:t>
      </w:r>
      <w:r>
        <w:rPr>
          <w:rFonts w:hint="eastAsia" w:ascii="宋体" w:hAnsi="宋体" w:eastAsia="宋体" w:cs="宋体"/>
          <w:sz w:val="24"/>
          <w:szCs w:val="24"/>
        </w:rPr>
        <w:t>），触发计数采用递减倒计数自动停止触发，电压自动跟踪调压，高压表显示稳定，触发计数频率显示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自动显示机器故障位置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真彩液晶触摸屏操作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治疗床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治疗床带轮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,四轮着地可移动、可锁死</w:t>
      </w:r>
      <w:r>
        <w:rPr>
          <w:rFonts w:hint="eastAsia" w:ascii="宋体" w:hAnsi="宋体" w:eastAsia="宋体" w:cs="宋体"/>
          <w:sz w:val="24"/>
          <w:szCs w:val="24"/>
        </w:rPr>
        <w:t>（非治疗床与主机固定连接式设计）；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bidi w:val="0"/>
        <w:adjustRightInd w:val="0"/>
        <w:snapToGrid w:val="0"/>
        <w:spacing w:beforeLines="50" w:afterLines="50" w:line="440" w:lineRule="exact"/>
        <w:ind w:left="420" w:leftChars="0" w:right="105" w:rightChars="5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治疗床载重量：≥135kg；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bidi w:val="0"/>
        <w:adjustRightInd w:val="0"/>
        <w:snapToGrid w:val="0"/>
        <w:spacing w:beforeLines="50" w:afterLines="50" w:line="440" w:lineRule="exact"/>
        <w:ind w:right="105" w:rightChars="5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sz w:val="24"/>
          <w:szCs w:val="24"/>
        </w:rPr>
        <w:t>角膜地形图技术参数</w:t>
      </w:r>
    </w:p>
    <w:p>
      <w:pPr>
        <w:keepNext w:val="0"/>
        <w:keepLines w:val="0"/>
        <w:pageBreakBefore w:val="0"/>
        <w:widowControl/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center"/>
        <w:rPr>
          <w:rFonts w:hint="eastAsia"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用途：角膜地形图分析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技术参数：</w:t>
      </w:r>
    </w:p>
    <w:p>
      <w:pPr>
        <w:keepNext w:val="0"/>
        <w:keepLines w:val="0"/>
        <w:pageBreakBefore w:val="0"/>
        <w:widowControl/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.照明系统:低亮度照明  </w:t>
      </w:r>
    </w:p>
    <w:p>
      <w:pPr>
        <w:keepNext w:val="0"/>
        <w:keepLines w:val="0"/>
        <w:pageBreakBefore w:val="0"/>
        <w:widowControl/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.操作方式：直接面对病人,主机带观察显示屏便于操作</w:t>
      </w:r>
    </w:p>
    <w:p>
      <w:pPr>
        <w:keepNext w:val="0"/>
        <w:keepLines w:val="0"/>
        <w:pageBreakBefore w:val="0"/>
        <w:widowControl/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.校准、拍摄、对焦：操作杆对位，自动/手动拍摄，软件调整对焦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.地形图显示方式：单图、双图、多图，差值图、子午线图、三维立体图，数值图、傅里叶分析</w:t>
      </w:r>
    </w:p>
    <w:p>
      <w:pPr>
        <w:keepNext w:val="0"/>
        <w:keepLines w:val="0"/>
        <w:pageBreakBefore w:val="0"/>
        <w:widowControl/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角膜接触镜软件:</w:t>
      </w:r>
      <w:r>
        <w:rPr>
          <w:rFonts w:hint="eastAsia" w:ascii="宋体" w:hAnsi="宋体" w:eastAsia="宋体" w:cs="宋体"/>
          <w:kern w:val="0"/>
          <w:sz w:val="24"/>
          <w:szCs w:val="24"/>
        </w:rPr>
        <w:t>用户自定义配镜方案、自定义镜片类型、模拟荧光素图，矢状泪膜指示图、位置调节、旋转和倾斜,用户可修改数据库，打印订货单，将资料自动发送到光学实验室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.计算机:外接PC机（USB端口）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.操作系统：中文 Windows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2460"/>
          <w:tab w:val="left" w:pos="6920"/>
        </w:tabs>
        <w:wordWrap/>
        <w:topLinePunct w:val="0"/>
        <w:bidi w:val="0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center"/>
        <w:rPr>
          <w:rStyle w:val="9"/>
          <w:rFonts w:hint="eastAsia" w:ascii="宋体" w:hAnsi="宋体" w:eastAsia="宋体" w:cs="宋体"/>
          <w:b/>
          <w:bCs w:val="0"/>
          <w:color w:val="333333"/>
          <w:sz w:val="24"/>
          <w:szCs w:val="24"/>
          <w:shd w:val="clear" w:color="auto" w:fill="F5F4F4"/>
          <w:lang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ind w:right="0" w:rightChars="0"/>
        <w:jc w:val="center"/>
        <w:rPr>
          <w:rStyle w:val="9"/>
          <w:rFonts w:hint="eastAsia" w:ascii="宋体" w:hAnsi="宋体" w:eastAsia="宋体" w:cs="宋体"/>
          <w:b/>
          <w:bCs w:val="0"/>
          <w:color w:val="333333"/>
          <w:sz w:val="24"/>
          <w:szCs w:val="24"/>
          <w:shd w:val="clear" w:color="auto" w:fill="auto"/>
        </w:rPr>
      </w:pPr>
      <w:r>
        <w:rPr>
          <w:rStyle w:val="9"/>
          <w:rFonts w:hint="eastAsia" w:ascii="宋体" w:hAnsi="宋体" w:cs="宋体"/>
          <w:b/>
          <w:bCs w:val="0"/>
          <w:color w:val="333333"/>
          <w:sz w:val="24"/>
          <w:szCs w:val="24"/>
          <w:shd w:val="clear" w:color="auto" w:fill="auto"/>
          <w:lang w:eastAsia="zh-CN"/>
        </w:rPr>
        <w:t>七、</w:t>
      </w:r>
      <w:r>
        <w:rPr>
          <w:rStyle w:val="9"/>
          <w:rFonts w:hint="eastAsia" w:ascii="宋体" w:hAnsi="宋体" w:eastAsia="宋体" w:cs="宋体"/>
          <w:b/>
          <w:bCs w:val="0"/>
          <w:color w:val="333333"/>
          <w:sz w:val="24"/>
          <w:szCs w:val="24"/>
          <w:shd w:val="clear" w:color="auto" w:fill="auto"/>
        </w:rPr>
        <w:t>同视机技术参数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eastAsia="zh-CN"/>
        </w:rPr>
        <w:t>一、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  <w:lang w:eastAsia="zh-CN"/>
        </w:rPr>
        <w:t>用</w:t>
      </w:r>
      <w:r>
        <w:rPr>
          <w:rStyle w:val="9"/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eastAsia="zh-CN"/>
        </w:rPr>
        <w:t>涂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</w:rPr>
        <w:t>用于对弱视、斜视的检查、诊断和治疗。</w:t>
      </w:r>
    </w:p>
    <w:p>
      <w:pPr>
        <w:pStyle w:val="6"/>
        <w:keepNext w:val="0"/>
        <w:keepLines w:val="0"/>
        <w:pageBreakBefore w:val="0"/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</w:pPr>
      <w:r>
        <w:rPr>
          <w:rStyle w:val="9"/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  <w:lang w:val="en-US" w:eastAsia="zh-CN"/>
        </w:rPr>
        <w:t>1、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  <w:t>产品参数特点</w:t>
      </w:r>
    </w:p>
    <w:p>
      <w:pPr>
        <w:pStyle w:val="6"/>
        <w:keepNext w:val="0"/>
        <w:keepLines w:val="0"/>
        <w:pageBreakBefore w:val="0"/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  <w:lang w:val="en-US" w:eastAsia="zh-CN"/>
        </w:rPr>
        <w:t>1.1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  <w:t> 光学观察系统：同视机光学观察系统采用了半透半反式反光镜，供医师方便观察患者眼球运动情况及角膜反光点；</w:t>
      </w:r>
    </w:p>
    <w:p>
      <w:pPr>
        <w:pStyle w:val="6"/>
        <w:keepNext w:val="0"/>
        <w:keepLines w:val="0"/>
        <w:pageBreakBefore w:val="0"/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  <w:lang w:val="en-US" w:eastAsia="zh-CN"/>
        </w:rPr>
        <w:t>1.2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  <w:t>红光闪烁：有红光闪烁系统，供矫正旁中心注视性弱视时使用；</w:t>
      </w:r>
    </w:p>
    <w:p>
      <w:pPr>
        <w:pStyle w:val="6"/>
        <w:keepNext w:val="0"/>
        <w:keepLines w:val="0"/>
        <w:pageBreakBefore w:val="0"/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  <w:lang w:val="en-US" w:eastAsia="zh-CN"/>
        </w:rPr>
        <w:t>1.3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  <w:t>暗室照明：同视机暗室照明采用LED面发光器件；</w:t>
      </w:r>
    </w:p>
    <w:p>
      <w:pPr>
        <w:pStyle w:val="6"/>
        <w:keepNext w:val="0"/>
        <w:keepLines w:val="0"/>
        <w:pageBreakBefore w:val="0"/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  <w:lang w:val="en-US" w:eastAsia="zh-CN"/>
        </w:rPr>
        <w:t>1.4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  <w:t> 仪器照明装置：同视机的画片照明、后像照明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  <w:lang w:eastAsia="zh-CN"/>
        </w:rPr>
        <w:t>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  <w:t>均采用同一组LED发光器，在作不同照明时，发光器发光亮度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  <w:lang w:eastAsia="zh-CN"/>
        </w:rPr>
        <w:t>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  <w:t>自动切换。光色好、照度均匀，具有发热量低、寿命长；</w:t>
      </w:r>
    </w:p>
    <w:p>
      <w:pPr>
        <w:pStyle w:val="6"/>
        <w:keepNext w:val="0"/>
        <w:keepLines w:val="0"/>
        <w:pageBreakBefore w:val="0"/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  <w:t xml:space="preserve"> 标配不同角度的同时视、融合视、立体视、K角、后像、训练、十字画片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  <w:lang w:eastAsia="zh-CN"/>
        </w:rPr>
        <w:t>等多种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auto"/>
        </w:rPr>
        <w:t>画片，集多种诊查、治疗训练等功能于一体。</w:t>
      </w: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val="zh-TW" w:eastAsia="zh-TW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zh-TW" w:eastAsia="zh-CN"/>
        </w:rPr>
        <w:t>八、口腔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zh-TW" w:eastAsia="zh-TW"/>
        </w:rPr>
        <w:t>显微镜参数</w:t>
      </w: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zh-TW" w:eastAsia="zh-CN"/>
        </w:rPr>
        <w:t>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zh-TW" w:eastAsia="zh-CN"/>
        </w:rPr>
        <w:t>途：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  <w:t>用于放大手术区域细节</w:t>
      </w:r>
      <w:r>
        <w:rPr>
          <w:rFonts w:hint="eastAsia" w:ascii="宋体" w:hAnsi="宋体" w:cs="宋体"/>
          <w:b w:val="0"/>
          <w:bCs/>
          <w:i w:val="0"/>
          <w:caps w:val="0"/>
          <w:color w:val="auto"/>
          <w:spacing w:val="0"/>
          <w:sz w:val="24"/>
          <w:szCs w:val="24"/>
          <w:lang w:eastAsia="zh-CN"/>
        </w:rPr>
        <w:t>，用于牙科微创精准治疗，包括临床诊断、常规根管治疗、根管再治疗、根管治疗缺陷的处理、显微根尖手术、牙髓再血管化等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lang w:val="zh-TW" w:eastAsia="zh-CN"/>
        </w:rPr>
        <w:t>技术参数：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u w:val="none" w:color="333333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TW"/>
        </w:rPr>
        <w:t>光学基本参数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u w:val="none" w:color="333333"/>
          <w:lang w:val="en-US" w:eastAsia="zh-CN"/>
        </w:rPr>
        <w:t>1.1</w:t>
      </w:r>
      <w:r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TW"/>
        </w:rPr>
        <w:t>双目镜筒</w:t>
      </w:r>
      <w:r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 w:color="333333"/>
        </w:rPr>
        <w:t>0°</w:t>
      </w:r>
      <w:r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TW"/>
        </w:rPr>
        <w:t>～</w:t>
      </w:r>
      <w:r>
        <w:rPr>
          <w:rFonts w:hint="eastAsia" w:ascii="宋体" w:hAnsi="宋体" w:eastAsia="宋体" w:cs="宋体"/>
          <w:sz w:val="24"/>
          <w:szCs w:val="24"/>
          <w:u w:val="none" w:color="333333"/>
        </w:rPr>
        <w:t>1</w:t>
      </w:r>
      <w:r>
        <w:rPr>
          <w:rFonts w:hint="eastAsia" w:ascii="宋体" w:hAnsi="宋体" w:eastAsia="宋体" w:cs="宋体"/>
          <w:sz w:val="24"/>
          <w:szCs w:val="24"/>
          <w:u w:val="none" w:color="333333"/>
          <w:lang w:val="zh-TW"/>
        </w:rPr>
        <w:t>8</w:t>
      </w:r>
      <w:r>
        <w:rPr>
          <w:rFonts w:hint="eastAsia" w:ascii="宋体" w:hAnsi="宋体" w:eastAsia="宋体" w:cs="宋体"/>
          <w:sz w:val="24"/>
          <w:szCs w:val="24"/>
          <w:u w:val="none" w:color="333333"/>
        </w:rPr>
        <w:t>0°</w:t>
      </w:r>
      <w:r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TW"/>
        </w:rPr>
        <w:t>变角双目镜筒带瞳距调节机构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  <w:u w:val="none" w:color="333333"/>
          <w:lang w:val="zh-TW"/>
        </w:rPr>
      </w:pPr>
      <w:r>
        <w:rPr>
          <w:rFonts w:hint="eastAsia" w:ascii="宋体" w:hAnsi="宋体" w:eastAsia="宋体" w:cs="宋体"/>
          <w:sz w:val="24"/>
          <w:szCs w:val="24"/>
          <w:u w:val="none" w:color="333333"/>
          <w:lang w:val="en-US" w:eastAsia="zh-CN"/>
        </w:rPr>
        <w:t xml:space="preserve">1.2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 w:color="333333"/>
        </w:rPr>
        <w:t>放大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 w:color="333333"/>
          <w:lang w:val="zh-TW" w:eastAsia="zh-TW"/>
        </w:rPr>
        <w:t>倍率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 w:color="333333"/>
          <w:lang w:val="zh-TW" w:eastAsia="zh-CN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 w:color="333333"/>
          <w:lang w:val="zh-TW"/>
        </w:rPr>
        <w:t>5档光学变倍，总倍数为：3.1-19.5倍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ind w:lef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u w:val="none" w:color="333333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TW"/>
        </w:rPr>
        <w:t>支架系统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ind w:lef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u w:val="none" w:color="333333"/>
          <w:lang w:val="en-US" w:eastAsia="zh-CN"/>
        </w:rPr>
        <w:t>2.1</w:t>
      </w:r>
      <w:r>
        <w:rPr>
          <w:rFonts w:hint="eastAsia" w:ascii="宋体" w:hAnsi="宋体" w:eastAsia="宋体" w:cs="宋体"/>
          <w:sz w:val="24"/>
          <w:szCs w:val="24"/>
          <w:u w:val="none" w:color="333333"/>
          <w:lang w:val="zh-TW"/>
        </w:rPr>
        <w:t>支架</w:t>
      </w:r>
      <w:r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CN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落地式支架，大横臂在小横臂上方，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Hans"/>
        </w:rPr>
        <w:t>方便四手操作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ind w:lef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2.2挂臂：</w:t>
      </w:r>
      <w:r>
        <w:rPr>
          <w:rFonts w:hint="eastAsia" w:ascii="宋体" w:hAnsi="宋体" w:eastAsia="宋体" w:cs="宋体"/>
          <w:sz w:val="24"/>
          <w:szCs w:val="24"/>
          <w:u w:val="none" w:color="333333"/>
          <w:lang w:val="zh-TW" w:eastAsia="zh-TW"/>
        </w:rPr>
        <w:t>镜身围绕旋转轴旋转时，光学中心与挂臂旋转轴一致，不同体位，视野范围不变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333333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333333"/>
          <w:lang w:val="en-US" w:eastAsia="zh-CN"/>
        </w:rPr>
        <w:t>3.影像系统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 w:color="333333"/>
          <w:lang w:val="en-US" w:eastAsia="zh-CN"/>
        </w:rPr>
        <w:t>3.1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 w:color="333333"/>
          <w:lang w:val="zh-TW"/>
        </w:rPr>
        <w:t>内置4K超高清影像系统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 w:color="333333"/>
          <w:lang w:val="zh-TW" w:eastAsia="zh-CN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 w:color="333333"/>
          <w:lang w:val="zh-TW"/>
        </w:rPr>
        <w:t>4K显示器超高清影像输出，输出影像颜色真实、细腻；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快速拍照/录像，动/静态影像可直接存储于U盘中</w:t>
      </w: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8"/>
        </w:numPr>
        <w:wordWrap/>
        <w:topLinePunct w:val="0"/>
        <w:bidi w:val="0"/>
        <w:spacing w:line="440" w:lineRule="exact"/>
        <w:jc w:val="center"/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全数字化彩色超声波诊断装置参数</w:t>
      </w:r>
    </w:p>
    <w:p>
      <w:pPr>
        <w:keepNext w:val="0"/>
        <w:keepLines w:val="0"/>
        <w:pageBreakBefore w:val="0"/>
        <w:numPr>
          <w:numId w:val="0"/>
        </w:numPr>
        <w:wordWrap/>
        <w:topLinePunct w:val="0"/>
        <w:bidi w:val="0"/>
        <w:spacing w:line="440" w:lineRule="exact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val="none" w:color="333333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设备用途说明：腹部、心脏、妇产、泌尿、血管、浅表小器官、儿科、腔内、经颅、消化内镜及其他介入检查和治疗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二、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产品描述：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彩色多谱勒超声波诊断仪包括：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1.高分辨率液晶监视器，可左右旋转，可触摸操作，全新GUI操作界面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1.1 全数字化高性能彩色多普勒便携超声诊断系统主机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1.2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数字化二维灰阶成像单元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1.3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数字化彩色多普勒诊断部件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1.4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数字化频谱多普勒显示和分析单元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1.5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实时自动多普勒包络测量功能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1.6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彩色能量图/带方向信息的能量多普勒图，高精细血流成像技术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1.7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连续可变动态孔径声束聚焦技术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1.8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原始数据存储，图像冻结后多参数可调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1.9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一键优化功能，对应二维和多普勒模式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1.10 空间复合成像技术：对应凸阵、线阵探头，对应模式：二维、谐波、彩色、弹性成像，并可根据需要调节复合扫描方向及线密度等。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1.11 有智能化回声滤波解析技术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1.12全新的组织谐波技术，多种谐波模式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1.13具备组织声速校正技术，可应用于特殊体型人群，多档可调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1.14 组织多普勒功能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1.15 M型自动导航功能，提高心功能测量效率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1.16 B型、彩色、多普勒实时三同步显示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1.17数字化不失真图像放大功能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1.18线阵探头梯形成像技术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2.测量和分析:(B型,M型,频谱多谱勒,彩色多谱勒)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2.1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一般测量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2.2 产科测量及报告软件,含胎儿参数,生长发育曲线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2.3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多普勒血流测量及报告软件妇科测量与分析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2.4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心脏/血管计算测量及报告软件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2.5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泌尿科计算及报告软件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2.6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关节计算及报告软件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2.7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用户可建立特殊用途测量软件包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bookmarkStart w:id="0" w:name="_GoBack"/>
      <w:bookmarkEnd w:id="0"/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有图像存储与(电影)回放重现单元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4.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输入/输出信号: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 xml:space="preserve">   4.1 输入: VCR, 外部视频、RGB彩色视频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 xml:space="preserve">   4.2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输出: 复合视频, RGB彩色视频/S---视频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5. 连通性：兼容DICOM3.0。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6.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图像管理与记录装置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6.1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超声图像存档与病案管理系统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6.2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USB接口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6.3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主机固态硬盘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7.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具备便捷低阻力推车，移动灵活。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8.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探头：≥3个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9.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数字化图像管理与记录装置：内置高级图像数据管理软件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10.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>所配软件为最新版本，并具有持续升级能力。</w:t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  <w:r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snapToGrid w:val="0"/>
        <w:spacing w:beforeAutospacing="0" w:afterAutospacing="0" w:line="440" w:lineRule="exact"/>
        <w:jc w:val="both"/>
        <w:rPr>
          <w:rStyle w:val="9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134" w:bottom="1418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兰亭纤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00" w:lineRule="exact"/>
      <w:rPr>
        <w:rFonts w:ascii="Cambria Math" w:hAnsi="Cambria Math" w:eastAsia="Adobe 仿宋 Std R" w:cs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6C796"/>
    <w:multiLevelType w:val="singleLevel"/>
    <w:tmpl w:val="CE16C796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D6581C83"/>
    <w:multiLevelType w:val="singleLevel"/>
    <w:tmpl w:val="D6581C8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0D28168"/>
    <w:multiLevelType w:val="singleLevel"/>
    <w:tmpl w:val="E0D281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14ED90C"/>
    <w:multiLevelType w:val="singleLevel"/>
    <w:tmpl w:val="E14ED9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7B5227A"/>
    <w:multiLevelType w:val="singleLevel"/>
    <w:tmpl w:val="F7B522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19683D9"/>
    <w:multiLevelType w:val="singleLevel"/>
    <w:tmpl w:val="419683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603F225"/>
    <w:multiLevelType w:val="singleLevel"/>
    <w:tmpl w:val="5603F225"/>
    <w:lvl w:ilvl="0" w:tentative="0">
      <w:start w:val="1"/>
      <w:numFmt w:val="chineseCounting"/>
      <w:suff w:val="nothing"/>
      <w:lvlText w:val="%1．"/>
      <w:lvlJc w:val="left"/>
    </w:lvl>
  </w:abstractNum>
  <w:abstractNum w:abstractNumId="7">
    <w:nsid w:val="7350EB8B"/>
    <w:multiLevelType w:val="singleLevel"/>
    <w:tmpl w:val="7350EB8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6C862075"/>
    <w:rsid w:val="023C172E"/>
    <w:rsid w:val="17A27B37"/>
    <w:rsid w:val="17FD4AA7"/>
    <w:rsid w:val="19EB7734"/>
    <w:rsid w:val="1BB6133F"/>
    <w:rsid w:val="1FEB043F"/>
    <w:rsid w:val="20E62212"/>
    <w:rsid w:val="273B1941"/>
    <w:rsid w:val="311106E1"/>
    <w:rsid w:val="377014FE"/>
    <w:rsid w:val="3C550A9D"/>
    <w:rsid w:val="401556AD"/>
    <w:rsid w:val="424A3654"/>
    <w:rsid w:val="43CE5C23"/>
    <w:rsid w:val="4B6E2768"/>
    <w:rsid w:val="4D8B7AF5"/>
    <w:rsid w:val="53F83744"/>
    <w:rsid w:val="54364625"/>
    <w:rsid w:val="58845D45"/>
    <w:rsid w:val="5B03210E"/>
    <w:rsid w:val="6C862075"/>
    <w:rsid w:val="6FD3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69"/>
    </w:pPr>
    <w:rPr>
      <w:rFonts w:ascii="黑体" w:hAnsi="黑体" w:eastAsia="黑体" w:cs="黑体"/>
      <w:sz w:val="18"/>
      <w:szCs w:val="18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Null"/>
    <w:qFormat/>
    <w:uiPriority w:val="0"/>
    <w:pPr>
      <w:widowControl/>
      <w:textAlignment w:val="baseline"/>
    </w:pPr>
    <w:rPr>
      <w:rFonts w:ascii="Calibri" w:hAnsi="Calibri" w:eastAsia="方正兰亭纤黑简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paragraph" w:customStyle="1" w:styleId="13">
    <w:name w:val="正文 A"/>
    <w:qFormat/>
    <w:uiPriority w:val="0"/>
    <w:pPr>
      <w:widowControl w:val="0"/>
      <w:jc w:val="center"/>
    </w:pPr>
    <w:rPr>
      <w:rFonts w:ascii="宋体" w:hAnsi="宋体" w:eastAsia="宋体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2608</Words>
  <Characters>2943</Characters>
  <Lines>0</Lines>
  <Paragraphs>0</Paragraphs>
  <TotalTime>7</TotalTime>
  <ScaleCrop>false</ScaleCrop>
  <LinksUpToDate>false</LinksUpToDate>
  <CharactersWithSpaces>3581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2022-11-05T07:54:00Z</dcterms:created>
  <dc:creator>青苹果</dc:creator>
  <cp:lastModifiedBy>铁甲依然在K</cp:lastModifiedBy>
  <dcterms:modified xsi:type="dcterms:W3CDTF">2023-02-17T03:59:08Z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6A18176D818645C88C4B054B43713D5D</vt:lpwstr>
  </property>
</Properties>
</file>