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bookmarkStart w:id="0" w:name="_GoBack"/>
      <w:bookmarkEnd w:id="0"/>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aps w:val="0"/>
                <w:color w:val="auto"/>
                <w:spacing w:val="0"/>
                <w:sz w:val="24"/>
                <w:szCs w:val="24"/>
                <w:shd w:val="clear" w:fill="FFFFFF"/>
                <w:lang w:eastAsia="zh-CN"/>
              </w:rPr>
              <w:t>血液透析机</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血液透析滤过装置</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病人监护仪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4</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双道微量注射泵</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5</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升降三折床</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6</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床边血透机（</w:t>
            </w:r>
            <w:r>
              <w:rPr>
                <w:rFonts w:hint="eastAsia" w:ascii="宋体" w:hAnsi="宋体" w:eastAsia="宋体" w:cs="宋体"/>
                <w:i w:val="0"/>
                <w:iCs w:val="0"/>
                <w:caps w:val="0"/>
                <w:color w:val="auto"/>
                <w:spacing w:val="0"/>
                <w:sz w:val="24"/>
                <w:szCs w:val="24"/>
                <w:shd w:val="clear" w:fill="FFFFFF"/>
                <w:lang w:val="en-US" w:eastAsia="zh-CN"/>
              </w:rPr>
              <w:t>CRRT</w:t>
            </w:r>
            <w:r>
              <w:rPr>
                <w:rFonts w:hint="eastAsia" w:ascii="宋体" w:hAnsi="宋体" w:eastAsia="宋体" w:cs="宋体"/>
                <w:i w:val="0"/>
                <w:iCs w:val="0"/>
                <w:caps w:val="0"/>
                <w:color w:val="auto"/>
                <w:spacing w:val="0"/>
                <w:sz w:val="24"/>
                <w:szCs w:val="24"/>
                <w:shd w:val="clear" w:fill="FFFFFF"/>
                <w:lang w:eastAsia="zh-CN"/>
              </w:rPr>
              <w:t>）</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7</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呼吸机</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r>
        <w:rPr>
          <w:rFonts w:hint="eastAsia" w:ascii="宋体" w:hAnsi="宋体" w:cs="宋体"/>
          <w:b/>
          <w:color w:val="FF0000"/>
          <w:kern w:val="0"/>
          <w:sz w:val="24"/>
          <w:szCs w:val="24"/>
          <w:u w:val="single"/>
          <w:shd w:val="clear" w:color="auto" w:fill="FFFFFF"/>
        </w:rPr>
        <w:t>疫情防控需要，请所有报名参会的供应商在参会时提供</w:t>
      </w:r>
      <w:r>
        <w:rPr>
          <w:rFonts w:hint="eastAsia" w:ascii="宋体" w:hAnsi="宋体" w:cs="宋体"/>
          <w:b/>
          <w:color w:val="FF0000"/>
          <w:kern w:val="0"/>
          <w:sz w:val="24"/>
          <w:szCs w:val="24"/>
          <w:u w:val="single"/>
          <w:shd w:val="clear" w:color="auto" w:fill="FFFFFF"/>
          <w:lang w:val="en-US" w:eastAsia="zh-CN"/>
        </w:rPr>
        <w:t>24</w:t>
      </w:r>
      <w:r>
        <w:rPr>
          <w:rFonts w:hint="eastAsia" w:ascii="宋体" w:hAnsi="宋体" w:cs="宋体"/>
          <w:b/>
          <w:color w:val="FF0000"/>
          <w:kern w:val="0"/>
          <w:sz w:val="24"/>
          <w:szCs w:val="24"/>
          <w:u w:val="single"/>
          <w:shd w:val="clear" w:color="auto" w:fill="FFFFFF"/>
        </w:rPr>
        <w:t>小时内核酸检测报告并出示健康码、行程码，</w:t>
      </w:r>
      <w:r>
        <w:rPr>
          <w:rFonts w:hint="eastAsia" w:ascii="宋体" w:hAnsi="宋体" w:cs="宋体"/>
          <w:b/>
          <w:color w:val="FF0000"/>
          <w:kern w:val="0"/>
          <w:sz w:val="24"/>
          <w:szCs w:val="24"/>
          <w:u w:val="single"/>
          <w:shd w:val="clear" w:color="auto" w:fill="FFFFFF"/>
          <w:lang w:eastAsia="zh-CN"/>
        </w:rPr>
        <w:t>戴好口罩，</w:t>
      </w:r>
      <w:r>
        <w:rPr>
          <w:rFonts w:hint="eastAsia" w:ascii="宋体" w:hAnsi="宋体" w:cs="宋体"/>
          <w:b/>
          <w:color w:val="FF0000"/>
          <w:kern w:val="0"/>
          <w:sz w:val="24"/>
          <w:szCs w:val="24"/>
          <w:u w:val="single"/>
          <w:shd w:val="clear" w:color="auto" w:fill="FFFFFF"/>
        </w:rPr>
        <w:t>否则不予参会。谢谢配合！</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hint="eastAsia" w:hAnsi="宋体" w:cs="宋体"/>
          <w:b/>
          <w:sz w:val="32"/>
          <w:lang w:eastAsia="zh-CN"/>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521197E"/>
    <w:rsid w:val="558A46C7"/>
    <w:rsid w:val="605F086D"/>
    <w:rsid w:val="63155F18"/>
    <w:rsid w:val="64635C47"/>
    <w:rsid w:val="646557F8"/>
    <w:rsid w:val="66B918A0"/>
    <w:rsid w:val="679A42D6"/>
    <w:rsid w:val="688471B6"/>
    <w:rsid w:val="68C260CB"/>
    <w:rsid w:val="69AE403B"/>
    <w:rsid w:val="6C550E7B"/>
    <w:rsid w:val="6E092430"/>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6246</Words>
  <Characters>6364</Characters>
  <Lines>14</Lines>
  <Paragraphs>4</Paragraphs>
  <TotalTime>0</TotalTime>
  <ScaleCrop>false</ScaleCrop>
  <LinksUpToDate>false</LinksUpToDate>
  <CharactersWithSpaces>6644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2023-01-31T08:09:12Z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