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360" w:lineRule="auto"/>
        <w:rPr>
          <w:rFonts w:ascii="宋体" w:hAnsi="宋体"/>
          <w:b w:val="0"/>
          <w:bCs w:val="0"/>
          <w:sz w:val="28"/>
        </w:rPr>
      </w:pPr>
      <w:r>
        <w:rPr>
          <w:rFonts w:hint="eastAsia"/>
        </w:rPr>
        <w:t xml:space="preserve"> 参数说明</w:t>
      </w:r>
    </w:p>
    <w:p>
      <w:pPr>
        <w:pStyle w:val="3"/>
        <w:numPr>
          <w:ilvl w:val="0"/>
          <w:numId w:val="1"/>
        </w:numPr>
        <w:tabs>
          <w:tab w:val="left" w:pos="540"/>
        </w:tabs>
        <w:adjustRightInd w:val="0"/>
        <w:snapToGrid w:val="0"/>
        <w:spacing w:line="360" w:lineRule="auto"/>
        <w:ind w:firstLine="422" w:firstLineChars="200"/>
        <w:rPr>
          <w:rFonts w:hAnsi="宋体"/>
          <w:b/>
        </w:rPr>
      </w:pPr>
      <w:r>
        <w:rPr>
          <w:rFonts w:hint="eastAsia" w:hAnsi="宋体"/>
          <w:b/>
        </w:rPr>
        <w:t>设计依据及执行技术规范</w:t>
      </w:r>
    </w:p>
    <w:p>
      <w:pPr>
        <w:pStyle w:val="3"/>
        <w:adjustRightInd w:val="0"/>
        <w:snapToGrid w:val="0"/>
        <w:spacing w:line="360" w:lineRule="auto"/>
        <w:ind w:firstLine="420" w:firstLineChars="200"/>
        <w:rPr>
          <w:rFonts w:hAnsi="宋体"/>
        </w:rPr>
      </w:pPr>
      <w:r>
        <w:rPr>
          <w:rFonts w:hAnsi="宋体"/>
        </w:rPr>
        <w:t>GB50751-2012</w:t>
      </w:r>
      <w:r>
        <w:rPr>
          <w:rFonts w:hint="eastAsia" w:hAnsi="宋体"/>
        </w:rPr>
        <w:t>《医用气体工程技术规范》；</w:t>
      </w:r>
    </w:p>
    <w:p>
      <w:pPr>
        <w:pStyle w:val="3"/>
        <w:adjustRightInd w:val="0"/>
        <w:snapToGrid w:val="0"/>
        <w:spacing w:line="360" w:lineRule="auto"/>
        <w:ind w:firstLine="420" w:firstLineChars="200"/>
        <w:rPr>
          <w:rFonts w:hAnsi="宋体"/>
        </w:rPr>
      </w:pPr>
      <w:r>
        <w:rPr>
          <w:rFonts w:hAnsi="宋体"/>
        </w:rPr>
        <w:t>GB50333-2002</w:t>
      </w:r>
      <w:r>
        <w:rPr>
          <w:rFonts w:hint="eastAsia" w:hAnsi="宋体"/>
        </w:rPr>
        <w:t>《医院洁净手术部建筑技术规范</w:t>
      </w:r>
      <w:r>
        <w:rPr>
          <w:rFonts w:hAnsi="宋体"/>
        </w:rPr>
        <w:t>——</w:t>
      </w:r>
      <w:r>
        <w:rPr>
          <w:rFonts w:hint="eastAsia" w:hAnsi="宋体"/>
        </w:rPr>
        <w:t>医用气体篇》；</w:t>
      </w:r>
    </w:p>
    <w:p>
      <w:pPr>
        <w:pStyle w:val="3"/>
        <w:adjustRightInd w:val="0"/>
        <w:snapToGrid w:val="0"/>
        <w:spacing w:line="360" w:lineRule="auto"/>
        <w:ind w:firstLine="420" w:firstLineChars="200"/>
        <w:rPr>
          <w:rFonts w:hAnsi="宋体"/>
        </w:rPr>
      </w:pPr>
      <w:r>
        <w:rPr>
          <w:rFonts w:hAnsi="宋体"/>
        </w:rPr>
        <w:t>YY/T0186-94</w:t>
      </w:r>
      <w:r>
        <w:rPr>
          <w:rFonts w:hint="eastAsia" w:hAnsi="宋体"/>
        </w:rPr>
        <w:t>《医用中心吸引系统通用技术条件》；</w:t>
      </w:r>
    </w:p>
    <w:p>
      <w:pPr>
        <w:pStyle w:val="3"/>
        <w:adjustRightInd w:val="0"/>
        <w:snapToGrid w:val="0"/>
        <w:spacing w:line="360" w:lineRule="auto"/>
        <w:ind w:firstLine="420" w:firstLineChars="200"/>
        <w:rPr>
          <w:rFonts w:hAnsi="宋体"/>
        </w:rPr>
      </w:pPr>
      <w:r>
        <w:rPr>
          <w:rFonts w:hAnsi="宋体"/>
        </w:rPr>
        <w:t>YY/T0187-94</w:t>
      </w:r>
      <w:r>
        <w:rPr>
          <w:rFonts w:hint="eastAsia" w:hAnsi="宋体"/>
        </w:rPr>
        <w:t>《医用中心供氧系统通用技术条件》；</w:t>
      </w:r>
    </w:p>
    <w:p>
      <w:pPr>
        <w:pStyle w:val="3"/>
        <w:adjustRightInd w:val="0"/>
        <w:snapToGrid w:val="0"/>
        <w:spacing w:line="360" w:lineRule="auto"/>
        <w:ind w:firstLine="420" w:firstLineChars="200"/>
        <w:rPr>
          <w:rFonts w:hAnsi="宋体"/>
        </w:rPr>
      </w:pPr>
      <w:r>
        <w:rPr>
          <w:rFonts w:hAnsi="宋体"/>
        </w:rPr>
        <w:t>GB50030-2007</w:t>
      </w:r>
      <w:r>
        <w:rPr>
          <w:rFonts w:hint="eastAsia" w:hAnsi="宋体"/>
        </w:rPr>
        <w:t>《氧气站设计规范》；</w:t>
      </w:r>
    </w:p>
    <w:p>
      <w:pPr>
        <w:pStyle w:val="3"/>
        <w:adjustRightInd w:val="0"/>
        <w:snapToGrid w:val="0"/>
        <w:spacing w:line="360" w:lineRule="auto"/>
        <w:ind w:firstLine="420" w:firstLineChars="200"/>
        <w:rPr>
          <w:rFonts w:hAnsi="宋体"/>
        </w:rPr>
      </w:pPr>
      <w:r>
        <w:rPr>
          <w:rFonts w:hAnsi="宋体"/>
        </w:rPr>
        <w:t>GB50029-2003</w:t>
      </w:r>
      <w:r>
        <w:rPr>
          <w:rFonts w:hint="eastAsia" w:hAnsi="宋体"/>
        </w:rPr>
        <w:t>《医用空气站设计规范》；</w:t>
      </w:r>
    </w:p>
    <w:p>
      <w:pPr>
        <w:pStyle w:val="3"/>
        <w:adjustRightInd w:val="0"/>
        <w:snapToGrid w:val="0"/>
        <w:spacing w:line="360" w:lineRule="auto"/>
        <w:ind w:firstLine="420" w:firstLineChars="200"/>
        <w:rPr>
          <w:rFonts w:hAnsi="宋体"/>
        </w:rPr>
      </w:pPr>
      <w:r>
        <w:rPr>
          <w:rFonts w:hAnsi="宋体"/>
        </w:rPr>
        <w:t>GB50016-2006</w:t>
      </w:r>
      <w:r>
        <w:rPr>
          <w:rFonts w:hint="eastAsia" w:hAnsi="宋体"/>
        </w:rPr>
        <w:t>《建筑设计防火规范》；</w:t>
      </w:r>
    </w:p>
    <w:p>
      <w:pPr>
        <w:pStyle w:val="3"/>
        <w:adjustRightInd w:val="0"/>
        <w:snapToGrid w:val="0"/>
        <w:spacing w:line="360" w:lineRule="auto"/>
        <w:ind w:firstLine="420" w:firstLineChars="200"/>
        <w:rPr>
          <w:rFonts w:hAnsi="宋体"/>
        </w:rPr>
      </w:pPr>
      <w:r>
        <w:rPr>
          <w:rFonts w:hAnsi="宋体"/>
        </w:rPr>
        <w:t>GB50316-2000</w:t>
      </w:r>
      <w:r>
        <w:rPr>
          <w:rFonts w:hint="eastAsia" w:hAnsi="宋体"/>
        </w:rPr>
        <w:t>《工业金属管道设计规范》（</w:t>
      </w:r>
      <w:r>
        <w:rPr>
          <w:rFonts w:hAnsi="宋体"/>
        </w:rPr>
        <w:t>2008</w:t>
      </w:r>
      <w:r>
        <w:rPr>
          <w:rFonts w:hint="eastAsia" w:hAnsi="宋体"/>
        </w:rPr>
        <w:t>版）；</w:t>
      </w:r>
    </w:p>
    <w:p>
      <w:pPr>
        <w:pStyle w:val="3"/>
        <w:adjustRightInd w:val="0"/>
        <w:snapToGrid w:val="0"/>
        <w:spacing w:line="360" w:lineRule="auto"/>
        <w:ind w:firstLine="420" w:firstLineChars="200"/>
        <w:rPr>
          <w:rFonts w:hAnsi="宋体"/>
        </w:rPr>
      </w:pPr>
      <w:r>
        <w:rPr>
          <w:rFonts w:hAnsi="宋体"/>
        </w:rPr>
        <w:t>GB50235-2010</w:t>
      </w:r>
      <w:r>
        <w:rPr>
          <w:rFonts w:hint="eastAsia" w:hAnsi="宋体"/>
        </w:rPr>
        <w:t>《工业金属管道工程施工规范》；</w:t>
      </w:r>
    </w:p>
    <w:p>
      <w:pPr>
        <w:pStyle w:val="3"/>
        <w:adjustRightInd w:val="0"/>
        <w:snapToGrid w:val="0"/>
        <w:spacing w:line="360" w:lineRule="auto"/>
        <w:ind w:firstLine="420" w:firstLineChars="200"/>
        <w:rPr>
          <w:rFonts w:hAnsi="宋体"/>
        </w:rPr>
      </w:pPr>
      <w:r>
        <w:rPr>
          <w:rFonts w:hAnsi="宋体"/>
        </w:rPr>
        <w:t>GB50236—2011</w:t>
      </w:r>
      <w:r>
        <w:rPr>
          <w:rFonts w:hint="eastAsia" w:hAnsi="宋体"/>
        </w:rPr>
        <w:t>《现场设备、工业管道焊接工程施工规范》；</w:t>
      </w:r>
    </w:p>
    <w:p>
      <w:pPr>
        <w:pStyle w:val="3"/>
        <w:adjustRightInd w:val="0"/>
        <w:snapToGrid w:val="0"/>
        <w:spacing w:line="360" w:lineRule="auto"/>
        <w:ind w:firstLine="420" w:firstLineChars="200"/>
        <w:rPr>
          <w:rFonts w:hAnsi="宋体"/>
        </w:rPr>
      </w:pPr>
      <w:r>
        <w:rPr>
          <w:rFonts w:hAnsi="宋体"/>
        </w:rPr>
        <w:t>GB50184-2011</w:t>
      </w:r>
      <w:r>
        <w:rPr>
          <w:rFonts w:hint="eastAsia" w:hAnsi="宋体"/>
        </w:rPr>
        <w:t>《工业金属管道工程施工质量验收规范》；</w:t>
      </w:r>
    </w:p>
    <w:p>
      <w:pPr>
        <w:pStyle w:val="3"/>
        <w:adjustRightInd w:val="0"/>
        <w:snapToGrid w:val="0"/>
        <w:spacing w:line="360" w:lineRule="auto"/>
        <w:ind w:firstLine="420" w:firstLineChars="200"/>
        <w:rPr>
          <w:rFonts w:hAnsi="宋体"/>
        </w:rPr>
      </w:pPr>
      <w:r>
        <w:rPr>
          <w:rFonts w:hAnsi="宋体"/>
        </w:rPr>
        <w:t>GB/T14976-2012</w:t>
      </w:r>
      <w:r>
        <w:rPr>
          <w:rFonts w:hint="eastAsia" w:hAnsi="宋体"/>
        </w:rPr>
        <w:t>《流体输送用不锈钢管无缝钢管》；</w:t>
      </w:r>
    </w:p>
    <w:p>
      <w:pPr>
        <w:pStyle w:val="3"/>
        <w:adjustRightInd w:val="0"/>
        <w:snapToGrid w:val="0"/>
        <w:spacing w:line="360" w:lineRule="auto"/>
        <w:ind w:firstLine="420" w:firstLineChars="200"/>
        <w:rPr>
          <w:rFonts w:hAnsi="宋体"/>
        </w:rPr>
      </w:pPr>
      <w:r>
        <w:rPr>
          <w:rFonts w:hAnsi="宋体"/>
        </w:rPr>
        <w:t>GB150</w:t>
      </w:r>
      <w:r>
        <w:rPr>
          <w:rFonts w:hint="eastAsia" w:hAnsi="宋体"/>
        </w:rPr>
        <w:t>《钢制压力容器》；</w:t>
      </w:r>
    </w:p>
    <w:p>
      <w:pPr>
        <w:pStyle w:val="3"/>
        <w:adjustRightInd w:val="0"/>
        <w:snapToGrid w:val="0"/>
        <w:spacing w:line="360" w:lineRule="auto"/>
        <w:ind w:firstLine="420" w:firstLineChars="200"/>
        <w:rPr>
          <w:rFonts w:hAnsi="宋体"/>
        </w:rPr>
      </w:pPr>
      <w:r>
        <w:rPr>
          <w:rFonts w:hAnsi="宋体"/>
        </w:rPr>
        <w:t>GB8982</w:t>
      </w:r>
      <w:r>
        <w:rPr>
          <w:rFonts w:hint="eastAsia" w:hAnsi="宋体"/>
        </w:rPr>
        <w:t>《医用氧气》；</w:t>
      </w:r>
    </w:p>
    <w:p>
      <w:pPr>
        <w:pStyle w:val="3"/>
        <w:adjustRightInd w:val="0"/>
        <w:snapToGrid w:val="0"/>
        <w:spacing w:line="360" w:lineRule="auto"/>
        <w:ind w:firstLine="420" w:firstLineChars="200"/>
        <w:rPr>
          <w:rFonts w:hAnsi="宋体"/>
        </w:rPr>
      </w:pPr>
      <w:r>
        <w:rPr>
          <w:rFonts w:hAnsi="宋体"/>
        </w:rPr>
        <w:t>GB50254-96</w:t>
      </w:r>
      <w:r>
        <w:rPr>
          <w:rFonts w:hint="eastAsia" w:hAnsi="宋体"/>
        </w:rPr>
        <w:t>《电气装置安装工程施工及验收规范》；</w:t>
      </w:r>
    </w:p>
    <w:p>
      <w:pPr>
        <w:pStyle w:val="3"/>
        <w:adjustRightInd w:val="0"/>
        <w:snapToGrid w:val="0"/>
        <w:spacing w:line="360" w:lineRule="auto"/>
        <w:ind w:firstLine="420" w:firstLineChars="200"/>
        <w:rPr>
          <w:rFonts w:hAnsi="宋体"/>
        </w:rPr>
      </w:pPr>
      <w:r>
        <w:rPr>
          <w:rFonts w:hAnsi="宋体"/>
        </w:rPr>
        <w:t>GB12241-12243</w:t>
      </w:r>
      <w:r>
        <w:rPr>
          <w:rFonts w:hint="eastAsia" w:hAnsi="宋体"/>
        </w:rPr>
        <w:t>《安全阀标准化（</w:t>
      </w:r>
      <w:r>
        <w:rPr>
          <w:rFonts w:hAnsi="宋体"/>
        </w:rPr>
        <w:t>GB567</w:t>
      </w:r>
      <w:r>
        <w:rPr>
          <w:rFonts w:hint="eastAsia" w:hAnsi="宋体"/>
        </w:rPr>
        <w:t>爆破片装置）》；</w:t>
      </w:r>
    </w:p>
    <w:p>
      <w:pPr>
        <w:pStyle w:val="3"/>
        <w:adjustRightInd w:val="0"/>
        <w:snapToGrid w:val="0"/>
        <w:spacing w:line="360" w:lineRule="auto"/>
        <w:ind w:firstLine="420" w:firstLineChars="200"/>
        <w:rPr>
          <w:rFonts w:hAnsi="宋体"/>
        </w:rPr>
      </w:pPr>
      <w:r>
        <w:rPr>
          <w:rFonts w:hAnsi="宋体"/>
        </w:rPr>
        <w:t>GB3836.4</w:t>
      </w:r>
      <w:r>
        <w:rPr>
          <w:rFonts w:hint="eastAsia" w:hAnsi="宋体"/>
        </w:rPr>
        <w:t>《爆炸性环境用防爆电气设备本质安全型电路和电气设备》；</w:t>
      </w:r>
    </w:p>
    <w:p>
      <w:pPr>
        <w:pStyle w:val="3"/>
        <w:adjustRightInd w:val="0"/>
        <w:snapToGrid w:val="0"/>
        <w:spacing w:line="360" w:lineRule="auto"/>
        <w:ind w:firstLine="420" w:firstLineChars="200"/>
        <w:rPr>
          <w:rFonts w:hAnsi="宋体" w:cs="宋体"/>
        </w:rPr>
      </w:pPr>
      <w:r>
        <w:rPr>
          <w:rFonts w:hint="eastAsia" w:hAnsi="宋体"/>
        </w:rPr>
        <w:t>建设单位设计要求及国家、地方颁布的其它相关法律法规。</w:t>
      </w:r>
    </w:p>
    <w:p>
      <w:pPr>
        <w:pStyle w:val="3"/>
        <w:numPr>
          <w:ilvl w:val="0"/>
          <w:numId w:val="1"/>
        </w:numPr>
        <w:tabs>
          <w:tab w:val="left" w:pos="540"/>
        </w:tabs>
        <w:adjustRightInd w:val="0"/>
        <w:snapToGrid w:val="0"/>
        <w:spacing w:line="360" w:lineRule="auto"/>
        <w:ind w:firstLine="4" w:firstLineChars="2"/>
        <w:rPr>
          <w:rFonts w:hAnsi="宋体" w:cs="宋体"/>
        </w:rPr>
      </w:pPr>
      <w:r>
        <w:rPr>
          <w:rFonts w:hint="eastAsia" w:hAnsi="宋体"/>
          <w:b/>
        </w:rPr>
        <w:t>详细技术要求</w:t>
      </w:r>
    </w:p>
    <w:p>
      <w:pPr>
        <w:numPr>
          <w:ilvl w:val="1"/>
          <w:numId w:val="2"/>
        </w:numPr>
        <w:tabs>
          <w:tab w:val="left" w:pos="567"/>
        </w:tabs>
        <w:autoSpaceDE/>
        <w:autoSpaceDN/>
        <w:snapToGrid w:val="0"/>
        <w:spacing w:line="360" w:lineRule="auto"/>
        <w:ind w:left="1277" w:leftChars="354" w:hanging="569" w:hangingChars="270"/>
        <w:jc w:val="both"/>
        <w:rPr>
          <w:rFonts w:ascii="宋体" w:hAnsi="宋体"/>
          <w:b/>
          <w:sz w:val="21"/>
          <w:szCs w:val="21"/>
        </w:rPr>
      </w:pPr>
      <w:r>
        <w:rPr>
          <w:rFonts w:hint="eastAsia" w:ascii="宋体" w:hAnsi="宋体"/>
          <w:b/>
          <w:sz w:val="21"/>
          <w:szCs w:val="21"/>
        </w:rPr>
        <w:t>中心供氧系统</w:t>
      </w:r>
    </w:p>
    <w:p>
      <w:pPr>
        <w:pStyle w:val="12"/>
        <w:snapToGrid w:val="0"/>
        <w:spacing w:line="360" w:lineRule="auto"/>
        <w:ind w:firstLine="422" w:firstLineChars="200"/>
        <w:rPr>
          <w:rFonts w:hAnsi="宋体" w:eastAsia="宋体"/>
          <w:b/>
          <w:sz w:val="21"/>
          <w:szCs w:val="21"/>
        </w:rPr>
      </w:pPr>
      <w:r>
        <w:rPr>
          <w:rFonts w:hint="eastAsia" w:hAnsi="宋体" w:eastAsia="宋体"/>
          <w:b/>
          <w:sz w:val="21"/>
          <w:szCs w:val="21"/>
        </w:rPr>
        <w:t>1.中心供氧系统设计说明</w:t>
      </w:r>
    </w:p>
    <w:p>
      <w:pPr>
        <w:widowControl/>
        <w:snapToGrid w:val="0"/>
        <w:spacing w:line="360" w:lineRule="auto"/>
        <w:ind w:left="134" w:leftChars="67" w:firstLine="420" w:firstLineChars="200"/>
        <w:rPr>
          <w:rFonts w:ascii="宋体" w:hAnsi="宋体"/>
          <w:bCs/>
          <w:sz w:val="21"/>
          <w:szCs w:val="21"/>
        </w:rPr>
      </w:pPr>
      <w:r>
        <w:rPr>
          <w:rFonts w:hint="eastAsia" w:ascii="宋体" w:hAnsi="宋体"/>
          <w:bCs/>
          <w:sz w:val="21"/>
          <w:szCs w:val="21"/>
        </w:rPr>
        <w:t>简介</w:t>
      </w:r>
      <w:r>
        <w:rPr>
          <w:rFonts w:ascii="宋体" w:hAnsi="宋体"/>
          <w:bCs/>
          <w:sz w:val="21"/>
          <w:szCs w:val="21"/>
        </w:rPr>
        <w:t>:</w:t>
      </w:r>
      <w:r>
        <w:rPr>
          <w:rFonts w:hint="eastAsia" w:ascii="宋体" w:hAnsi="宋体"/>
          <w:bCs/>
          <w:sz w:val="21"/>
          <w:szCs w:val="21"/>
        </w:rPr>
        <w:t>医用中心供氧系统由中心供氧站、减压装置、管道、阀门及氧气快速插座终端等组成。中心供氧站机房不在本次招标范围内，站内的氧气通过管道和减压装置输送到各个病区各病房的快速插座终端处，然后通过湿化器供病人吸氧，它使用安全、快捷、方便，是一种近几年迅猛发展的现代化医疗设备。</w:t>
      </w:r>
    </w:p>
    <w:p>
      <w:pPr>
        <w:pStyle w:val="12"/>
        <w:snapToGrid w:val="0"/>
        <w:spacing w:line="360" w:lineRule="auto"/>
        <w:ind w:firstLine="422" w:firstLineChars="200"/>
        <w:rPr>
          <w:rFonts w:hAnsi="宋体" w:eastAsia="宋体"/>
          <w:b/>
          <w:sz w:val="21"/>
          <w:szCs w:val="21"/>
        </w:rPr>
      </w:pPr>
      <w:r>
        <w:rPr>
          <w:rFonts w:hint="eastAsia" w:hAnsi="宋体" w:eastAsia="宋体"/>
          <w:b/>
          <w:sz w:val="21"/>
          <w:szCs w:val="21"/>
        </w:rPr>
        <w:t>2.氧气减压装置</w:t>
      </w:r>
    </w:p>
    <w:p>
      <w:pPr>
        <w:snapToGrid w:val="0"/>
        <w:spacing w:line="360" w:lineRule="auto"/>
        <w:ind w:left="134" w:leftChars="67" w:firstLine="420" w:firstLineChars="200"/>
        <w:rPr>
          <w:rFonts w:ascii="宋体" w:hAnsi="宋体"/>
          <w:sz w:val="21"/>
          <w:szCs w:val="21"/>
        </w:rPr>
      </w:pPr>
      <w:r>
        <w:rPr>
          <w:rFonts w:hint="eastAsia" w:ascii="宋体" w:hAnsi="宋体"/>
          <w:sz w:val="21"/>
          <w:szCs w:val="21"/>
        </w:rPr>
        <w:t>医用氧气减压装置将高压气体减压至</w:t>
      </w:r>
      <w:r>
        <w:rPr>
          <w:rFonts w:ascii="宋体" w:hAnsi="宋体"/>
          <w:sz w:val="21"/>
          <w:szCs w:val="21"/>
        </w:rPr>
        <w:t>0.4</w:t>
      </w:r>
      <w:r>
        <w:rPr>
          <w:rFonts w:hint="eastAsia" w:ascii="宋体" w:hAnsi="宋体"/>
          <w:sz w:val="21"/>
          <w:szCs w:val="21"/>
        </w:rPr>
        <w:t>～</w:t>
      </w:r>
      <w:r>
        <w:rPr>
          <w:rFonts w:ascii="宋体" w:hAnsi="宋体"/>
          <w:sz w:val="21"/>
          <w:szCs w:val="21"/>
        </w:rPr>
        <w:t>0.6MPa</w:t>
      </w:r>
      <w:r>
        <w:rPr>
          <w:rFonts w:hint="eastAsia" w:ascii="宋体" w:hAnsi="宋体"/>
          <w:sz w:val="21"/>
          <w:szCs w:val="21"/>
        </w:rPr>
        <w:t>（可调）</w:t>
      </w:r>
      <w:r>
        <w:rPr>
          <w:rFonts w:ascii="宋体" w:hAnsi="宋体"/>
          <w:sz w:val="21"/>
          <w:szCs w:val="21"/>
        </w:rPr>
        <w:t>,</w:t>
      </w:r>
      <w:r>
        <w:rPr>
          <w:rFonts w:hint="eastAsia" w:ascii="宋体" w:hAnsi="宋体"/>
          <w:sz w:val="21"/>
          <w:szCs w:val="21"/>
        </w:rPr>
        <w:t>同时当管路中的输出压力超过</w:t>
      </w:r>
      <w:r>
        <w:rPr>
          <w:rFonts w:ascii="宋体" w:hAnsi="宋体"/>
          <w:sz w:val="21"/>
          <w:szCs w:val="21"/>
        </w:rPr>
        <w:t>0.6MPa</w:t>
      </w:r>
      <w:r>
        <w:rPr>
          <w:rFonts w:hint="eastAsia" w:ascii="宋体" w:hAnsi="宋体"/>
          <w:sz w:val="21"/>
          <w:szCs w:val="21"/>
        </w:rPr>
        <w:t>时，安全阀自动卸压，同时声光报警器自动报警。</w:t>
      </w:r>
    </w:p>
    <w:p>
      <w:pPr>
        <w:pStyle w:val="12"/>
        <w:snapToGrid w:val="0"/>
        <w:spacing w:line="360" w:lineRule="auto"/>
        <w:ind w:firstLine="422" w:firstLineChars="200"/>
        <w:rPr>
          <w:rFonts w:hAnsi="宋体" w:eastAsia="宋体"/>
          <w:b/>
          <w:sz w:val="21"/>
          <w:szCs w:val="21"/>
        </w:rPr>
      </w:pPr>
      <w:r>
        <w:rPr>
          <w:rFonts w:hint="eastAsia" w:hAnsi="宋体" w:eastAsia="宋体"/>
          <w:b/>
          <w:sz w:val="21"/>
          <w:szCs w:val="21"/>
        </w:rPr>
        <w:t>3.压力监测装置</w:t>
      </w:r>
    </w:p>
    <w:p>
      <w:pPr>
        <w:widowControl/>
        <w:snapToGrid w:val="0"/>
        <w:spacing w:line="360" w:lineRule="auto"/>
        <w:ind w:left="134" w:leftChars="67" w:firstLine="420" w:firstLineChars="200"/>
        <w:rPr>
          <w:rFonts w:ascii="宋体" w:hAnsi="宋体"/>
          <w:bCs/>
          <w:sz w:val="21"/>
          <w:szCs w:val="21"/>
        </w:rPr>
      </w:pPr>
      <w:r>
        <w:rPr>
          <w:rFonts w:hint="eastAsia" w:ascii="宋体" w:hAnsi="宋体"/>
          <w:bCs/>
          <w:sz w:val="21"/>
          <w:szCs w:val="21"/>
        </w:rPr>
        <w:t>在每病区（区域）安装一台病区监测箱，病区氧气压力在0.2Mpa~0.6Mpa范围内（监测），模块化产品结构，外形轻巧美观；</w:t>
      </w:r>
    </w:p>
    <w:p>
      <w:pPr>
        <w:pStyle w:val="12"/>
        <w:snapToGrid w:val="0"/>
        <w:spacing w:line="360" w:lineRule="auto"/>
        <w:ind w:firstLine="422" w:firstLineChars="200"/>
        <w:rPr>
          <w:rFonts w:hAnsi="宋体" w:eastAsia="宋体"/>
          <w:b/>
          <w:sz w:val="21"/>
          <w:szCs w:val="21"/>
        </w:rPr>
      </w:pPr>
      <w:r>
        <w:rPr>
          <w:rFonts w:hint="eastAsia" w:hAnsi="宋体" w:eastAsia="宋体"/>
          <w:b/>
          <w:sz w:val="21"/>
          <w:szCs w:val="21"/>
        </w:rPr>
        <w:t>4.氧气二级稳压箱</w:t>
      </w:r>
    </w:p>
    <w:p>
      <w:pPr>
        <w:pStyle w:val="12"/>
        <w:snapToGrid w:val="0"/>
        <w:spacing w:line="360" w:lineRule="auto"/>
        <w:ind w:firstLine="420" w:firstLineChars="200"/>
        <w:rPr>
          <w:rFonts w:hAnsi="宋体" w:eastAsia="宋体"/>
          <w:sz w:val="21"/>
          <w:szCs w:val="21"/>
        </w:rPr>
      </w:pPr>
      <w:r>
        <w:rPr>
          <w:rFonts w:hint="eastAsia" w:hAnsi="宋体" w:eastAsia="宋体"/>
          <w:sz w:val="21"/>
          <w:szCs w:val="21"/>
        </w:rPr>
        <w:t>氧气二级稳压箱为双路设计，一路发生故障时，可切换到另一路，在维修时不停止供气。</w:t>
      </w:r>
    </w:p>
    <w:p>
      <w:pPr>
        <w:autoSpaceDE/>
        <w:autoSpaceDN/>
        <w:adjustRightInd/>
        <w:spacing w:line="360" w:lineRule="auto"/>
        <w:ind w:firstLine="420" w:firstLineChars="200"/>
        <w:rPr>
          <w:rFonts w:ascii="宋体" w:hAnsi="宋体"/>
          <w:kern w:val="2"/>
          <w:sz w:val="21"/>
          <w:szCs w:val="21"/>
        </w:rPr>
      </w:pPr>
      <w:r>
        <w:rPr>
          <w:rFonts w:hint="eastAsia" w:ascii="宋体" w:hAnsi="宋体"/>
          <w:kern w:val="2"/>
          <w:sz w:val="21"/>
          <w:szCs w:val="21"/>
        </w:rPr>
        <w:t>1.用于病房所在楼层或手术室气体入口处，将管路压力调整到一定的压力范围之内</w:t>
      </w:r>
    </w:p>
    <w:p>
      <w:pPr>
        <w:autoSpaceDE/>
        <w:autoSpaceDN/>
        <w:adjustRightInd/>
        <w:spacing w:line="360" w:lineRule="auto"/>
        <w:ind w:firstLine="420" w:firstLineChars="200"/>
        <w:rPr>
          <w:rFonts w:ascii="宋体" w:hAnsi="宋体"/>
          <w:kern w:val="2"/>
          <w:sz w:val="21"/>
          <w:szCs w:val="21"/>
        </w:rPr>
      </w:pPr>
      <w:r>
        <w:rPr>
          <w:rFonts w:hint="eastAsia" w:ascii="宋体" w:hAnsi="宋体"/>
          <w:kern w:val="2"/>
          <w:sz w:val="21"/>
          <w:szCs w:val="21"/>
        </w:rPr>
        <w:t>2.能开启或者切断所在区域的管路通道，便于管道及设备维护</w:t>
      </w:r>
    </w:p>
    <w:p>
      <w:pPr>
        <w:autoSpaceDE/>
        <w:autoSpaceDN/>
        <w:adjustRightInd/>
        <w:spacing w:line="360" w:lineRule="auto"/>
        <w:ind w:firstLine="420" w:firstLineChars="200"/>
        <w:rPr>
          <w:rFonts w:ascii="宋体" w:hAnsi="宋体"/>
          <w:kern w:val="2"/>
          <w:sz w:val="21"/>
          <w:szCs w:val="21"/>
        </w:rPr>
      </w:pPr>
      <w:r>
        <w:rPr>
          <w:rFonts w:hint="eastAsia" w:ascii="宋体" w:hAnsi="宋体"/>
          <w:kern w:val="2"/>
          <w:sz w:val="21"/>
          <w:szCs w:val="21"/>
        </w:rPr>
        <w:t>3.双路设计，一路用一路备用，保证不间断供气</w:t>
      </w:r>
    </w:p>
    <w:p>
      <w:pPr>
        <w:autoSpaceDE/>
        <w:autoSpaceDN/>
        <w:adjustRightInd/>
        <w:spacing w:line="360" w:lineRule="auto"/>
        <w:ind w:firstLine="420" w:firstLineChars="200"/>
        <w:rPr>
          <w:rFonts w:ascii="宋体" w:hAnsi="宋体"/>
          <w:kern w:val="2"/>
          <w:sz w:val="21"/>
          <w:szCs w:val="21"/>
        </w:rPr>
      </w:pPr>
      <w:r>
        <w:rPr>
          <w:rFonts w:hint="eastAsia" w:ascii="宋体" w:hAnsi="宋体"/>
          <w:kern w:val="2"/>
          <w:sz w:val="21"/>
          <w:szCs w:val="21"/>
        </w:rPr>
        <w:t>4.箱体材质钢板喷塑，明装</w:t>
      </w:r>
    </w:p>
    <w:p>
      <w:pPr>
        <w:autoSpaceDE/>
        <w:autoSpaceDN/>
        <w:adjustRightInd/>
        <w:spacing w:line="360" w:lineRule="auto"/>
        <w:ind w:firstLine="420" w:firstLineChars="200"/>
        <w:rPr>
          <w:rFonts w:ascii="宋体" w:hAnsi="宋体"/>
          <w:kern w:val="2"/>
          <w:sz w:val="21"/>
          <w:szCs w:val="21"/>
        </w:rPr>
      </w:pPr>
      <w:r>
        <w:rPr>
          <w:rFonts w:hint="eastAsia" w:ascii="宋体" w:hAnsi="宋体"/>
          <w:kern w:val="2"/>
          <w:sz w:val="21"/>
          <w:szCs w:val="21"/>
        </w:rPr>
        <w:t>5.内部配置：2只1.5级气体压力表，气体截止阀4只，气体减压器 2套，安全阀一只，气体管道及其配件。</w:t>
      </w:r>
    </w:p>
    <w:p>
      <w:pPr>
        <w:autoSpaceDE/>
        <w:autoSpaceDN/>
        <w:adjustRightInd/>
        <w:spacing w:line="360" w:lineRule="auto"/>
        <w:ind w:firstLine="420" w:firstLineChars="200"/>
        <w:rPr>
          <w:rFonts w:ascii="宋体" w:hAnsi="宋体"/>
          <w:kern w:val="2"/>
          <w:sz w:val="21"/>
          <w:szCs w:val="21"/>
        </w:rPr>
      </w:pPr>
      <w:r>
        <w:rPr>
          <w:rFonts w:hint="eastAsia" w:ascii="宋体" w:hAnsi="宋体"/>
          <w:kern w:val="2"/>
          <w:sz w:val="21"/>
          <w:szCs w:val="21"/>
        </w:rPr>
        <w:t>6.进口压力：0.8-1.2mpa</w:t>
      </w:r>
    </w:p>
    <w:p>
      <w:pPr>
        <w:autoSpaceDE/>
        <w:autoSpaceDN/>
        <w:adjustRightInd/>
        <w:spacing w:line="360" w:lineRule="auto"/>
        <w:ind w:firstLine="420" w:firstLineChars="200"/>
        <w:rPr>
          <w:rFonts w:ascii="宋体" w:hAnsi="宋体"/>
          <w:kern w:val="2"/>
          <w:sz w:val="21"/>
          <w:szCs w:val="21"/>
        </w:rPr>
      </w:pPr>
      <w:r>
        <w:rPr>
          <w:rFonts w:hint="eastAsia" w:ascii="宋体" w:hAnsi="宋体"/>
          <w:kern w:val="2"/>
          <w:sz w:val="21"/>
          <w:szCs w:val="21"/>
        </w:rPr>
        <w:t>7.出口压力：0.35-0.5mpa（连续可调）</w:t>
      </w:r>
    </w:p>
    <w:p>
      <w:pPr>
        <w:autoSpaceDE/>
        <w:autoSpaceDN/>
        <w:adjustRightInd/>
        <w:spacing w:line="360" w:lineRule="auto"/>
        <w:ind w:firstLine="420" w:firstLineChars="200"/>
        <w:rPr>
          <w:rFonts w:ascii="宋体" w:hAnsi="宋体"/>
          <w:kern w:val="2"/>
          <w:sz w:val="21"/>
          <w:szCs w:val="21"/>
        </w:rPr>
      </w:pPr>
      <w:r>
        <w:rPr>
          <w:rFonts w:hint="eastAsia" w:ascii="宋体" w:hAnsi="宋体"/>
          <w:kern w:val="2"/>
          <w:sz w:val="21"/>
          <w:szCs w:val="21"/>
        </w:rPr>
        <w:t>8.流量 ≤40m³/h</w:t>
      </w:r>
    </w:p>
    <w:p>
      <w:pPr>
        <w:autoSpaceDE/>
        <w:autoSpaceDN/>
        <w:adjustRightInd/>
        <w:spacing w:line="360" w:lineRule="auto"/>
        <w:ind w:firstLine="420" w:firstLineChars="200"/>
        <w:rPr>
          <w:rFonts w:ascii="宋体" w:hAnsi="宋体"/>
          <w:kern w:val="2"/>
          <w:sz w:val="21"/>
          <w:szCs w:val="21"/>
        </w:rPr>
      </w:pPr>
      <w:r>
        <w:rPr>
          <w:rFonts w:hint="eastAsia" w:ascii="宋体" w:hAnsi="宋体"/>
          <w:kern w:val="2"/>
          <w:sz w:val="21"/>
          <w:szCs w:val="21"/>
        </w:rPr>
        <w:t>9.外形尺寸：45cm*18cm*55cm</w:t>
      </w:r>
    </w:p>
    <w:p>
      <w:pPr>
        <w:autoSpaceDE/>
        <w:autoSpaceDN/>
        <w:adjustRightInd/>
        <w:spacing w:line="360" w:lineRule="auto"/>
        <w:ind w:firstLine="420" w:firstLineChars="200"/>
        <w:jc w:val="both"/>
        <w:rPr>
          <w:rFonts w:ascii="宋体" w:hAnsi="宋体"/>
          <w:kern w:val="2"/>
          <w:sz w:val="21"/>
          <w:szCs w:val="21"/>
        </w:rPr>
      </w:pPr>
      <w:r>
        <w:rPr>
          <w:rFonts w:hint="eastAsia" w:ascii="宋体" w:hAnsi="宋体"/>
          <w:kern w:val="2"/>
          <w:sz w:val="21"/>
          <w:szCs w:val="21"/>
        </w:rPr>
        <w:t>10.二级箱符合（欧盟ROHS指令2011/65/EU附录II的修正指令（EU）2015/863-铅，汞，镉和六价铬）。</w:t>
      </w:r>
    </w:p>
    <w:p>
      <w:pPr>
        <w:tabs>
          <w:tab w:val="left" w:pos="567"/>
        </w:tabs>
        <w:snapToGrid w:val="0"/>
        <w:spacing w:line="360" w:lineRule="auto"/>
        <w:ind w:left="142" w:firstLine="422" w:firstLineChars="200"/>
        <w:rPr>
          <w:rFonts w:ascii="宋体" w:hAnsi="宋体"/>
          <w:b/>
          <w:sz w:val="21"/>
          <w:szCs w:val="21"/>
        </w:rPr>
      </w:pPr>
      <w:r>
        <w:rPr>
          <w:rFonts w:hint="eastAsia" w:ascii="宋体" w:hAnsi="宋体"/>
          <w:b/>
          <w:sz w:val="21"/>
          <w:szCs w:val="21"/>
        </w:rPr>
        <w:t>5.氧气支管维修阀</w:t>
      </w:r>
    </w:p>
    <w:p>
      <w:pPr>
        <w:snapToGrid w:val="0"/>
        <w:spacing w:line="360" w:lineRule="auto"/>
        <w:ind w:left="134" w:leftChars="67" w:firstLine="420" w:firstLineChars="200"/>
        <w:rPr>
          <w:rFonts w:ascii="宋体" w:hAnsi="宋体"/>
          <w:sz w:val="21"/>
          <w:szCs w:val="21"/>
        </w:rPr>
      </w:pPr>
      <w:r>
        <w:rPr>
          <w:rFonts w:hint="eastAsia" w:ascii="宋体" w:hAnsi="宋体"/>
          <w:sz w:val="21"/>
          <w:szCs w:val="21"/>
        </w:rPr>
        <w:t>在每条支管道安装一个氧气检修阀，使各病房成为独立的使用单元，保证每个病房维修时不影响其他病房的正常。（进入病区处加装阀门，检修不影响别的病区）</w:t>
      </w:r>
    </w:p>
    <w:p>
      <w:pPr>
        <w:tabs>
          <w:tab w:val="left" w:pos="567"/>
        </w:tabs>
        <w:snapToGrid w:val="0"/>
        <w:spacing w:line="360" w:lineRule="auto"/>
        <w:ind w:left="142" w:firstLine="422" w:firstLineChars="200"/>
        <w:rPr>
          <w:rFonts w:ascii="宋体" w:hAnsi="宋体"/>
          <w:b/>
          <w:sz w:val="21"/>
          <w:szCs w:val="21"/>
        </w:rPr>
      </w:pPr>
      <w:r>
        <w:rPr>
          <w:rFonts w:hint="eastAsia" w:ascii="宋体" w:hAnsi="宋体"/>
          <w:b/>
          <w:sz w:val="21"/>
          <w:szCs w:val="21"/>
        </w:rPr>
        <w:t>6.氧气终端</w:t>
      </w:r>
    </w:p>
    <w:p>
      <w:pPr>
        <w:snapToGrid w:val="0"/>
        <w:spacing w:line="360" w:lineRule="auto"/>
        <w:ind w:left="134" w:leftChars="67" w:firstLine="420" w:firstLineChars="200"/>
        <w:rPr>
          <w:rFonts w:ascii="宋体" w:hAnsi="宋体"/>
          <w:sz w:val="21"/>
          <w:szCs w:val="21"/>
        </w:rPr>
      </w:pPr>
      <w:r>
        <w:rPr>
          <w:rFonts w:hint="eastAsia" w:ascii="宋体" w:hAnsi="宋体"/>
          <w:sz w:val="21"/>
          <w:szCs w:val="21"/>
        </w:rPr>
        <w:t>终端采用快速自封插拔式接头，具有防插错结构。</w:t>
      </w:r>
    </w:p>
    <w:p>
      <w:pPr>
        <w:tabs>
          <w:tab w:val="left" w:pos="567"/>
        </w:tabs>
        <w:snapToGrid w:val="0"/>
        <w:spacing w:line="360" w:lineRule="auto"/>
        <w:ind w:left="142" w:firstLine="422" w:firstLineChars="200"/>
        <w:rPr>
          <w:rFonts w:ascii="宋体" w:hAnsi="宋体"/>
          <w:b/>
          <w:sz w:val="21"/>
          <w:szCs w:val="21"/>
        </w:rPr>
      </w:pPr>
      <w:r>
        <w:rPr>
          <w:rFonts w:hint="eastAsia" w:ascii="宋体" w:hAnsi="宋体"/>
          <w:b/>
          <w:sz w:val="21"/>
          <w:szCs w:val="21"/>
        </w:rPr>
        <w:t>7.中心供氧管路部分：</w:t>
      </w:r>
    </w:p>
    <w:p>
      <w:pPr>
        <w:numPr>
          <w:ilvl w:val="0"/>
          <w:numId w:val="3"/>
        </w:numPr>
        <w:tabs>
          <w:tab w:val="left" w:pos="567"/>
        </w:tabs>
        <w:autoSpaceDE/>
        <w:autoSpaceDN/>
        <w:snapToGrid w:val="0"/>
        <w:spacing w:line="360" w:lineRule="auto"/>
        <w:ind w:firstLine="420" w:firstLineChars="200"/>
        <w:jc w:val="both"/>
        <w:rPr>
          <w:rFonts w:ascii="宋体" w:hAnsi="宋体"/>
          <w:sz w:val="21"/>
          <w:szCs w:val="21"/>
        </w:rPr>
      </w:pPr>
      <w:r>
        <w:rPr>
          <w:rFonts w:hint="eastAsia" w:ascii="宋体" w:hAnsi="宋体"/>
          <w:sz w:val="21"/>
          <w:szCs w:val="21"/>
        </w:rPr>
        <w:t>氧气管道材质：脱脂紫铜管。</w:t>
      </w:r>
    </w:p>
    <w:p>
      <w:pPr>
        <w:numPr>
          <w:ilvl w:val="0"/>
          <w:numId w:val="3"/>
        </w:numPr>
        <w:tabs>
          <w:tab w:val="left" w:pos="567"/>
        </w:tabs>
        <w:autoSpaceDE/>
        <w:autoSpaceDN/>
        <w:snapToGrid w:val="0"/>
        <w:spacing w:line="360" w:lineRule="auto"/>
        <w:ind w:firstLine="420" w:firstLineChars="200"/>
        <w:jc w:val="both"/>
        <w:rPr>
          <w:rFonts w:ascii="宋体" w:hAnsi="宋体"/>
          <w:sz w:val="21"/>
          <w:szCs w:val="21"/>
        </w:rPr>
      </w:pPr>
      <w:r>
        <w:rPr>
          <w:rFonts w:hint="eastAsia" w:ascii="宋体" w:hAnsi="宋体"/>
          <w:sz w:val="21"/>
          <w:szCs w:val="21"/>
        </w:rPr>
        <w:t>管道连接方法技术要求：</w:t>
      </w:r>
    </w:p>
    <w:p>
      <w:pPr>
        <w:widowControl/>
        <w:snapToGrid w:val="0"/>
        <w:spacing w:line="360" w:lineRule="auto"/>
        <w:ind w:left="134" w:leftChars="67" w:firstLine="420" w:firstLineChars="200"/>
        <w:rPr>
          <w:rFonts w:ascii="宋体" w:hAnsi="宋体"/>
          <w:bCs/>
          <w:sz w:val="21"/>
          <w:szCs w:val="21"/>
        </w:rPr>
      </w:pPr>
      <w:r>
        <w:rPr>
          <w:rFonts w:hint="eastAsia" w:ascii="宋体" w:hAnsi="宋体"/>
          <w:bCs/>
          <w:sz w:val="21"/>
          <w:szCs w:val="21"/>
        </w:rPr>
        <w:t>脱脂紫铜管连接采用标准的管件连接后银钎焊焊接；整个系统连接均采用密封，可保证系统的气密性。</w:t>
      </w:r>
    </w:p>
    <w:p>
      <w:pPr>
        <w:numPr>
          <w:ilvl w:val="0"/>
          <w:numId w:val="3"/>
        </w:numPr>
        <w:tabs>
          <w:tab w:val="left" w:pos="567"/>
        </w:tabs>
        <w:autoSpaceDE/>
        <w:autoSpaceDN/>
        <w:snapToGrid w:val="0"/>
        <w:spacing w:line="360" w:lineRule="auto"/>
        <w:ind w:firstLine="420" w:firstLineChars="200"/>
        <w:jc w:val="both"/>
        <w:rPr>
          <w:rFonts w:ascii="宋体" w:hAnsi="宋体"/>
          <w:sz w:val="21"/>
          <w:szCs w:val="21"/>
        </w:rPr>
      </w:pPr>
      <w:r>
        <w:rPr>
          <w:rFonts w:hint="eastAsia" w:ascii="宋体" w:hAnsi="宋体"/>
          <w:sz w:val="21"/>
          <w:szCs w:val="21"/>
        </w:rPr>
        <w:t>管道布置：</w:t>
      </w:r>
    </w:p>
    <w:p>
      <w:pPr>
        <w:widowControl/>
        <w:snapToGrid w:val="0"/>
        <w:spacing w:line="360" w:lineRule="auto"/>
        <w:ind w:left="134" w:leftChars="67" w:firstLine="420" w:firstLineChars="200"/>
        <w:rPr>
          <w:rFonts w:ascii="宋体" w:hAnsi="宋体"/>
          <w:bCs/>
          <w:sz w:val="21"/>
          <w:szCs w:val="21"/>
        </w:rPr>
      </w:pPr>
      <w:r>
        <w:rPr>
          <w:rFonts w:hint="eastAsia" w:ascii="宋体" w:hAnsi="宋体"/>
          <w:bCs/>
          <w:sz w:val="21"/>
          <w:szCs w:val="21"/>
        </w:rPr>
        <w:t>室外氧气主管管道沿地沟敷设进大楼内，再沿地下室走廊墙面架设至大楼医气管井，病区走廊横管安装在吊顶内，病房内支管及终端、截止阀均安装在设备带内，这样既整齐又美观。设备带颜色必须和新院住院部的保持一致。</w:t>
      </w:r>
    </w:p>
    <w:p>
      <w:pPr>
        <w:numPr>
          <w:ilvl w:val="0"/>
          <w:numId w:val="3"/>
        </w:numPr>
        <w:tabs>
          <w:tab w:val="left" w:pos="567"/>
        </w:tabs>
        <w:autoSpaceDE/>
        <w:autoSpaceDN/>
        <w:snapToGrid w:val="0"/>
        <w:spacing w:line="360" w:lineRule="auto"/>
        <w:ind w:firstLine="420" w:firstLineChars="200"/>
        <w:jc w:val="both"/>
        <w:rPr>
          <w:rFonts w:ascii="宋体" w:hAnsi="宋体"/>
          <w:sz w:val="21"/>
          <w:szCs w:val="21"/>
        </w:rPr>
      </w:pPr>
      <w:r>
        <w:rPr>
          <w:rFonts w:hint="eastAsia" w:ascii="宋体" w:hAnsi="宋体"/>
          <w:sz w:val="21"/>
          <w:szCs w:val="21"/>
        </w:rPr>
        <w:t>医气管道压力试验、吹扫技术要求：</w:t>
      </w:r>
    </w:p>
    <w:p>
      <w:pPr>
        <w:widowControl/>
        <w:snapToGrid w:val="0"/>
        <w:spacing w:line="360" w:lineRule="auto"/>
        <w:ind w:left="134" w:leftChars="67" w:firstLine="420" w:firstLineChars="200"/>
        <w:rPr>
          <w:rFonts w:ascii="宋体" w:hAnsi="宋体"/>
          <w:bCs/>
          <w:sz w:val="21"/>
          <w:szCs w:val="21"/>
        </w:rPr>
      </w:pPr>
      <w:r>
        <w:rPr>
          <w:rFonts w:hint="eastAsia" w:ascii="宋体" w:hAnsi="宋体"/>
          <w:bCs/>
          <w:sz w:val="21"/>
          <w:szCs w:val="21"/>
        </w:rPr>
        <w:t>系统强度试验</w:t>
      </w:r>
      <w:r>
        <w:rPr>
          <w:rFonts w:ascii="宋体" w:hAnsi="宋体"/>
          <w:bCs/>
          <w:sz w:val="21"/>
          <w:szCs w:val="21"/>
        </w:rPr>
        <w:t>:</w:t>
      </w:r>
      <w:r>
        <w:rPr>
          <w:rFonts w:hint="eastAsia" w:ascii="宋体" w:hAnsi="宋体"/>
          <w:bCs/>
          <w:sz w:val="21"/>
          <w:szCs w:val="21"/>
        </w:rPr>
        <w:t>氧气管道安装完毕后必须进行强度试验</w:t>
      </w:r>
      <w:r>
        <w:rPr>
          <w:rFonts w:ascii="宋体" w:hAnsi="宋体"/>
          <w:bCs/>
          <w:sz w:val="21"/>
          <w:szCs w:val="21"/>
        </w:rPr>
        <w:t>,</w:t>
      </w:r>
      <w:r>
        <w:rPr>
          <w:rFonts w:hint="eastAsia" w:ascii="宋体" w:hAnsi="宋体"/>
          <w:bCs/>
          <w:sz w:val="21"/>
          <w:szCs w:val="21"/>
        </w:rPr>
        <w:t>试验介质为氮气或无油医用空气；管道试验压力为管道设计压力的</w:t>
      </w:r>
      <w:r>
        <w:rPr>
          <w:rFonts w:ascii="宋体" w:hAnsi="宋体"/>
          <w:bCs/>
          <w:sz w:val="21"/>
          <w:szCs w:val="21"/>
        </w:rPr>
        <w:t>1.25</w:t>
      </w:r>
      <w:r>
        <w:rPr>
          <w:rFonts w:hint="eastAsia" w:ascii="宋体" w:hAnsi="宋体"/>
          <w:bCs/>
          <w:sz w:val="21"/>
          <w:szCs w:val="21"/>
        </w:rPr>
        <w:t>倍；试压时间</w:t>
      </w:r>
      <w:r>
        <w:rPr>
          <w:rFonts w:ascii="宋体" w:hAnsi="宋体"/>
          <w:bCs/>
          <w:sz w:val="21"/>
          <w:szCs w:val="21"/>
        </w:rPr>
        <w:t>10-30min,</w:t>
      </w:r>
      <w:r>
        <w:rPr>
          <w:rFonts w:hint="eastAsia" w:ascii="宋体" w:hAnsi="宋体"/>
          <w:bCs/>
          <w:sz w:val="21"/>
          <w:szCs w:val="21"/>
        </w:rPr>
        <w:t>试验结果以管道接头、焊缝、管段无肉眼的可见的变形、以发泡剂检验无渗漏为合格。</w:t>
      </w:r>
    </w:p>
    <w:p>
      <w:pPr>
        <w:widowControl/>
        <w:snapToGrid w:val="0"/>
        <w:spacing w:line="360" w:lineRule="auto"/>
        <w:ind w:left="134" w:leftChars="67" w:firstLine="420" w:firstLineChars="200"/>
        <w:rPr>
          <w:rFonts w:ascii="宋体" w:hAnsi="宋体"/>
          <w:bCs/>
          <w:sz w:val="21"/>
          <w:szCs w:val="21"/>
        </w:rPr>
      </w:pPr>
      <w:r>
        <w:rPr>
          <w:rFonts w:hint="eastAsia" w:ascii="宋体" w:hAnsi="宋体"/>
          <w:bCs/>
          <w:sz w:val="21"/>
          <w:szCs w:val="21"/>
        </w:rPr>
        <w:t>系统泄漏率试验</w:t>
      </w:r>
      <w:r>
        <w:rPr>
          <w:rFonts w:ascii="宋体" w:hAnsi="宋体"/>
          <w:bCs/>
          <w:sz w:val="21"/>
          <w:szCs w:val="21"/>
        </w:rPr>
        <w:t>:</w:t>
      </w:r>
      <w:r>
        <w:rPr>
          <w:rFonts w:hint="eastAsia" w:ascii="宋体" w:hAnsi="宋体"/>
          <w:bCs/>
          <w:sz w:val="21"/>
          <w:szCs w:val="21"/>
        </w:rPr>
        <w:t>氧气管道强度试验合格后必须进行泄漏率试验</w:t>
      </w:r>
      <w:r>
        <w:rPr>
          <w:rFonts w:ascii="宋体" w:hAnsi="宋体"/>
          <w:bCs/>
          <w:sz w:val="21"/>
          <w:szCs w:val="21"/>
        </w:rPr>
        <w:t>,</w:t>
      </w:r>
      <w:r>
        <w:rPr>
          <w:rFonts w:hint="eastAsia" w:ascii="宋体" w:hAnsi="宋体"/>
          <w:bCs/>
          <w:sz w:val="21"/>
          <w:szCs w:val="21"/>
        </w:rPr>
        <w:t>试验介质为氮气或无油医用空气</w:t>
      </w:r>
      <w:r>
        <w:rPr>
          <w:rFonts w:ascii="宋体" w:hAnsi="宋体"/>
          <w:bCs/>
          <w:sz w:val="21"/>
          <w:szCs w:val="21"/>
        </w:rPr>
        <w:t>,</w:t>
      </w:r>
      <w:r>
        <w:rPr>
          <w:rFonts w:hint="eastAsia" w:ascii="宋体" w:hAnsi="宋体"/>
          <w:bCs/>
          <w:sz w:val="21"/>
          <w:szCs w:val="21"/>
        </w:rPr>
        <w:t>试验压力为管道设计压力</w:t>
      </w:r>
      <w:r>
        <w:rPr>
          <w:rFonts w:ascii="宋体" w:hAnsi="宋体"/>
          <w:bCs/>
          <w:sz w:val="21"/>
          <w:szCs w:val="21"/>
        </w:rPr>
        <w:t>,</w:t>
      </w:r>
      <w:r>
        <w:rPr>
          <w:rFonts w:hint="eastAsia" w:ascii="宋体" w:hAnsi="宋体"/>
          <w:bCs/>
          <w:sz w:val="21"/>
          <w:szCs w:val="21"/>
        </w:rPr>
        <w:t>试压</w:t>
      </w:r>
      <w:r>
        <w:rPr>
          <w:rFonts w:ascii="宋体" w:hAnsi="宋体"/>
          <w:bCs/>
          <w:sz w:val="21"/>
          <w:szCs w:val="21"/>
        </w:rPr>
        <w:t>24h</w:t>
      </w:r>
      <w:r>
        <w:rPr>
          <w:rFonts w:hint="eastAsia" w:ascii="宋体" w:hAnsi="宋体"/>
          <w:bCs/>
          <w:sz w:val="21"/>
          <w:szCs w:val="21"/>
        </w:rPr>
        <w:t>，试验结果氧气系统每小时泄漏率不超过</w:t>
      </w:r>
      <w:r>
        <w:rPr>
          <w:rFonts w:ascii="宋体" w:hAnsi="宋体"/>
          <w:bCs/>
          <w:sz w:val="21"/>
          <w:szCs w:val="21"/>
        </w:rPr>
        <w:t>0.2%</w:t>
      </w:r>
      <w:r>
        <w:rPr>
          <w:rFonts w:hint="eastAsia" w:ascii="宋体" w:hAnsi="宋体"/>
          <w:bCs/>
          <w:sz w:val="21"/>
          <w:szCs w:val="21"/>
        </w:rPr>
        <w:t>为合格。</w:t>
      </w:r>
    </w:p>
    <w:p>
      <w:pPr>
        <w:widowControl/>
        <w:snapToGrid w:val="0"/>
        <w:spacing w:line="360" w:lineRule="auto"/>
        <w:ind w:left="134" w:leftChars="67" w:firstLine="420" w:firstLineChars="200"/>
        <w:rPr>
          <w:rFonts w:ascii="宋体" w:hAnsi="宋体"/>
          <w:bCs/>
          <w:sz w:val="21"/>
          <w:szCs w:val="21"/>
        </w:rPr>
      </w:pPr>
      <w:r>
        <w:rPr>
          <w:rFonts w:hint="eastAsia" w:ascii="宋体" w:hAnsi="宋体"/>
          <w:bCs/>
          <w:sz w:val="21"/>
          <w:szCs w:val="21"/>
        </w:rPr>
        <w:t>系统吹扫</w:t>
      </w:r>
      <w:r>
        <w:rPr>
          <w:rFonts w:ascii="宋体" w:hAnsi="宋体"/>
          <w:bCs/>
          <w:sz w:val="21"/>
          <w:szCs w:val="21"/>
        </w:rPr>
        <w:t>:</w:t>
      </w:r>
      <w:r>
        <w:rPr>
          <w:rFonts w:hint="eastAsia" w:ascii="宋体" w:hAnsi="宋体"/>
          <w:bCs/>
          <w:sz w:val="21"/>
          <w:szCs w:val="21"/>
        </w:rPr>
        <w:t>管道强度泄漏试验合格后必须进行系统吹扫</w:t>
      </w:r>
      <w:r>
        <w:rPr>
          <w:rFonts w:ascii="宋体" w:hAnsi="宋体"/>
          <w:bCs/>
          <w:sz w:val="21"/>
          <w:szCs w:val="21"/>
        </w:rPr>
        <w:t>,</w:t>
      </w:r>
      <w:r>
        <w:rPr>
          <w:rFonts w:hint="eastAsia" w:ascii="宋体" w:hAnsi="宋体"/>
          <w:bCs/>
          <w:sz w:val="21"/>
          <w:szCs w:val="21"/>
        </w:rPr>
        <w:t>吹扫介质为氮气或无油医用空气，结果以出气口无杂质、干净为合格。</w:t>
      </w:r>
    </w:p>
    <w:p>
      <w:pPr>
        <w:numPr>
          <w:ilvl w:val="0"/>
          <w:numId w:val="3"/>
        </w:numPr>
        <w:tabs>
          <w:tab w:val="left" w:pos="567"/>
        </w:tabs>
        <w:autoSpaceDE/>
        <w:autoSpaceDN/>
        <w:snapToGrid w:val="0"/>
        <w:spacing w:line="360" w:lineRule="auto"/>
        <w:ind w:firstLine="420" w:firstLineChars="200"/>
        <w:jc w:val="both"/>
        <w:rPr>
          <w:rFonts w:ascii="宋体" w:hAnsi="宋体"/>
          <w:bCs/>
          <w:sz w:val="21"/>
          <w:szCs w:val="21"/>
        </w:rPr>
      </w:pPr>
      <w:r>
        <w:rPr>
          <w:rFonts w:hint="eastAsia" w:ascii="宋体" w:hAnsi="宋体"/>
          <w:sz w:val="21"/>
          <w:szCs w:val="21"/>
        </w:rPr>
        <w:t>管道规格设计：（计算依据：</w:t>
      </w:r>
      <w:r>
        <w:rPr>
          <w:rFonts w:ascii="宋体" w:hAnsi="宋体"/>
          <w:sz w:val="21"/>
          <w:szCs w:val="21"/>
        </w:rPr>
        <w:t>GB50751-2012</w:t>
      </w:r>
      <w:r>
        <w:rPr>
          <w:rFonts w:hint="eastAsia" w:ascii="宋体" w:hAnsi="宋体"/>
          <w:sz w:val="21"/>
          <w:szCs w:val="21"/>
        </w:rPr>
        <w:t>《医用气体工程</w:t>
      </w:r>
      <w:r>
        <w:rPr>
          <w:rFonts w:hint="eastAsia" w:ascii="宋体" w:hAnsi="宋体"/>
          <w:bCs/>
          <w:sz w:val="21"/>
          <w:szCs w:val="21"/>
        </w:rPr>
        <w:t>技术规范》、YY/T0187-94《医用中心供氧系统通用技术条件》）。</w:t>
      </w:r>
    </w:p>
    <w:p>
      <w:pPr>
        <w:tabs>
          <w:tab w:val="left" w:pos="567"/>
        </w:tabs>
        <w:autoSpaceDE/>
        <w:autoSpaceDN/>
        <w:snapToGrid w:val="0"/>
        <w:spacing w:line="360" w:lineRule="auto"/>
        <w:ind w:left="987"/>
        <w:jc w:val="both"/>
        <w:rPr>
          <w:rFonts w:ascii="宋体" w:hAnsi="宋体"/>
          <w:b/>
          <w:sz w:val="21"/>
          <w:szCs w:val="21"/>
        </w:rPr>
      </w:pPr>
      <w:r>
        <w:rPr>
          <w:rFonts w:hint="eastAsia" w:ascii="宋体" w:hAnsi="宋体"/>
          <w:b/>
          <w:sz w:val="21"/>
          <w:szCs w:val="21"/>
        </w:rPr>
        <w:t>8.区域观测箱</w:t>
      </w:r>
    </w:p>
    <w:p>
      <w:pPr>
        <w:numPr>
          <w:ilvl w:val="0"/>
          <w:numId w:val="4"/>
        </w:numPr>
        <w:tabs>
          <w:tab w:val="left" w:pos="567"/>
        </w:tabs>
        <w:autoSpaceDE/>
        <w:autoSpaceDN/>
        <w:snapToGrid w:val="0"/>
        <w:spacing w:line="360" w:lineRule="auto"/>
        <w:ind w:firstLine="422" w:firstLineChars="200"/>
        <w:jc w:val="both"/>
        <w:rPr>
          <w:rFonts w:ascii="宋体" w:hAnsi="宋体"/>
          <w:b/>
          <w:sz w:val="21"/>
          <w:szCs w:val="21"/>
        </w:rPr>
      </w:pPr>
      <w:r>
        <w:rPr>
          <w:rFonts w:hint="eastAsia" w:ascii="宋体" w:hAnsi="宋体"/>
          <w:b/>
          <w:sz w:val="21"/>
          <w:szCs w:val="21"/>
        </w:rPr>
        <w:t>配置数量：</w:t>
      </w:r>
    </w:p>
    <w:p>
      <w:pPr>
        <w:snapToGrid w:val="0"/>
        <w:spacing w:line="360" w:lineRule="auto"/>
        <w:ind w:firstLine="420" w:firstLineChars="200"/>
        <w:rPr>
          <w:rFonts w:ascii="宋体" w:hAnsi="宋体"/>
          <w:sz w:val="21"/>
          <w:szCs w:val="21"/>
        </w:rPr>
      </w:pPr>
      <w:r>
        <w:rPr>
          <w:rFonts w:hint="eastAsia" w:ascii="宋体" w:hAnsi="宋体"/>
          <w:sz w:val="21"/>
          <w:szCs w:val="21"/>
        </w:rPr>
        <w:t>每个病区设计一台，位置设在护士站附近走廊适当位置，具体配置数量如下：</w:t>
      </w:r>
    </w:p>
    <w:tbl>
      <w:tblPr>
        <w:tblStyle w:val="8"/>
        <w:tblW w:w="6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786"/>
        <w:gridCol w:w="2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noWrap/>
            <w:vAlign w:val="center"/>
          </w:tcPr>
          <w:p>
            <w:pPr>
              <w:snapToGrid w:val="0"/>
              <w:spacing w:line="360" w:lineRule="auto"/>
              <w:jc w:val="center"/>
              <w:rPr>
                <w:rFonts w:ascii="宋体" w:hAnsi="宋体"/>
                <w:sz w:val="21"/>
                <w:szCs w:val="21"/>
              </w:rPr>
            </w:pPr>
            <w:r>
              <w:rPr>
                <w:rFonts w:hint="eastAsia" w:ascii="宋体" w:hAnsi="宋体"/>
                <w:sz w:val="21"/>
                <w:szCs w:val="21"/>
              </w:rPr>
              <w:t>序号</w:t>
            </w:r>
          </w:p>
        </w:tc>
        <w:tc>
          <w:tcPr>
            <w:tcW w:w="2786" w:type="dxa"/>
            <w:noWrap/>
            <w:vAlign w:val="center"/>
          </w:tcPr>
          <w:p>
            <w:pPr>
              <w:snapToGrid w:val="0"/>
              <w:spacing w:line="360" w:lineRule="auto"/>
              <w:jc w:val="center"/>
              <w:rPr>
                <w:rFonts w:ascii="宋体" w:hAnsi="宋体"/>
                <w:sz w:val="21"/>
                <w:szCs w:val="21"/>
              </w:rPr>
            </w:pPr>
            <w:r>
              <w:rPr>
                <w:rFonts w:hint="eastAsia" w:ascii="宋体" w:hAnsi="宋体"/>
                <w:sz w:val="21"/>
                <w:szCs w:val="21"/>
              </w:rPr>
              <w:t>设备名称</w:t>
            </w:r>
          </w:p>
        </w:tc>
        <w:tc>
          <w:tcPr>
            <w:tcW w:w="2976" w:type="dxa"/>
            <w:noWrap/>
            <w:vAlign w:val="center"/>
          </w:tcPr>
          <w:p>
            <w:pPr>
              <w:snapToGrid w:val="0"/>
              <w:spacing w:line="360" w:lineRule="auto"/>
              <w:jc w:val="center"/>
              <w:rPr>
                <w:rFonts w:ascii="宋体" w:hAnsi="宋体"/>
                <w:sz w:val="21"/>
                <w:szCs w:val="21"/>
              </w:rPr>
            </w:pPr>
            <w:r>
              <w:rPr>
                <w:rFonts w:hint="eastAsia" w:ascii="宋体" w:hAnsi="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noWrap/>
            <w:vAlign w:val="center"/>
          </w:tcPr>
          <w:p>
            <w:pPr>
              <w:snapToGrid w:val="0"/>
              <w:spacing w:line="360" w:lineRule="auto"/>
              <w:jc w:val="center"/>
              <w:rPr>
                <w:rFonts w:ascii="宋体" w:hAnsi="宋体"/>
                <w:sz w:val="21"/>
                <w:szCs w:val="21"/>
              </w:rPr>
            </w:pPr>
            <w:r>
              <w:rPr>
                <w:rFonts w:ascii="宋体" w:hAnsi="宋体"/>
                <w:sz w:val="21"/>
                <w:szCs w:val="21"/>
              </w:rPr>
              <w:t>1</w:t>
            </w:r>
          </w:p>
        </w:tc>
        <w:tc>
          <w:tcPr>
            <w:tcW w:w="2786" w:type="dxa"/>
            <w:noWrap/>
            <w:vAlign w:val="center"/>
          </w:tcPr>
          <w:p>
            <w:pPr>
              <w:snapToGrid w:val="0"/>
              <w:spacing w:line="360" w:lineRule="auto"/>
              <w:jc w:val="center"/>
              <w:rPr>
                <w:rFonts w:ascii="宋体" w:hAnsi="宋体"/>
                <w:sz w:val="21"/>
                <w:szCs w:val="21"/>
              </w:rPr>
            </w:pPr>
            <w:r>
              <w:rPr>
                <w:rFonts w:hint="eastAsia" w:ascii="宋体" w:hAnsi="宋体"/>
                <w:sz w:val="21"/>
                <w:szCs w:val="21"/>
              </w:rPr>
              <w:t>两气区域观测箱</w:t>
            </w:r>
          </w:p>
        </w:tc>
        <w:tc>
          <w:tcPr>
            <w:tcW w:w="2976" w:type="dxa"/>
            <w:noWrap/>
            <w:vAlign w:val="center"/>
          </w:tcPr>
          <w:p>
            <w:pPr>
              <w:snapToGrid w:val="0"/>
              <w:spacing w:line="360" w:lineRule="auto"/>
              <w:jc w:val="center"/>
              <w:rPr>
                <w:rFonts w:ascii="宋体" w:hAnsi="宋体"/>
                <w:sz w:val="21"/>
                <w:szCs w:val="21"/>
              </w:rPr>
            </w:pPr>
            <w:r>
              <w:rPr>
                <w:rFonts w:hint="eastAsia" w:ascii="宋体" w:hAnsi="宋体"/>
                <w:sz w:val="21"/>
                <w:szCs w:val="21"/>
              </w:rPr>
              <w:t>氧气、吸引两气共用</w:t>
            </w:r>
          </w:p>
        </w:tc>
      </w:tr>
    </w:tbl>
    <w:p>
      <w:pPr>
        <w:numPr>
          <w:ilvl w:val="0"/>
          <w:numId w:val="4"/>
        </w:numPr>
        <w:tabs>
          <w:tab w:val="left" w:pos="567"/>
        </w:tabs>
        <w:autoSpaceDE/>
        <w:autoSpaceDN/>
        <w:snapToGrid w:val="0"/>
        <w:spacing w:line="360" w:lineRule="auto"/>
        <w:ind w:firstLine="422" w:firstLineChars="200"/>
        <w:jc w:val="both"/>
        <w:rPr>
          <w:rFonts w:ascii="宋体" w:hAnsi="宋体"/>
          <w:b/>
          <w:sz w:val="21"/>
          <w:szCs w:val="21"/>
        </w:rPr>
      </w:pPr>
      <w:r>
        <w:rPr>
          <w:rFonts w:hint="eastAsia" w:ascii="宋体" w:hAnsi="宋体"/>
          <w:b/>
          <w:sz w:val="21"/>
          <w:szCs w:val="21"/>
        </w:rPr>
        <w:t>技术参数、性能说明：</w:t>
      </w:r>
    </w:p>
    <w:p>
      <w:pPr>
        <w:snapToGrid w:val="0"/>
        <w:spacing w:line="360" w:lineRule="auto"/>
        <w:ind w:left="142" w:firstLine="422" w:firstLineChars="200"/>
        <w:rPr>
          <w:rFonts w:ascii="宋体" w:hAnsi="宋体"/>
          <w:b/>
          <w:sz w:val="21"/>
          <w:szCs w:val="21"/>
        </w:rPr>
      </w:pPr>
      <w:r>
        <w:rPr>
          <w:rFonts w:hint="eastAsia" w:ascii="宋体" w:hAnsi="宋体"/>
          <w:b/>
          <w:sz w:val="21"/>
          <w:szCs w:val="21"/>
        </w:rPr>
        <w:t>区域报警：</w:t>
      </w:r>
      <w:r>
        <w:rPr>
          <w:rFonts w:hint="eastAsia" w:ascii="宋体" w:hAnsi="宋体"/>
          <w:sz w:val="21"/>
          <w:szCs w:val="21"/>
        </w:rPr>
        <w:t>当病区内氧气、吸引系统使用压力超出或低于以下报警值时，自动声、光报警，各系统报警上下限值可调，常规设计如下：</w:t>
      </w:r>
    </w:p>
    <w:p>
      <w:pPr>
        <w:tabs>
          <w:tab w:val="left" w:pos="567"/>
        </w:tabs>
        <w:snapToGrid w:val="0"/>
        <w:spacing w:line="360" w:lineRule="auto"/>
        <w:ind w:left="315" w:right="-100" w:rightChars="-50" w:firstLine="420" w:firstLineChars="200"/>
        <w:rPr>
          <w:rFonts w:ascii="宋体" w:hAnsi="宋体"/>
          <w:sz w:val="21"/>
          <w:szCs w:val="21"/>
        </w:rPr>
      </w:pPr>
      <w:r>
        <w:rPr>
          <w:rFonts w:hint="eastAsia" w:ascii="宋体" w:hAnsi="宋体"/>
          <w:sz w:val="21"/>
          <w:szCs w:val="21"/>
        </w:rPr>
        <w:t>氧气系统区域报警值：＜</w:t>
      </w:r>
      <w:r>
        <w:rPr>
          <w:rFonts w:ascii="宋体" w:hAnsi="宋体"/>
          <w:sz w:val="21"/>
          <w:szCs w:val="21"/>
        </w:rPr>
        <w:t>0.2MPa</w:t>
      </w:r>
      <w:r>
        <w:rPr>
          <w:rFonts w:hint="eastAsia" w:ascii="宋体" w:hAnsi="宋体"/>
          <w:sz w:val="21"/>
          <w:szCs w:val="21"/>
        </w:rPr>
        <w:t>或＞</w:t>
      </w:r>
      <w:r>
        <w:rPr>
          <w:rFonts w:ascii="宋体" w:hAnsi="宋体"/>
          <w:sz w:val="21"/>
          <w:szCs w:val="21"/>
        </w:rPr>
        <w:t>0.5MPa</w:t>
      </w:r>
      <w:r>
        <w:rPr>
          <w:rFonts w:hint="eastAsia" w:ascii="宋体" w:hAnsi="宋体"/>
          <w:sz w:val="21"/>
          <w:szCs w:val="21"/>
        </w:rPr>
        <w:t>。</w:t>
      </w:r>
    </w:p>
    <w:p>
      <w:pPr>
        <w:tabs>
          <w:tab w:val="left" w:pos="567"/>
        </w:tabs>
        <w:snapToGrid w:val="0"/>
        <w:spacing w:line="360" w:lineRule="auto"/>
        <w:ind w:left="315" w:right="-100" w:rightChars="-50" w:firstLine="420" w:firstLineChars="200"/>
        <w:rPr>
          <w:rFonts w:ascii="宋体" w:hAnsi="宋体"/>
          <w:sz w:val="21"/>
          <w:szCs w:val="21"/>
        </w:rPr>
      </w:pPr>
      <w:r>
        <w:rPr>
          <w:rFonts w:hint="eastAsia" w:ascii="宋体" w:hAnsi="宋体"/>
          <w:sz w:val="21"/>
          <w:szCs w:val="21"/>
        </w:rPr>
        <w:t>吸引系统区域报警值：＜</w:t>
      </w:r>
      <w:r>
        <w:rPr>
          <w:rFonts w:ascii="宋体" w:hAnsi="宋体"/>
          <w:sz w:val="21"/>
          <w:szCs w:val="21"/>
        </w:rPr>
        <w:t>-0.035MPa</w:t>
      </w:r>
      <w:r>
        <w:rPr>
          <w:rFonts w:hint="eastAsia" w:ascii="宋体" w:hAnsi="宋体"/>
          <w:sz w:val="21"/>
          <w:szCs w:val="21"/>
        </w:rPr>
        <w:t>或＞</w:t>
      </w:r>
      <w:r>
        <w:rPr>
          <w:rFonts w:ascii="宋体" w:hAnsi="宋体"/>
          <w:sz w:val="21"/>
          <w:szCs w:val="21"/>
        </w:rPr>
        <w:t>-0.075MPa</w:t>
      </w:r>
    </w:p>
    <w:p>
      <w:pPr>
        <w:tabs>
          <w:tab w:val="left" w:pos="567"/>
        </w:tabs>
        <w:autoSpaceDE/>
        <w:autoSpaceDN/>
        <w:snapToGrid w:val="0"/>
        <w:spacing w:line="360" w:lineRule="auto"/>
        <w:ind w:left="987"/>
        <w:jc w:val="both"/>
        <w:rPr>
          <w:rFonts w:ascii="宋体" w:hAnsi="宋体"/>
          <w:b/>
          <w:sz w:val="21"/>
          <w:szCs w:val="21"/>
        </w:rPr>
      </w:pPr>
      <w:r>
        <w:rPr>
          <w:rFonts w:hint="eastAsia" w:ascii="宋体" w:hAnsi="宋体"/>
          <w:b/>
          <w:sz w:val="21"/>
          <w:szCs w:val="21"/>
        </w:rPr>
        <w:t>10.病房终端设备带要求：</w:t>
      </w:r>
    </w:p>
    <w:p>
      <w:pPr>
        <w:snapToGrid w:val="0"/>
        <w:spacing w:line="360" w:lineRule="auto"/>
        <w:ind w:left="134" w:leftChars="67" w:firstLine="420" w:firstLineChars="200"/>
        <w:rPr>
          <w:rFonts w:ascii="宋体" w:hAnsi="宋体"/>
          <w:sz w:val="21"/>
          <w:szCs w:val="21"/>
        </w:rPr>
      </w:pPr>
      <w:r>
        <w:rPr>
          <w:rFonts w:hint="eastAsia" w:ascii="宋体" w:hAnsi="宋体"/>
          <w:sz w:val="21"/>
          <w:szCs w:val="21"/>
        </w:rPr>
        <w:t>设备带采用组合式设备带，通长布置，颜色由医院确定。设备带面板采用模块化设计，便于维修。设备带采用材料，主材厚度1.5</w:t>
      </w:r>
      <w:r>
        <w:rPr>
          <w:rFonts w:ascii="宋体" w:hAnsi="宋体"/>
          <w:sz w:val="21"/>
          <w:szCs w:val="21"/>
        </w:rPr>
        <w:t>mm,</w:t>
      </w:r>
      <w:r>
        <w:rPr>
          <w:rFonts w:hint="eastAsia" w:ascii="宋体" w:hAnsi="宋体"/>
          <w:sz w:val="21"/>
          <w:szCs w:val="21"/>
        </w:rPr>
        <w:t>治疗带下缘距地面高度距地面为</w:t>
      </w:r>
      <w:r>
        <w:rPr>
          <w:rFonts w:ascii="宋体" w:hAnsi="宋体"/>
          <w:sz w:val="21"/>
          <w:szCs w:val="21"/>
        </w:rPr>
        <w:t>1.3m</w:t>
      </w:r>
      <w:r>
        <w:rPr>
          <w:rFonts w:hint="eastAsia" w:ascii="宋体" w:hAnsi="宋体"/>
          <w:sz w:val="21"/>
          <w:szCs w:val="21"/>
        </w:rPr>
        <w:t>。其面板可折卸，安装维修均极为方便；表面整体静电喷塑，颜色可选，附着力强，美观大方。</w:t>
      </w:r>
    </w:p>
    <w:p>
      <w:pPr>
        <w:tabs>
          <w:tab w:val="left" w:pos="567"/>
        </w:tabs>
        <w:snapToGrid w:val="0"/>
        <w:spacing w:line="360" w:lineRule="auto"/>
        <w:ind w:left="142" w:firstLine="420" w:firstLineChars="200"/>
        <w:rPr>
          <w:rFonts w:ascii="宋体" w:hAnsi="宋体"/>
          <w:sz w:val="21"/>
          <w:szCs w:val="21"/>
        </w:rPr>
      </w:pPr>
      <w:r>
        <w:rPr>
          <w:rFonts w:hint="eastAsia" w:ascii="宋体" w:hAnsi="宋体"/>
          <w:sz w:val="21"/>
          <w:szCs w:val="21"/>
        </w:rPr>
        <w:t>医疗设备带采用高强度铝合金6063-T5材质，装饰面经过静电粉末喷涂或电   泳涂漆处理，外表美观；具有第三方对材质化学成份，力学性能、涂层性能、漆膜性能、外观质量检测报告。</w:t>
      </w:r>
    </w:p>
    <w:p>
      <w:pPr>
        <w:pStyle w:val="3"/>
        <w:numPr>
          <w:ilvl w:val="0"/>
          <w:numId w:val="5"/>
        </w:numPr>
        <w:spacing w:after="156" w:afterLines="50" w:line="360" w:lineRule="auto"/>
        <w:rPr>
          <w:rFonts w:hAnsi="宋体" w:cs="Times New Roman"/>
          <w:kern w:val="0"/>
        </w:rPr>
      </w:pPr>
      <w:r>
        <w:rPr>
          <w:rFonts w:hint="eastAsia" w:hAnsi="宋体" w:cs="Times New Roman"/>
          <w:kern w:val="0"/>
        </w:rPr>
        <w:t>气体与强电、弱电腔体分隔腔体设置，安全可靠，符合GB9706.1-2007医用电气设备通用要求,提供第三方检测报告。</w:t>
      </w:r>
    </w:p>
    <w:p>
      <w:pPr>
        <w:pStyle w:val="3"/>
        <w:numPr>
          <w:ilvl w:val="0"/>
          <w:numId w:val="5"/>
        </w:numPr>
        <w:spacing w:after="156" w:afterLines="50" w:line="360" w:lineRule="auto"/>
        <w:rPr>
          <w:rFonts w:hAnsi="宋体" w:cs="Times New Roman"/>
          <w:kern w:val="0"/>
        </w:rPr>
      </w:pPr>
      <w:r>
        <w:rPr>
          <w:rFonts w:hint="eastAsia" w:hAnsi="宋体" w:cs="Times New Roman"/>
          <w:kern w:val="0"/>
        </w:rPr>
        <w:t>设备带具有第三方微生物检测认证机构出具的抗细菌检测报告，抗大肠杆菌和金黄色葡萄球菌标准达到I级99%；</w:t>
      </w:r>
    </w:p>
    <w:p>
      <w:pPr>
        <w:pStyle w:val="3"/>
        <w:numPr>
          <w:ilvl w:val="0"/>
          <w:numId w:val="5"/>
        </w:numPr>
        <w:spacing w:after="156" w:afterLines="50" w:line="360" w:lineRule="auto"/>
        <w:rPr>
          <w:rFonts w:hAnsi="宋体" w:cs="Times New Roman"/>
          <w:kern w:val="0"/>
        </w:rPr>
      </w:pPr>
      <w:r>
        <w:rPr>
          <w:rFonts w:hint="eastAsia" w:hAnsi="宋体" w:cs="Times New Roman"/>
          <w:kern w:val="0"/>
        </w:rPr>
        <w:t>设备带具有第三方微生物检测认证机构出具的抗霉菌检测报告，抗霉等级达到0级；</w:t>
      </w:r>
    </w:p>
    <w:p>
      <w:pPr>
        <w:numPr>
          <w:ilvl w:val="0"/>
          <w:numId w:val="5"/>
        </w:numPr>
        <w:autoSpaceDE/>
        <w:autoSpaceDN/>
        <w:adjustRightInd/>
        <w:spacing w:after="156" w:afterLines="50" w:line="360" w:lineRule="auto"/>
        <w:rPr>
          <w:rFonts w:ascii="宋体" w:hAnsi="宋体"/>
          <w:sz w:val="21"/>
          <w:szCs w:val="21"/>
        </w:rPr>
      </w:pPr>
      <w:r>
        <w:rPr>
          <w:rFonts w:hint="eastAsia" w:ascii="宋体" w:hAnsi="宋体"/>
          <w:sz w:val="21"/>
          <w:szCs w:val="21"/>
        </w:rPr>
        <w:t>设备带通过欧盟CE认证。</w:t>
      </w:r>
    </w:p>
    <w:p>
      <w:pPr>
        <w:numPr>
          <w:ilvl w:val="0"/>
          <w:numId w:val="5"/>
        </w:numPr>
        <w:spacing w:after="156" w:afterLines="50" w:line="360" w:lineRule="auto"/>
        <w:rPr>
          <w:rFonts w:ascii="宋体" w:hAnsi="宋体"/>
          <w:sz w:val="21"/>
          <w:szCs w:val="21"/>
        </w:rPr>
      </w:pPr>
      <w:r>
        <w:rPr>
          <w:rFonts w:hint="eastAsia" w:ascii="宋体" w:hAnsi="宋体"/>
          <w:sz w:val="21"/>
          <w:szCs w:val="21"/>
        </w:rPr>
        <w:t>提供ISO9001质量管理体系认证证书；</w:t>
      </w:r>
    </w:p>
    <w:p>
      <w:pPr>
        <w:numPr>
          <w:ilvl w:val="0"/>
          <w:numId w:val="5"/>
        </w:numPr>
        <w:spacing w:after="156" w:afterLines="50" w:line="360" w:lineRule="auto"/>
        <w:rPr>
          <w:rFonts w:ascii="宋体" w:hAnsi="宋体"/>
          <w:sz w:val="21"/>
          <w:szCs w:val="21"/>
        </w:rPr>
      </w:pPr>
      <w:r>
        <w:rPr>
          <w:rFonts w:hint="eastAsia" w:ascii="宋体" w:hAnsi="宋体"/>
          <w:sz w:val="21"/>
          <w:szCs w:val="21"/>
        </w:rPr>
        <w:t>提供ISO14001环境管理体系认证证书；</w:t>
      </w:r>
    </w:p>
    <w:p>
      <w:pPr>
        <w:autoSpaceDE/>
        <w:autoSpaceDN/>
        <w:adjustRightInd/>
        <w:spacing w:after="156" w:afterLines="50" w:line="360" w:lineRule="auto"/>
        <w:rPr>
          <w:rFonts w:hAnsi="宋体" w:cs="宋体"/>
          <w:b w:val="0"/>
          <w:bCs w:val="0"/>
        </w:rPr>
      </w:pPr>
      <w:r>
        <w:rPr>
          <w:rFonts w:hint="eastAsia" w:ascii="宋体" w:hAnsi="宋体"/>
          <w:sz w:val="21"/>
          <w:szCs w:val="21"/>
        </w:rPr>
        <w:t>提供GB/T28001职业健康安全管理体系认证证书</w:t>
      </w:r>
      <w:bookmarkStart w:id="0" w:name="_GoBack"/>
      <w:bookmarkEnd w:id="0"/>
    </w:p>
    <w:p>
      <w:pPr>
        <w:pStyle w:val="3"/>
        <w:snapToGrid w:val="0"/>
        <w:spacing w:line="360" w:lineRule="auto"/>
        <w:ind w:firstLine="420" w:firstLineChars="200"/>
        <w:rPr>
          <w:rFonts w:hint="eastAsia" w:hAnsi="宋体" w:cs="宋体"/>
          <w:b w:val="0"/>
          <w:bCs w:val="0"/>
          <w:highlight w:val="none"/>
        </w:rPr>
      </w:pPr>
      <w:r>
        <w:rPr>
          <w:rFonts w:hint="eastAsia" w:hAnsi="宋体" w:cs="宋体"/>
          <w:b w:val="0"/>
          <w:bCs w:val="0"/>
          <w:highlight w:val="none"/>
          <w:lang w:val="en-US" w:eastAsia="zh-CN"/>
        </w:rPr>
        <w:t>1.</w:t>
      </w:r>
      <w:r>
        <w:rPr>
          <w:rFonts w:hint="eastAsia" w:hAnsi="宋体" w:cs="宋体"/>
          <w:b w:val="0"/>
          <w:bCs w:val="0"/>
          <w:highlight w:val="none"/>
        </w:rPr>
        <w:t>VI</w:t>
      </w:r>
      <w:r>
        <w:rPr>
          <w:rFonts w:hint="eastAsia" w:hAnsi="宋体" w:cs="宋体"/>
          <w:b w:val="0"/>
          <w:bCs w:val="0"/>
          <w:highlight w:val="none"/>
          <w:lang w:val="en-US" w:eastAsia="zh-CN"/>
        </w:rPr>
        <w:t>P单人间</w:t>
      </w:r>
      <w:r>
        <w:rPr>
          <w:rFonts w:hint="eastAsia" w:hAnsi="宋体" w:cs="宋体"/>
          <w:b w:val="0"/>
          <w:bCs w:val="0"/>
          <w:highlight w:val="none"/>
        </w:rPr>
        <w:t>病房设备带：</w:t>
      </w:r>
    </w:p>
    <w:p>
      <w:pPr>
        <w:pStyle w:val="3"/>
        <w:snapToGrid w:val="0"/>
        <w:spacing w:line="360" w:lineRule="auto"/>
        <w:ind w:firstLine="420" w:firstLineChars="200"/>
        <w:rPr>
          <w:rFonts w:hint="eastAsia" w:hAnsi="宋体" w:cs="宋体"/>
          <w:b w:val="0"/>
          <w:bCs w:val="0"/>
        </w:rPr>
      </w:pPr>
      <w:r>
        <w:rPr>
          <w:rFonts w:hint="eastAsia" w:hAnsi="宋体" w:cs="宋体"/>
          <w:b w:val="0"/>
          <w:bCs w:val="0"/>
        </w:rPr>
        <w:t>尺寸：宽可定制  高可定制 厚65mm</w:t>
      </w:r>
    </w:p>
    <w:p>
      <w:pPr>
        <w:pStyle w:val="3"/>
        <w:snapToGrid w:val="0"/>
        <w:spacing w:line="360" w:lineRule="auto"/>
        <w:ind w:firstLine="420" w:firstLineChars="200"/>
        <w:rPr>
          <w:rFonts w:hint="eastAsia" w:hAnsi="宋体" w:cs="宋体"/>
          <w:b w:val="0"/>
          <w:bCs w:val="0"/>
        </w:rPr>
      </w:pPr>
      <w:r>
        <w:rPr>
          <w:rFonts w:hint="eastAsia" w:hAnsi="宋体" w:cs="宋体"/>
          <w:b w:val="0"/>
          <w:bCs w:val="0"/>
        </w:rPr>
        <w:t>嵌入尺寸：厚65mm，宽高可定制</w:t>
      </w:r>
    </w:p>
    <w:p>
      <w:pPr>
        <w:pStyle w:val="3"/>
        <w:snapToGrid w:val="0"/>
        <w:spacing w:line="360" w:lineRule="auto"/>
        <w:ind w:firstLine="420" w:firstLineChars="200"/>
        <w:rPr>
          <w:rFonts w:hint="eastAsia" w:hAnsi="宋体" w:cs="宋体"/>
          <w:b w:val="0"/>
          <w:bCs w:val="0"/>
        </w:rPr>
      </w:pPr>
      <w:r>
        <w:rPr>
          <w:rFonts w:hint="eastAsia" w:hAnsi="宋体" w:cs="宋体"/>
          <w:b w:val="0"/>
          <w:bCs w:val="0"/>
        </w:rPr>
        <w:t>材质：优质铝型材6063-T5 AA级</w:t>
      </w:r>
    </w:p>
    <w:p>
      <w:pPr>
        <w:pStyle w:val="3"/>
        <w:snapToGrid w:val="0"/>
        <w:spacing w:line="360" w:lineRule="auto"/>
        <w:ind w:firstLine="420" w:firstLineChars="200"/>
        <w:rPr>
          <w:rFonts w:hint="eastAsia" w:hAnsi="宋体" w:cs="宋体"/>
          <w:b w:val="0"/>
          <w:bCs w:val="0"/>
        </w:rPr>
      </w:pPr>
      <w:r>
        <w:rPr>
          <w:rFonts w:hint="eastAsia" w:hAnsi="宋体" w:cs="宋体"/>
          <w:b w:val="0"/>
          <w:bCs w:val="0"/>
        </w:rPr>
        <w:t>壁厚：2.0mm</w:t>
      </w:r>
    </w:p>
    <w:p>
      <w:pPr>
        <w:pStyle w:val="3"/>
        <w:snapToGrid w:val="0"/>
        <w:spacing w:line="360" w:lineRule="auto"/>
        <w:ind w:firstLine="420" w:firstLineChars="200"/>
        <w:rPr>
          <w:rFonts w:hint="eastAsia" w:hAnsi="宋体" w:cs="宋体"/>
          <w:b w:val="0"/>
          <w:bCs w:val="0"/>
        </w:rPr>
      </w:pPr>
      <w:r>
        <w:rPr>
          <w:rFonts w:hint="eastAsia" w:hAnsi="宋体" w:cs="宋体"/>
          <w:b w:val="0"/>
          <w:bCs w:val="0"/>
        </w:rPr>
        <w:t>表面：静电喷塑或阳极氧化</w:t>
      </w:r>
    </w:p>
    <w:p>
      <w:pPr>
        <w:pStyle w:val="3"/>
        <w:snapToGrid w:val="0"/>
        <w:spacing w:line="360" w:lineRule="auto"/>
        <w:ind w:firstLine="420" w:firstLineChars="200"/>
        <w:rPr>
          <w:rFonts w:hint="eastAsia" w:hAnsi="宋体" w:cs="宋体"/>
          <w:b w:val="0"/>
          <w:bCs w:val="0"/>
        </w:rPr>
      </w:pPr>
      <w:r>
        <w:rPr>
          <w:rFonts w:hint="eastAsia" w:hAnsi="宋体" w:cs="宋体"/>
          <w:b w:val="0"/>
          <w:bCs w:val="0"/>
        </w:rPr>
        <w:t>特点：</w:t>
      </w:r>
    </w:p>
    <w:p>
      <w:pPr>
        <w:pStyle w:val="3"/>
        <w:snapToGrid w:val="0"/>
        <w:spacing w:line="360" w:lineRule="auto"/>
        <w:ind w:firstLine="420" w:firstLineChars="200"/>
        <w:rPr>
          <w:rFonts w:hint="eastAsia" w:hAnsi="宋体" w:cs="宋体"/>
          <w:b w:val="0"/>
          <w:bCs w:val="0"/>
        </w:rPr>
      </w:pPr>
      <w:r>
        <w:rPr>
          <w:rFonts w:hint="eastAsia" w:hAnsi="宋体" w:cs="宋体"/>
          <w:b w:val="0"/>
          <w:bCs w:val="0"/>
        </w:rPr>
        <w:t>快拆式多腔结构，气电分离，CE认证</w:t>
      </w:r>
    </w:p>
    <w:p>
      <w:pPr>
        <w:pStyle w:val="3"/>
        <w:snapToGrid w:val="0"/>
        <w:spacing w:line="360" w:lineRule="auto"/>
        <w:ind w:firstLine="420" w:firstLineChars="200"/>
        <w:rPr>
          <w:rFonts w:hint="eastAsia" w:hAnsi="宋体" w:cs="宋体"/>
          <w:b w:val="0"/>
          <w:bCs w:val="0"/>
        </w:rPr>
      </w:pPr>
      <w:r>
        <w:rPr>
          <w:rFonts w:hint="eastAsia" w:hAnsi="宋体" w:cs="宋体"/>
          <w:b w:val="0"/>
          <w:bCs w:val="0"/>
        </w:rPr>
        <w:t>嵌入式安装，与墙板完美契合</w:t>
      </w:r>
    </w:p>
    <w:p>
      <w:pPr>
        <w:pStyle w:val="3"/>
        <w:snapToGrid w:val="0"/>
        <w:spacing w:line="360" w:lineRule="auto"/>
        <w:ind w:firstLine="420" w:firstLineChars="200"/>
        <w:rPr>
          <w:rFonts w:hint="eastAsia" w:hAnsi="宋体" w:cs="宋体"/>
          <w:b w:val="0"/>
          <w:bCs w:val="0"/>
        </w:rPr>
      </w:pPr>
      <w:r>
        <w:rPr>
          <w:rFonts w:hint="eastAsia" w:hAnsi="宋体" w:cs="宋体"/>
          <w:b w:val="0"/>
          <w:bCs w:val="0"/>
        </w:rPr>
        <w:t>可定制不同风格面板颜色</w:t>
      </w:r>
    </w:p>
    <w:p>
      <w:pPr>
        <w:pStyle w:val="3"/>
        <w:snapToGrid w:val="0"/>
        <w:spacing w:line="360" w:lineRule="auto"/>
        <w:ind w:firstLine="420" w:firstLineChars="200"/>
        <w:rPr>
          <w:rFonts w:hint="eastAsia" w:hAnsi="宋体" w:cs="宋体"/>
          <w:b w:val="0"/>
          <w:bCs w:val="0"/>
        </w:rPr>
      </w:pPr>
      <w:r>
        <w:rPr>
          <w:rFonts w:hint="eastAsia" w:hAnsi="宋体" w:cs="宋体"/>
          <w:b w:val="0"/>
          <w:bCs w:val="0"/>
        </w:rPr>
        <w:t>可定制不同尺寸，嵌入医疗家具</w:t>
      </w:r>
    </w:p>
    <w:p>
      <w:pPr>
        <w:pStyle w:val="3"/>
        <w:snapToGrid w:val="0"/>
        <w:spacing w:line="360" w:lineRule="auto"/>
        <w:ind w:firstLine="420" w:firstLineChars="200"/>
        <w:rPr>
          <w:rFonts w:hint="eastAsia" w:hAnsi="宋体" w:cs="宋体"/>
          <w:b w:val="0"/>
          <w:bCs w:val="0"/>
        </w:rPr>
      </w:pPr>
      <w:r>
        <w:rPr>
          <w:rFonts w:hint="eastAsia" w:hAnsi="宋体" w:cs="宋体"/>
          <w:b w:val="0"/>
          <w:bCs w:val="0"/>
        </w:rPr>
        <w:t>抗菌率＞99% 防霉等级0级（最高级别）</w:t>
      </w:r>
    </w:p>
    <w:p>
      <w:pPr>
        <w:pStyle w:val="3"/>
        <w:adjustRightInd w:val="0"/>
        <w:snapToGrid w:val="0"/>
        <w:spacing w:line="360" w:lineRule="auto"/>
        <w:ind w:firstLine="420" w:firstLineChars="200"/>
        <w:rPr>
          <w:rFonts w:hAnsi="宋体" w:cs="宋体"/>
          <w:b w:val="0"/>
          <w:bCs w:val="0"/>
        </w:rPr>
      </w:pPr>
      <w:r>
        <w:rPr>
          <w:rFonts w:hint="eastAsia" w:hAnsi="宋体" w:cs="宋体"/>
          <w:b w:val="0"/>
          <w:bCs w:val="0"/>
        </w:rPr>
        <w:t>耐腐蚀性强，盐雾测试达到10级（最高级别）</w:t>
      </w:r>
    </w:p>
    <w:p>
      <w:pPr>
        <w:pStyle w:val="3"/>
        <w:snapToGrid w:val="0"/>
        <w:spacing w:line="360" w:lineRule="auto"/>
        <w:ind w:firstLine="420" w:firstLineChars="200"/>
        <w:rPr>
          <w:rFonts w:hAnsi="宋体" w:cs="宋体"/>
          <w:b w:val="0"/>
          <w:bCs w:val="0"/>
        </w:rPr>
      </w:pPr>
    </w:p>
    <w:p>
      <w:pPr>
        <w:pStyle w:val="3"/>
        <w:snapToGrid w:val="0"/>
        <w:spacing w:line="360" w:lineRule="auto"/>
        <w:ind w:firstLine="420" w:firstLineChars="200"/>
        <w:rPr>
          <w:rFonts w:hint="eastAsia" w:hAnsi="宋体" w:cs="宋体"/>
          <w:b w:val="0"/>
          <w:bCs w:val="0"/>
          <w:color w:val="auto"/>
          <w:highlight w:val="none"/>
        </w:rPr>
      </w:pPr>
      <w:r>
        <w:rPr>
          <w:rFonts w:hint="eastAsia" w:hAnsi="宋体" w:cs="宋体"/>
          <w:b w:val="0"/>
          <w:bCs w:val="0"/>
          <w:color w:val="auto"/>
          <w:highlight w:val="none"/>
          <w:lang w:val="en-US" w:eastAsia="zh-CN"/>
        </w:rPr>
        <w:t>2.</w:t>
      </w:r>
      <w:r>
        <w:rPr>
          <w:rFonts w:hint="eastAsia" w:hAnsi="宋体" w:cs="宋体"/>
          <w:b w:val="0"/>
          <w:bCs w:val="0"/>
          <w:color w:val="auto"/>
          <w:highlight w:val="none"/>
        </w:rPr>
        <w:t>标准病房设备带：</w:t>
      </w:r>
    </w:p>
    <w:p>
      <w:pPr>
        <w:pStyle w:val="3"/>
        <w:snapToGrid w:val="0"/>
        <w:spacing w:line="360" w:lineRule="auto"/>
        <w:ind w:firstLine="420" w:firstLineChars="200"/>
        <w:rPr>
          <w:rFonts w:hint="eastAsia" w:hAnsi="宋体" w:cs="宋体"/>
        </w:rPr>
      </w:pPr>
      <w:r>
        <w:rPr>
          <w:rFonts w:hint="eastAsia" w:hAnsi="宋体" w:cs="宋体"/>
        </w:rPr>
        <w:t>尺寸：200mm*70mm</w:t>
      </w:r>
    </w:p>
    <w:p>
      <w:pPr>
        <w:pStyle w:val="3"/>
        <w:snapToGrid w:val="0"/>
        <w:spacing w:line="360" w:lineRule="auto"/>
        <w:ind w:firstLine="420" w:firstLineChars="200"/>
        <w:rPr>
          <w:rFonts w:hint="eastAsia" w:hAnsi="宋体" w:cs="宋体"/>
        </w:rPr>
      </w:pPr>
      <w:r>
        <w:rPr>
          <w:rFonts w:hint="eastAsia" w:hAnsi="宋体" w:cs="宋体"/>
        </w:rPr>
        <w:t>材质：优质铝型材6063-T5 AA级</w:t>
      </w:r>
    </w:p>
    <w:p>
      <w:pPr>
        <w:pStyle w:val="3"/>
        <w:snapToGrid w:val="0"/>
        <w:spacing w:line="360" w:lineRule="auto"/>
        <w:ind w:firstLine="420" w:firstLineChars="200"/>
        <w:rPr>
          <w:rFonts w:hint="eastAsia" w:hAnsi="宋体" w:cs="宋体"/>
        </w:rPr>
      </w:pPr>
      <w:r>
        <w:rPr>
          <w:rFonts w:hint="eastAsia" w:hAnsi="宋体" w:cs="宋体"/>
        </w:rPr>
        <w:t>壁厚：1.7mm</w:t>
      </w:r>
    </w:p>
    <w:p>
      <w:pPr>
        <w:pStyle w:val="3"/>
        <w:snapToGrid w:val="0"/>
        <w:spacing w:line="360" w:lineRule="auto"/>
        <w:ind w:firstLine="420" w:firstLineChars="200"/>
        <w:rPr>
          <w:rFonts w:hint="eastAsia" w:hAnsi="宋体" w:cs="宋体"/>
        </w:rPr>
      </w:pPr>
      <w:r>
        <w:rPr>
          <w:rFonts w:hint="eastAsia" w:hAnsi="宋体" w:cs="宋体"/>
        </w:rPr>
        <w:t>表面：静电喷塑或阳极氧化</w:t>
      </w:r>
    </w:p>
    <w:p>
      <w:pPr>
        <w:pStyle w:val="3"/>
        <w:snapToGrid w:val="0"/>
        <w:spacing w:line="360" w:lineRule="auto"/>
        <w:ind w:firstLine="420" w:firstLineChars="200"/>
        <w:rPr>
          <w:rFonts w:hint="eastAsia" w:hAnsi="宋体" w:cs="宋体"/>
        </w:rPr>
      </w:pPr>
      <w:r>
        <w:rPr>
          <w:rFonts w:hint="eastAsia" w:hAnsi="宋体" w:cs="宋体"/>
        </w:rPr>
        <w:t>特点：</w:t>
      </w:r>
    </w:p>
    <w:p>
      <w:pPr>
        <w:pStyle w:val="3"/>
        <w:snapToGrid w:val="0"/>
        <w:spacing w:line="360" w:lineRule="auto"/>
        <w:ind w:firstLine="420" w:firstLineChars="200"/>
        <w:rPr>
          <w:rFonts w:hint="eastAsia" w:hAnsi="宋体" w:cs="宋体"/>
        </w:rPr>
      </w:pPr>
      <w:r>
        <w:rPr>
          <w:rFonts w:hint="eastAsia" w:hAnsi="宋体" w:cs="宋体"/>
        </w:rPr>
        <w:t>快拆式三腔结构，气电分离，CE认证</w:t>
      </w:r>
    </w:p>
    <w:p>
      <w:pPr>
        <w:pStyle w:val="3"/>
        <w:snapToGrid w:val="0"/>
        <w:spacing w:line="360" w:lineRule="auto"/>
        <w:ind w:firstLine="420" w:firstLineChars="200"/>
        <w:rPr>
          <w:rFonts w:hint="eastAsia" w:hAnsi="宋体" w:cs="宋体"/>
        </w:rPr>
      </w:pPr>
      <w:r>
        <w:rPr>
          <w:rFonts w:hint="eastAsia" w:hAnsi="宋体" w:cs="宋体"/>
        </w:rPr>
        <w:t>抗菌率＞99% 防霉等级0级（最高级别）</w:t>
      </w:r>
    </w:p>
    <w:p>
      <w:pPr>
        <w:pStyle w:val="3"/>
        <w:snapToGrid w:val="0"/>
        <w:spacing w:line="360" w:lineRule="auto"/>
        <w:ind w:firstLine="420" w:firstLineChars="200"/>
        <w:rPr>
          <w:rFonts w:hAnsi="宋体" w:cs="宋体"/>
        </w:rPr>
      </w:pPr>
      <w:r>
        <w:rPr>
          <w:rFonts w:hint="eastAsia" w:hAnsi="宋体" w:cs="宋体"/>
        </w:rPr>
        <w:t>耐腐蚀性强，盐雾测试达到10级（最高级别）</w:t>
      </w:r>
    </w:p>
    <w:p>
      <w:pPr>
        <w:numPr>
          <w:ilvl w:val="1"/>
          <w:numId w:val="2"/>
        </w:numPr>
        <w:tabs>
          <w:tab w:val="left" w:pos="567"/>
        </w:tabs>
        <w:autoSpaceDE/>
        <w:autoSpaceDN/>
        <w:snapToGrid w:val="0"/>
        <w:spacing w:line="360" w:lineRule="auto"/>
        <w:ind w:left="-2" w:leftChars="-3" w:hanging="4" w:hangingChars="2"/>
        <w:jc w:val="both"/>
        <w:rPr>
          <w:rFonts w:ascii="宋体" w:hAnsi="宋体"/>
          <w:b/>
          <w:sz w:val="21"/>
          <w:szCs w:val="21"/>
        </w:rPr>
      </w:pPr>
      <w:r>
        <w:rPr>
          <w:rFonts w:hint="eastAsia" w:ascii="宋体" w:hAnsi="宋体"/>
          <w:b/>
          <w:sz w:val="21"/>
          <w:szCs w:val="21"/>
        </w:rPr>
        <w:t>中心吸引系统</w:t>
      </w:r>
    </w:p>
    <w:p>
      <w:pPr>
        <w:pStyle w:val="7"/>
        <w:numPr>
          <w:ilvl w:val="0"/>
          <w:numId w:val="6"/>
        </w:numPr>
        <w:adjustRightInd w:val="0"/>
        <w:snapToGrid w:val="0"/>
        <w:spacing w:after="0" w:line="360" w:lineRule="auto"/>
        <w:ind w:leftChars="0" w:firstLine="422"/>
        <w:rPr>
          <w:rFonts w:ascii="宋体" w:hAnsi="宋体"/>
          <w:b/>
          <w:bCs/>
          <w:szCs w:val="21"/>
        </w:rPr>
      </w:pPr>
      <w:r>
        <w:rPr>
          <w:rFonts w:hint="eastAsia" w:ascii="宋体" w:hAnsi="宋体"/>
          <w:b/>
          <w:bCs/>
          <w:szCs w:val="21"/>
        </w:rPr>
        <w:t>中心吸引系统设计说明：</w:t>
      </w:r>
    </w:p>
    <w:p>
      <w:pPr>
        <w:widowControl/>
        <w:snapToGrid w:val="0"/>
        <w:spacing w:line="360" w:lineRule="auto"/>
        <w:ind w:left="134" w:leftChars="67" w:firstLine="420" w:firstLineChars="200"/>
        <w:rPr>
          <w:rFonts w:ascii="宋体" w:hAnsi="宋体"/>
          <w:bCs/>
          <w:sz w:val="21"/>
          <w:szCs w:val="21"/>
        </w:rPr>
      </w:pPr>
      <w:r>
        <w:rPr>
          <w:rFonts w:hint="eastAsia" w:ascii="宋体" w:hAnsi="宋体"/>
          <w:bCs/>
          <w:sz w:val="21"/>
          <w:szCs w:val="21"/>
        </w:rPr>
        <w:t>简介</w:t>
      </w:r>
      <w:r>
        <w:rPr>
          <w:rFonts w:ascii="宋体" w:hAnsi="宋体"/>
          <w:bCs/>
          <w:sz w:val="21"/>
          <w:szCs w:val="21"/>
        </w:rPr>
        <w:t xml:space="preserve">: </w:t>
      </w:r>
      <w:r>
        <w:rPr>
          <w:rFonts w:hint="eastAsia" w:ascii="宋体" w:hAnsi="宋体"/>
          <w:bCs/>
          <w:sz w:val="21"/>
          <w:szCs w:val="21"/>
        </w:rPr>
        <w:t>医用中心吸引系统适用于医院的新建、扩建和改建工程，它是专为各类医院的手术室、抢救室、病房等吸出患者体内的污物，痰液而设计建造的。医用中心吸引系统克服了电动吸引机随用随搬，不能多人共用、消毒不便等缺点。而且不占用病房空间，也无噪声，是现代化医院理想的吸引系统设备。</w:t>
      </w:r>
    </w:p>
    <w:p>
      <w:pPr>
        <w:pStyle w:val="7"/>
        <w:numPr>
          <w:ilvl w:val="0"/>
          <w:numId w:val="6"/>
        </w:numPr>
        <w:adjustRightInd w:val="0"/>
        <w:snapToGrid w:val="0"/>
        <w:spacing w:after="0" w:line="360" w:lineRule="auto"/>
        <w:ind w:leftChars="0" w:firstLine="422"/>
        <w:rPr>
          <w:rFonts w:ascii="宋体" w:hAnsi="宋体"/>
          <w:b/>
          <w:bCs/>
          <w:szCs w:val="21"/>
        </w:rPr>
      </w:pPr>
      <w:r>
        <w:rPr>
          <w:rFonts w:hint="eastAsia" w:ascii="宋体" w:hAnsi="宋体"/>
          <w:b/>
          <w:bCs/>
          <w:szCs w:val="21"/>
        </w:rPr>
        <w:t>负压吸引机组</w:t>
      </w:r>
    </w:p>
    <w:p>
      <w:pPr>
        <w:pStyle w:val="7"/>
        <w:adjustRightInd w:val="0"/>
        <w:snapToGrid w:val="0"/>
        <w:spacing w:after="0" w:line="360" w:lineRule="auto"/>
        <w:ind w:left="0" w:leftChars="0"/>
        <w:rPr>
          <w:rFonts w:ascii="宋体" w:hAnsi="宋体"/>
          <w:b/>
          <w:bCs/>
          <w:szCs w:val="21"/>
        </w:rPr>
      </w:pPr>
      <w:r>
        <w:rPr>
          <w:rFonts w:hint="eastAsia" w:ascii="宋体" w:hAnsi="宋体"/>
          <w:bCs/>
          <w:kern w:val="0"/>
          <w:szCs w:val="21"/>
        </w:rPr>
        <w:t>接院方原有，</w:t>
      </w:r>
      <w:r>
        <w:rPr>
          <w:rFonts w:hint="eastAsia" w:ascii="宋体" w:hAnsi="宋体"/>
          <w:bCs/>
          <w:szCs w:val="21"/>
        </w:rPr>
        <w:t>中心供氧站机房不在本次招标范围内。</w:t>
      </w:r>
    </w:p>
    <w:p>
      <w:pPr>
        <w:widowControl/>
        <w:tabs>
          <w:tab w:val="left" w:pos="72"/>
          <w:tab w:val="left" w:pos="567"/>
        </w:tabs>
        <w:snapToGrid w:val="0"/>
        <w:spacing w:line="360" w:lineRule="auto"/>
        <w:ind w:left="142" w:firstLine="422" w:firstLineChars="200"/>
        <w:rPr>
          <w:rFonts w:ascii="宋体" w:hAnsi="宋体"/>
          <w:b/>
          <w:bCs/>
          <w:sz w:val="21"/>
          <w:szCs w:val="21"/>
        </w:rPr>
      </w:pPr>
      <w:r>
        <w:rPr>
          <w:rFonts w:hint="eastAsia" w:ascii="宋体" w:hAnsi="宋体"/>
          <w:b/>
          <w:bCs/>
          <w:sz w:val="21"/>
          <w:szCs w:val="21"/>
        </w:rPr>
        <w:t>3.中心吸引管路部分：</w:t>
      </w:r>
    </w:p>
    <w:p>
      <w:pPr>
        <w:numPr>
          <w:ilvl w:val="0"/>
          <w:numId w:val="7"/>
        </w:numPr>
        <w:tabs>
          <w:tab w:val="left" w:pos="567"/>
        </w:tabs>
        <w:autoSpaceDE/>
        <w:autoSpaceDN/>
        <w:snapToGrid w:val="0"/>
        <w:spacing w:line="360" w:lineRule="auto"/>
        <w:ind w:firstLine="420" w:firstLineChars="200"/>
        <w:jc w:val="both"/>
        <w:rPr>
          <w:rFonts w:ascii="宋体" w:hAnsi="宋体"/>
          <w:sz w:val="21"/>
          <w:szCs w:val="21"/>
        </w:rPr>
      </w:pPr>
      <w:r>
        <w:rPr>
          <w:rFonts w:hint="eastAsia" w:ascii="宋体" w:hAnsi="宋体"/>
          <w:sz w:val="21"/>
          <w:szCs w:val="21"/>
        </w:rPr>
        <w:t>吸引管道材质：主管走廊管道为热镀锌管、支管脱脂紫铜管。</w:t>
      </w:r>
    </w:p>
    <w:p>
      <w:pPr>
        <w:numPr>
          <w:ilvl w:val="0"/>
          <w:numId w:val="7"/>
        </w:numPr>
        <w:tabs>
          <w:tab w:val="left" w:pos="567"/>
        </w:tabs>
        <w:autoSpaceDE/>
        <w:autoSpaceDN/>
        <w:snapToGrid w:val="0"/>
        <w:spacing w:line="360" w:lineRule="auto"/>
        <w:ind w:firstLine="420" w:firstLineChars="200"/>
        <w:jc w:val="both"/>
        <w:rPr>
          <w:rFonts w:ascii="宋体" w:hAnsi="宋体"/>
          <w:sz w:val="21"/>
          <w:szCs w:val="21"/>
        </w:rPr>
      </w:pPr>
      <w:r>
        <w:rPr>
          <w:rFonts w:hint="eastAsia" w:ascii="宋体" w:hAnsi="宋体"/>
          <w:sz w:val="21"/>
          <w:szCs w:val="21"/>
        </w:rPr>
        <w:t>管道连接方法技术要求：</w:t>
      </w:r>
    </w:p>
    <w:p>
      <w:pPr>
        <w:widowControl/>
        <w:snapToGrid w:val="0"/>
        <w:spacing w:line="360" w:lineRule="auto"/>
        <w:ind w:left="134" w:leftChars="67" w:firstLine="420" w:firstLineChars="200"/>
        <w:rPr>
          <w:rFonts w:ascii="宋体" w:hAnsi="宋体"/>
          <w:bCs/>
          <w:sz w:val="21"/>
          <w:szCs w:val="21"/>
        </w:rPr>
      </w:pPr>
      <w:r>
        <w:rPr>
          <w:rFonts w:hint="eastAsia" w:ascii="宋体" w:hAnsi="宋体"/>
          <w:bCs/>
          <w:sz w:val="21"/>
          <w:szCs w:val="21"/>
        </w:rPr>
        <w:t>不锈钢管连接采用标准的三通、弯头管件及球头、螺帽、焊咀连接后焊接连接；整个系统连接均采用金属密封，可保证系统的气密性。</w:t>
      </w:r>
    </w:p>
    <w:p>
      <w:pPr>
        <w:widowControl/>
        <w:snapToGrid w:val="0"/>
        <w:spacing w:line="360" w:lineRule="auto"/>
        <w:ind w:left="134" w:leftChars="67" w:firstLine="420" w:firstLineChars="200"/>
        <w:rPr>
          <w:rFonts w:ascii="宋体" w:hAnsi="宋体"/>
          <w:bCs/>
          <w:sz w:val="21"/>
          <w:szCs w:val="21"/>
        </w:rPr>
      </w:pPr>
      <w:r>
        <w:rPr>
          <w:rFonts w:hint="eastAsia" w:ascii="宋体" w:hAnsi="宋体"/>
          <w:bCs/>
          <w:sz w:val="21"/>
          <w:szCs w:val="21"/>
        </w:rPr>
        <w:t>脱脂紫铜管连接采用标准的管件连接后银钎焊焊接连接；整个系统连接均采用金属密封，可保证系统的气密性。</w:t>
      </w:r>
    </w:p>
    <w:p>
      <w:pPr>
        <w:numPr>
          <w:ilvl w:val="0"/>
          <w:numId w:val="7"/>
        </w:numPr>
        <w:tabs>
          <w:tab w:val="left" w:pos="567"/>
        </w:tabs>
        <w:autoSpaceDE/>
        <w:autoSpaceDN/>
        <w:snapToGrid w:val="0"/>
        <w:spacing w:line="360" w:lineRule="auto"/>
        <w:ind w:firstLine="420" w:firstLineChars="200"/>
        <w:jc w:val="both"/>
        <w:rPr>
          <w:rFonts w:ascii="宋体" w:hAnsi="宋体"/>
          <w:sz w:val="21"/>
          <w:szCs w:val="21"/>
        </w:rPr>
      </w:pPr>
      <w:r>
        <w:rPr>
          <w:rFonts w:hint="eastAsia" w:ascii="宋体" w:hAnsi="宋体"/>
          <w:sz w:val="21"/>
          <w:szCs w:val="21"/>
        </w:rPr>
        <w:t>管道布置</w:t>
      </w:r>
    </w:p>
    <w:p>
      <w:pPr>
        <w:widowControl/>
        <w:snapToGrid w:val="0"/>
        <w:spacing w:line="360" w:lineRule="auto"/>
        <w:ind w:left="134" w:leftChars="67" w:firstLine="420" w:firstLineChars="200"/>
        <w:rPr>
          <w:rFonts w:ascii="宋体" w:hAnsi="宋体"/>
          <w:bCs/>
          <w:sz w:val="21"/>
          <w:szCs w:val="21"/>
        </w:rPr>
      </w:pPr>
      <w:r>
        <w:rPr>
          <w:rFonts w:hint="eastAsia" w:ascii="宋体" w:hAnsi="宋体"/>
          <w:bCs/>
          <w:sz w:val="21"/>
          <w:szCs w:val="21"/>
        </w:rPr>
        <w:t>吸引主管管道沿地下室走廊墙面架设至大楼医气管井，病区走廊横管安装在吊顶内，病房内支管及终端均安装在铝合金设备带内，这样既整齐又美观（与氧气管道一同走管）。</w:t>
      </w:r>
    </w:p>
    <w:p>
      <w:pPr>
        <w:numPr>
          <w:ilvl w:val="0"/>
          <w:numId w:val="7"/>
        </w:numPr>
        <w:tabs>
          <w:tab w:val="left" w:pos="567"/>
        </w:tabs>
        <w:autoSpaceDE/>
        <w:autoSpaceDN/>
        <w:snapToGrid w:val="0"/>
        <w:spacing w:line="360" w:lineRule="auto"/>
        <w:ind w:firstLine="420" w:firstLineChars="200"/>
        <w:jc w:val="both"/>
        <w:rPr>
          <w:rFonts w:ascii="宋体" w:hAnsi="宋体"/>
          <w:sz w:val="21"/>
          <w:szCs w:val="21"/>
        </w:rPr>
      </w:pPr>
      <w:r>
        <w:rPr>
          <w:rFonts w:hint="eastAsia" w:ascii="宋体" w:hAnsi="宋体"/>
          <w:sz w:val="21"/>
          <w:szCs w:val="21"/>
        </w:rPr>
        <w:t>医气管道压力试验、吹扫技术要求</w:t>
      </w:r>
    </w:p>
    <w:p>
      <w:pPr>
        <w:widowControl/>
        <w:snapToGrid w:val="0"/>
        <w:spacing w:line="360" w:lineRule="auto"/>
        <w:ind w:left="134" w:leftChars="67" w:firstLine="420" w:firstLineChars="200"/>
        <w:rPr>
          <w:rFonts w:ascii="宋体" w:hAnsi="宋体"/>
          <w:bCs/>
          <w:sz w:val="21"/>
          <w:szCs w:val="21"/>
        </w:rPr>
      </w:pPr>
      <w:r>
        <w:rPr>
          <w:rFonts w:hint="eastAsia" w:ascii="宋体" w:hAnsi="宋体"/>
          <w:bCs/>
          <w:sz w:val="21"/>
          <w:szCs w:val="21"/>
        </w:rPr>
        <w:t>系统强度试验</w:t>
      </w:r>
      <w:r>
        <w:rPr>
          <w:rFonts w:ascii="宋体" w:hAnsi="宋体"/>
          <w:bCs/>
          <w:sz w:val="21"/>
          <w:szCs w:val="21"/>
        </w:rPr>
        <w:t>:</w:t>
      </w:r>
      <w:r>
        <w:rPr>
          <w:rFonts w:hint="eastAsia" w:ascii="宋体" w:hAnsi="宋体"/>
          <w:bCs/>
          <w:sz w:val="21"/>
          <w:szCs w:val="21"/>
        </w:rPr>
        <w:t>医气管道安装完毕后必须进行强度试验</w:t>
      </w:r>
      <w:r>
        <w:rPr>
          <w:rFonts w:ascii="宋体" w:hAnsi="宋体"/>
          <w:bCs/>
          <w:sz w:val="21"/>
          <w:szCs w:val="21"/>
        </w:rPr>
        <w:t>,</w:t>
      </w:r>
      <w:r>
        <w:rPr>
          <w:rFonts w:hint="eastAsia" w:ascii="宋体" w:hAnsi="宋体"/>
          <w:bCs/>
          <w:sz w:val="21"/>
          <w:szCs w:val="21"/>
        </w:rPr>
        <w:t>试验介质为氮气或无油医用空气；其中医用氧气、医用空气管道试验压力为管道设计压力的</w:t>
      </w:r>
      <w:r>
        <w:rPr>
          <w:rFonts w:ascii="宋体" w:hAnsi="宋体"/>
          <w:bCs/>
          <w:sz w:val="21"/>
          <w:szCs w:val="21"/>
        </w:rPr>
        <w:t>1.25</w:t>
      </w:r>
      <w:r>
        <w:rPr>
          <w:rFonts w:hint="eastAsia" w:ascii="宋体" w:hAnsi="宋体"/>
          <w:bCs/>
          <w:sz w:val="21"/>
          <w:szCs w:val="21"/>
        </w:rPr>
        <w:t>倍、医用吸引管道试验压力为</w:t>
      </w:r>
      <w:r>
        <w:rPr>
          <w:rFonts w:ascii="宋体" w:hAnsi="宋体"/>
          <w:bCs/>
          <w:sz w:val="21"/>
          <w:szCs w:val="21"/>
        </w:rPr>
        <w:t>0.2MPa</w:t>
      </w:r>
      <w:r>
        <w:rPr>
          <w:rFonts w:hint="eastAsia" w:ascii="宋体" w:hAnsi="宋体"/>
          <w:bCs/>
          <w:sz w:val="21"/>
          <w:szCs w:val="21"/>
        </w:rPr>
        <w:t>；试压时间</w:t>
      </w:r>
      <w:r>
        <w:rPr>
          <w:rFonts w:ascii="宋体" w:hAnsi="宋体"/>
          <w:bCs/>
          <w:sz w:val="21"/>
          <w:szCs w:val="21"/>
        </w:rPr>
        <w:t>10-30min,</w:t>
      </w:r>
      <w:r>
        <w:rPr>
          <w:rFonts w:hint="eastAsia" w:ascii="宋体" w:hAnsi="宋体"/>
          <w:bCs/>
          <w:sz w:val="21"/>
          <w:szCs w:val="21"/>
        </w:rPr>
        <w:t>试验结果以管道接头、焊缝、管段无肉眼的可见的变形、以发泡剂检验无渗漏为合格。</w:t>
      </w:r>
    </w:p>
    <w:p>
      <w:pPr>
        <w:widowControl/>
        <w:snapToGrid w:val="0"/>
        <w:spacing w:line="360" w:lineRule="auto"/>
        <w:ind w:left="134" w:leftChars="67" w:firstLine="420" w:firstLineChars="200"/>
        <w:rPr>
          <w:rFonts w:ascii="宋体" w:hAnsi="宋体"/>
          <w:bCs/>
          <w:sz w:val="21"/>
          <w:szCs w:val="21"/>
        </w:rPr>
      </w:pPr>
      <w:r>
        <w:rPr>
          <w:rFonts w:hint="eastAsia" w:ascii="宋体" w:hAnsi="宋体"/>
          <w:bCs/>
          <w:sz w:val="21"/>
          <w:szCs w:val="21"/>
        </w:rPr>
        <w:t>系统泄漏率试验</w:t>
      </w:r>
      <w:r>
        <w:rPr>
          <w:rFonts w:ascii="宋体" w:hAnsi="宋体"/>
          <w:bCs/>
          <w:sz w:val="21"/>
          <w:szCs w:val="21"/>
        </w:rPr>
        <w:t>:</w:t>
      </w:r>
      <w:r>
        <w:rPr>
          <w:rFonts w:hint="eastAsia" w:ascii="宋体" w:hAnsi="宋体"/>
          <w:bCs/>
          <w:sz w:val="21"/>
          <w:szCs w:val="21"/>
        </w:rPr>
        <w:t>医用氧气管道强度试验合格后必须进行泄漏率试验</w:t>
      </w:r>
      <w:r>
        <w:rPr>
          <w:rFonts w:ascii="宋体" w:hAnsi="宋体"/>
          <w:bCs/>
          <w:sz w:val="21"/>
          <w:szCs w:val="21"/>
        </w:rPr>
        <w:t>,</w:t>
      </w:r>
      <w:r>
        <w:rPr>
          <w:rFonts w:hint="eastAsia" w:ascii="宋体" w:hAnsi="宋体"/>
          <w:bCs/>
          <w:sz w:val="21"/>
          <w:szCs w:val="21"/>
        </w:rPr>
        <w:t>试验介质为氮气或无油医用空气</w:t>
      </w:r>
      <w:r>
        <w:rPr>
          <w:rFonts w:ascii="宋体" w:hAnsi="宋体"/>
          <w:bCs/>
          <w:sz w:val="21"/>
          <w:szCs w:val="21"/>
        </w:rPr>
        <w:t>,</w:t>
      </w:r>
      <w:r>
        <w:rPr>
          <w:rFonts w:hint="eastAsia" w:ascii="宋体" w:hAnsi="宋体"/>
          <w:bCs/>
          <w:sz w:val="21"/>
          <w:szCs w:val="21"/>
        </w:rPr>
        <w:t>试验压力为管道设计压力</w:t>
      </w:r>
      <w:r>
        <w:rPr>
          <w:rFonts w:ascii="宋体" w:hAnsi="宋体"/>
          <w:bCs/>
          <w:sz w:val="21"/>
          <w:szCs w:val="21"/>
        </w:rPr>
        <w:t xml:space="preserve">, </w:t>
      </w:r>
      <w:r>
        <w:rPr>
          <w:rFonts w:hint="eastAsia" w:ascii="宋体" w:hAnsi="宋体"/>
          <w:bCs/>
          <w:sz w:val="21"/>
          <w:szCs w:val="21"/>
        </w:rPr>
        <w:t>试压</w:t>
      </w:r>
      <w:r>
        <w:rPr>
          <w:rFonts w:ascii="宋体" w:hAnsi="宋体"/>
          <w:bCs/>
          <w:sz w:val="21"/>
          <w:szCs w:val="21"/>
        </w:rPr>
        <w:t>24h</w:t>
      </w:r>
      <w:r>
        <w:rPr>
          <w:rFonts w:hint="eastAsia" w:ascii="宋体" w:hAnsi="宋体"/>
          <w:bCs/>
          <w:sz w:val="21"/>
          <w:szCs w:val="21"/>
        </w:rPr>
        <w:t>，试验结果氧气、医用空气系统每小时泄漏率不超过</w:t>
      </w:r>
      <w:r>
        <w:rPr>
          <w:rFonts w:ascii="宋体" w:hAnsi="宋体"/>
          <w:bCs/>
          <w:sz w:val="21"/>
          <w:szCs w:val="21"/>
        </w:rPr>
        <w:t>0.2%</w:t>
      </w:r>
      <w:r>
        <w:rPr>
          <w:rFonts w:hint="eastAsia" w:ascii="宋体" w:hAnsi="宋体"/>
          <w:bCs/>
          <w:sz w:val="21"/>
          <w:szCs w:val="21"/>
        </w:rPr>
        <w:t>为合格、医用吸引系统每小时因泄漏引起的增压率不超过</w:t>
      </w:r>
      <w:r>
        <w:rPr>
          <w:rFonts w:ascii="宋体" w:hAnsi="宋体"/>
          <w:bCs/>
          <w:sz w:val="21"/>
          <w:szCs w:val="21"/>
        </w:rPr>
        <w:t>1.0%</w:t>
      </w:r>
      <w:r>
        <w:rPr>
          <w:rFonts w:hint="eastAsia" w:ascii="宋体" w:hAnsi="宋体"/>
          <w:bCs/>
          <w:sz w:val="21"/>
          <w:szCs w:val="21"/>
        </w:rPr>
        <w:t>为合格。</w:t>
      </w:r>
    </w:p>
    <w:p>
      <w:pPr>
        <w:widowControl/>
        <w:snapToGrid w:val="0"/>
        <w:spacing w:line="360" w:lineRule="auto"/>
        <w:ind w:left="134" w:leftChars="67" w:firstLine="420" w:firstLineChars="200"/>
        <w:rPr>
          <w:rFonts w:ascii="宋体" w:hAnsi="宋体"/>
          <w:bCs/>
          <w:sz w:val="21"/>
          <w:szCs w:val="21"/>
        </w:rPr>
      </w:pPr>
      <w:r>
        <w:rPr>
          <w:rFonts w:hint="eastAsia" w:ascii="宋体" w:hAnsi="宋体"/>
          <w:bCs/>
          <w:sz w:val="21"/>
          <w:szCs w:val="21"/>
        </w:rPr>
        <w:t>系统吹扫</w:t>
      </w:r>
      <w:r>
        <w:rPr>
          <w:rFonts w:ascii="宋体" w:hAnsi="宋体"/>
          <w:bCs/>
          <w:sz w:val="21"/>
          <w:szCs w:val="21"/>
        </w:rPr>
        <w:t>:</w:t>
      </w:r>
      <w:r>
        <w:rPr>
          <w:rFonts w:hint="eastAsia" w:ascii="宋体" w:hAnsi="宋体"/>
          <w:bCs/>
          <w:sz w:val="21"/>
          <w:szCs w:val="21"/>
        </w:rPr>
        <w:t>医气管道强度泄漏试验合格后必须进行系统吹扫</w:t>
      </w:r>
      <w:r>
        <w:rPr>
          <w:rFonts w:ascii="宋体" w:hAnsi="宋体"/>
          <w:bCs/>
          <w:sz w:val="21"/>
          <w:szCs w:val="21"/>
        </w:rPr>
        <w:t>,</w:t>
      </w:r>
      <w:r>
        <w:rPr>
          <w:rFonts w:hint="eastAsia" w:ascii="宋体" w:hAnsi="宋体"/>
          <w:bCs/>
          <w:sz w:val="21"/>
          <w:szCs w:val="21"/>
        </w:rPr>
        <w:t>吹扫介质为氮气或无油医用空气，结果以出气口无杂质、干净为合格。</w:t>
      </w:r>
    </w:p>
    <w:p>
      <w:pPr>
        <w:widowControl/>
        <w:tabs>
          <w:tab w:val="left" w:pos="72"/>
          <w:tab w:val="left" w:pos="567"/>
        </w:tabs>
        <w:snapToGrid w:val="0"/>
        <w:spacing w:line="360" w:lineRule="auto"/>
        <w:ind w:left="142" w:firstLine="422" w:firstLineChars="200"/>
        <w:rPr>
          <w:rFonts w:ascii="宋体" w:hAnsi="宋体"/>
          <w:b/>
          <w:bCs/>
          <w:sz w:val="21"/>
          <w:szCs w:val="21"/>
        </w:rPr>
      </w:pPr>
      <w:r>
        <w:rPr>
          <w:rFonts w:hint="eastAsia" w:ascii="宋体" w:hAnsi="宋体"/>
          <w:b/>
          <w:bCs/>
          <w:sz w:val="21"/>
          <w:szCs w:val="21"/>
        </w:rPr>
        <w:t>4.吸引终端</w:t>
      </w:r>
    </w:p>
    <w:p>
      <w:pPr>
        <w:widowControl/>
        <w:snapToGrid w:val="0"/>
        <w:spacing w:line="360" w:lineRule="auto"/>
        <w:ind w:left="134" w:leftChars="67" w:firstLine="420" w:firstLineChars="200"/>
        <w:rPr>
          <w:rFonts w:ascii="宋体" w:hAnsi="宋体"/>
          <w:bCs/>
          <w:sz w:val="21"/>
          <w:szCs w:val="21"/>
        </w:rPr>
      </w:pPr>
      <w:r>
        <w:rPr>
          <w:rFonts w:hint="eastAsia" w:ascii="宋体" w:hAnsi="宋体"/>
          <w:bCs/>
          <w:sz w:val="21"/>
          <w:szCs w:val="21"/>
        </w:rPr>
        <w:t>终端采用快速自封插拔式接头，具有防插错结构。</w:t>
      </w:r>
    </w:p>
    <w:p>
      <w:pPr>
        <w:numPr>
          <w:ilvl w:val="1"/>
          <w:numId w:val="2"/>
        </w:numPr>
        <w:tabs>
          <w:tab w:val="left" w:pos="567"/>
        </w:tabs>
        <w:autoSpaceDE/>
        <w:autoSpaceDN/>
        <w:snapToGrid w:val="0"/>
        <w:spacing w:line="360" w:lineRule="auto"/>
        <w:ind w:left="0" w:firstLine="422" w:firstLineChars="200"/>
        <w:jc w:val="both"/>
        <w:rPr>
          <w:rFonts w:ascii="宋体" w:hAnsi="宋体"/>
          <w:b/>
          <w:sz w:val="21"/>
          <w:szCs w:val="21"/>
        </w:rPr>
      </w:pPr>
      <w:r>
        <w:rPr>
          <w:rFonts w:hint="eastAsia" w:ascii="宋体" w:hAnsi="宋体"/>
          <w:b/>
          <w:sz w:val="21"/>
          <w:szCs w:val="21"/>
        </w:rPr>
        <w:t>配套插座、开关、床头灯</w:t>
      </w:r>
    </w:p>
    <w:p>
      <w:pPr>
        <w:numPr>
          <w:ilvl w:val="2"/>
          <w:numId w:val="8"/>
        </w:numPr>
        <w:tabs>
          <w:tab w:val="left" w:pos="567"/>
        </w:tabs>
        <w:autoSpaceDE/>
        <w:autoSpaceDN/>
        <w:snapToGrid w:val="0"/>
        <w:spacing w:line="360" w:lineRule="auto"/>
        <w:ind w:left="0" w:firstLine="420" w:firstLineChars="200"/>
        <w:jc w:val="both"/>
        <w:rPr>
          <w:rFonts w:ascii="宋体" w:hAnsi="宋体" w:cs="宋体"/>
          <w:sz w:val="21"/>
          <w:szCs w:val="21"/>
        </w:rPr>
      </w:pPr>
      <w:r>
        <w:rPr>
          <w:rFonts w:hint="eastAsia" w:ascii="宋体" w:hAnsi="宋体" w:cs="宋体"/>
          <w:sz w:val="21"/>
          <w:szCs w:val="21"/>
        </w:rPr>
        <w:t>照明灯（</w:t>
      </w:r>
      <w:r>
        <w:rPr>
          <w:rFonts w:ascii="宋体" w:hAnsi="宋体" w:cs="宋体"/>
          <w:sz w:val="21"/>
          <w:szCs w:val="21"/>
        </w:rPr>
        <w:t>LED</w:t>
      </w:r>
      <w:r>
        <w:rPr>
          <w:rFonts w:hint="eastAsia" w:ascii="宋体" w:hAnsi="宋体" w:cs="宋体"/>
          <w:sz w:val="21"/>
          <w:szCs w:val="21"/>
        </w:rPr>
        <w:t>）</w:t>
      </w:r>
    </w:p>
    <w:p>
      <w:pPr>
        <w:tabs>
          <w:tab w:val="left" w:pos="567"/>
        </w:tabs>
        <w:snapToGrid w:val="0"/>
        <w:spacing w:line="360" w:lineRule="auto"/>
        <w:ind w:left="142" w:firstLine="420" w:firstLineChars="200"/>
        <w:rPr>
          <w:rFonts w:ascii="宋体" w:hAnsi="宋体" w:cs="宋体"/>
          <w:bCs/>
          <w:sz w:val="21"/>
          <w:szCs w:val="21"/>
        </w:rPr>
      </w:pPr>
      <w:r>
        <w:rPr>
          <w:rFonts w:hint="eastAsia" w:ascii="宋体" w:hAnsi="宋体" w:cs="宋体"/>
          <w:bCs/>
          <w:sz w:val="21"/>
          <w:szCs w:val="21"/>
        </w:rPr>
        <w:t>采用内嵌式下置T5照明灯，灯管选用优质节能LED灯管；外置防眩晕阻燃PVC灯罩；</w:t>
      </w:r>
    </w:p>
    <w:p>
      <w:pPr>
        <w:tabs>
          <w:tab w:val="left" w:pos="567"/>
        </w:tabs>
        <w:snapToGrid w:val="0"/>
        <w:spacing w:line="360" w:lineRule="auto"/>
        <w:ind w:left="142" w:firstLine="420" w:firstLineChars="200"/>
        <w:rPr>
          <w:rFonts w:ascii="宋体" w:hAnsi="宋体" w:cs="宋体"/>
          <w:sz w:val="21"/>
          <w:szCs w:val="21"/>
        </w:rPr>
      </w:pPr>
      <w:r>
        <w:rPr>
          <w:rFonts w:ascii="宋体" w:hAnsi="宋体" w:cs="宋体"/>
          <w:sz w:val="21"/>
          <w:szCs w:val="21"/>
        </w:rPr>
        <w:drawing>
          <wp:anchor distT="0" distB="0" distL="0" distR="0" simplePos="0" relativeHeight="251659264" behindDoc="1" locked="0" layoutInCell="1" allowOverlap="1">
            <wp:simplePos x="0" y="0"/>
            <wp:positionH relativeFrom="column">
              <wp:posOffset>9842500</wp:posOffset>
            </wp:positionH>
            <wp:positionV relativeFrom="paragraph">
              <wp:posOffset>62865</wp:posOffset>
            </wp:positionV>
            <wp:extent cx="876300" cy="866775"/>
            <wp:effectExtent l="0" t="0" r="0" b="9525"/>
            <wp:wrapNone/>
            <wp:docPr id="1026" name="AutoShape 3"/>
            <wp:cNvGraphicFramePr/>
            <a:graphic xmlns:a="http://schemas.openxmlformats.org/drawingml/2006/main">
              <a:graphicData uri="http://schemas.openxmlformats.org/drawingml/2006/picture">
                <pic:pic xmlns:pic="http://schemas.openxmlformats.org/drawingml/2006/picture">
                  <pic:nvPicPr>
                    <pic:cNvPr id="1026" name="AutoShape 3"/>
                    <pic:cNvPicPr/>
                  </pic:nvPicPr>
                  <pic:blipFill>
                    <a:blip r:embed="rId4" cstate="print"/>
                    <a:srcRect/>
                    <a:stretch>
                      <a:fillRect/>
                    </a:stretch>
                  </pic:blipFill>
                  <pic:spPr>
                    <a:xfrm>
                      <a:off x="0" y="0"/>
                      <a:ext cx="876300" cy="866775"/>
                    </a:xfrm>
                    <a:prstGeom prst="rect">
                      <a:avLst/>
                    </a:prstGeom>
                    <a:ln>
                      <a:noFill/>
                    </a:ln>
                  </pic:spPr>
                </pic:pic>
              </a:graphicData>
            </a:graphic>
          </wp:anchor>
        </w:drawing>
      </w:r>
      <w:r>
        <w:rPr>
          <w:rFonts w:ascii="宋体" w:hAnsi="宋体" w:cs="宋体"/>
          <w:sz w:val="21"/>
          <w:szCs w:val="21"/>
        </w:rPr>
        <w:drawing>
          <wp:anchor distT="0" distB="0" distL="0" distR="0" simplePos="0" relativeHeight="251659264" behindDoc="1" locked="0" layoutInCell="1" allowOverlap="1">
            <wp:simplePos x="0" y="0"/>
            <wp:positionH relativeFrom="column">
              <wp:posOffset>10922000</wp:posOffset>
            </wp:positionH>
            <wp:positionV relativeFrom="paragraph">
              <wp:posOffset>62865</wp:posOffset>
            </wp:positionV>
            <wp:extent cx="882015" cy="882015"/>
            <wp:effectExtent l="0" t="0" r="13334" b="13334"/>
            <wp:wrapNone/>
            <wp:docPr id="1027" name="AutoShape 4"/>
            <wp:cNvGraphicFramePr/>
            <a:graphic xmlns:a="http://schemas.openxmlformats.org/drawingml/2006/main">
              <a:graphicData uri="http://schemas.openxmlformats.org/drawingml/2006/picture">
                <pic:pic xmlns:pic="http://schemas.openxmlformats.org/drawingml/2006/picture">
                  <pic:nvPicPr>
                    <pic:cNvPr id="1027" name="AutoShape 4"/>
                    <pic:cNvPicPr/>
                  </pic:nvPicPr>
                  <pic:blipFill>
                    <a:blip r:embed="rId5" cstate="print"/>
                    <a:srcRect/>
                    <a:stretch>
                      <a:fillRect/>
                    </a:stretch>
                  </pic:blipFill>
                  <pic:spPr>
                    <a:xfrm>
                      <a:off x="0" y="0"/>
                      <a:ext cx="882015" cy="882013"/>
                    </a:xfrm>
                    <a:prstGeom prst="rect">
                      <a:avLst/>
                    </a:prstGeom>
                    <a:ln>
                      <a:noFill/>
                    </a:ln>
                  </pic:spPr>
                </pic:pic>
              </a:graphicData>
            </a:graphic>
          </wp:anchor>
        </w:drawing>
      </w:r>
      <w:r>
        <w:rPr>
          <w:rFonts w:hint="eastAsia" w:ascii="宋体" w:hAnsi="宋体" w:cs="宋体"/>
          <w:bCs/>
          <w:sz w:val="21"/>
          <w:szCs w:val="21"/>
        </w:rPr>
        <w:t>2.</w:t>
      </w:r>
      <w:r>
        <w:rPr>
          <w:rFonts w:hint="eastAsia" w:ascii="宋体" w:hAnsi="宋体" w:cs="宋体"/>
          <w:sz w:val="21"/>
          <w:szCs w:val="21"/>
        </w:rPr>
        <w:t>插座</w:t>
      </w:r>
    </w:p>
    <w:p>
      <w:pPr>
        <w:pStyle w:val="14"/>
        <w:adjustRightInd w:val="0"/>
        <w:snapToGrid w:val="0"/>
        <w:spacing w:line="360" w:lineRule="auto"/>
        <w:rPr>
          <w:rFonts w:ascii="宋体" w:hAnsi="宋体" w:cs="宋体"/>
          <w:bCs/>
          <w:kern w:val="0"/>
          <w:szCs w:val="21"/>
        </w:rPr>
      </w:pPr>
      <w:r>
        <w:rPr>
          <w:rFonts w:hint="eastAsia" w:ascii="宋体" w:hAnsi="宋体" w:cs="宋体"/>
          <w:bCs/>
          <w:kern w:val="0"/>
          <w:szCs w:val="21"/>
        </w:rPr>
        <w:t>电源插座采用国产优质十孔</w:t>
      </w:r>
      <w:r>
        <w:rPr>
          <w:rFonts w:ascii="宋体" w:hAnsi="宋体" w:cs="宋体"/>
          <w:bCs/>
          <w:kern w:val="0"/>
          <w:szCs w:val="21"/>
        </w:rPr>
        <w:t>(5+5)</w:t>
      </w:r>
      <w:r>
        <w:rPr>
          <w:rFonts w:hint="eastAsia" w:ascii="宋体" w:hAnsi="宋体" w:cs="宋体"/>
          <w:bCs/>
          <w:kern w:val="0"/>
          <w:szCs w:val="21"/>
        </w:rPr>
        <w:t>国标医疗多功能插座。</w:t>
      </w:r>
    </w:p>
    <w:p>
      <w:pPr>
        <w:tabs>
          <w:tab w:val="left" w:pos="567"/>
        </w:tabs>
        <w:snapToGrid w:val="0"/>
        <w:spacing w:line="360" w:lineRule="auto"/>
        <w:ind w:left="142" w:firstLine="420" w:firstLineChars="200"/>
        <w:rPr>
          <w:rFonts w:ascii="宋体" w:hAnsi="宋体" w:cs="宋体"/>
          <w:sz w:val="21"/>
          <w:szCs w:val="21"/>
        </w:rPr>
      </w:pPr>
      <w:r>
        <w:rPr>
          <w:rFonts w:hint="eastAsia" w:ascii="宋体" w:hAnsi="宋体" w:cs="宋体"/>
          <w:sz w:val="21"/>
          <w:szCs w:val="21"/>
        </w:rPr>
        <w:t>3.开关</w:t>
      </w:r>
    </w:p>
    <w:p>
      <w:pPr>
        <w:pStyle w:val="14"/>
        <w:adjustRightInd w:val="0"/>
        <w:snapToGrid w:val="0"/>
        <w:spacing w:line="360" w:lineRule="auto"/>
        <w:rPr>
          <w:rFonts w:ascii="宋体" w:hAnsi="宋体" w:cs="宋体"/>
          <w:bCs/>
          <w:kern w:val="0"/>
          <w:szCs w:val="21"/>
        </w:rPr>
      </w:pPr>
      <w:r>
        <w:rPr>
          <w:rFonts w:hint="eastAsia" w:ascii="宋体" w:hAnsi="宋体" w:cs="宋体"/>
          <w:bCs/>
          <w:kern w:val="0"/>
          <w:szCs w:val="21"/>
        </w:rPr>
        <w:t>电源开关采用国产优质一位大板开关。</w:t>
      </w:r>
    </w:p>
    <w:p>
      <w:pPr>
        <w:tabs>
          <w:tab w:val="left" w:pos="567"/>
        </w:tabs>
        <w:snapToGrid w:val="0"/>
        <w:spacing w:line="360" w:lineRule="auto"/>
        <w:ind w:left="142" w:firstLine="420" w:firstLineChars="200"/>
        <w:rPr>
          <w:rFonts w:asciiTheme="minorEastAsia" w:hAnsiTheme="minorEastAsia"/>
          <w:sz w:val="30"/>
          <w:szCs w:val="30"/>
        </w:rPr>
      </w:pPr>
      <w:r>
        <w:rPr>
          <w:rFonts w:hint="eastAsia" w:ascii="宋体" w:hAnsi="宋体" w:cs="宋体"/>
          <w:sz w:val="21"/>
          <w:szCs w:val="21"/>
        </w:rPr>
        <w:t>4.电源线</w:t>
      </w:r>
      <w:r>
        <w:rPr>
          <w:rFonts w:hint="eastAsia" w:hAnsi="宋体" w:cs="宋体"/>
          <w:bCs/>
        </w:rPr>
        <w:t>电源线把每条设备带上的插座、开关等连接起来。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lvlText w:val="%1."/>
      <w:lvlJc w:val="left"/>
      <w:pPr>
        <w:ind w:left="420" w:hanging="420"/>
      </w:pPr>
    </w:lvl>
    <w:lvl w:ilvl="1" w:tentative="0">
      <w:start w:val="1"/>
      <w:numFmt w:val="japaneseCounting"/>
      <w:lvlText w:val="（%2）"/>
      <w:lvlJc w:val="left"/>
      <w:pPr>
        <w:ind w:left="1140" w:hanging="720"/>
      </w:pPr>
      <w:rPr>
        <w:rFonts w:hint="default" w:hAnsi="宋体"/>
      </w:rPr>
    </w:lvl>
    <w:lvl w:ilvl="2" w:tentative="0">
      <w:start w:val="1"/>
      <w:numFmt w:val="decimal"/>
      <w:lvlText w:val="（%3）"/>
      <w:lvlJc w:val="left"/>
      <w:pPr>
        <w:ind w:left="1560" w:hanging="720"/>
      </w:pPr>
      <w:rPr>
        <w:rFonts w:hint="default" w:hAnsi="宋体"/>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4"/>
    <w:multiLevelType w:val="multilevel"/>
    <w:tmpl w:val="00000004"/>
    <w:lvl w:ilvl="0" w:tentative="0">
      <w:start w:val="1"/>
      <w:numFmt w:val="decimal"/>
      <w:lvlText w:val="%1."/>
      <w:lvlJc w:val="left"/>
      <w:pPr>
        <w:ind w:left="420" w:hanging="420"/>
      </w:pPr>
      <w:rPr>
        <w:rFonts w:hint="eastAsia"/>
      </w:rPr>
    </w:lvl>
    <w:lvl w:ilvl="1" w:tentative="0">
      <w:start w:val="1"/>
      <w:numFmt w:val="decimal"/>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5"/>
    <w:multiLevelType w:val="multilevel"/>
    <w:tmpl w:val="00000005"/>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6"/>
    <w:multiLevelType w:val="multilevel"/>
    <w:tmpl w:val="00000006"/>
    <w:lvl w:ilvl="0" w:tentative="0">
      <w:start w:val="1"/>
      <w:numFmt w:val="decimal"/>
      <w:lvlText w:val="%1."/>
      <w:lvlJc w:val="left"/>
      <w:pPr>
        <w:ind w:left="840" w:hanging="420"/>
      </w:pPr>
      <w:rPr>
        <w:rFonts w:hint="eastAsia"/>
      </w:rPr>
    </w:lvl>
    <w:lvl w:ilvl="1" w:tentative="0">
      <w:start w:val="1"/>
      <w:numFmt w:val="decimal"/>
      <w:lvlText w:val="(%2)"/>
      <w:lvlJc w:val="left"/>
      <w:pPr>
        <w:ind w:left="1200" w:hanging="360"/>
      </w:pPr>
      <w:rPr>
        <w:rFonts w:hint="default"/>
      </w:rPr>
    </w:lvl>
    <w:lvl w:ilvl="2" w:tentative="0">
      <w:start w:val="1"/>
      <w:numFmt w:val="decimal"/>
      <w:lvlText w:val="%3."/>
      <w:lvlJc w:val="left"/>
      <w:pPr>
        <w:ind w:left="1680" w:hanging="420"/>
      </w:pPr>
      <w:rPr>
        <w:rFonts w:hint="eastAsia"/>
      </w:r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00000007"/>
    <w:multiLevelType w:val="multilevel"/>
    <w:tmpl w:val="0000000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8"/>
    <w:multiLevelType w:val="multilevel"/>
    <w:tmpl w:val="00000008"/>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57044B9"/>
    <w:multiLevelType w:val="multilevel"/>
    <w:tmpl w:val="057044B9"/>
    <w:lvl w:ilvl="0" w:tentative="0">
      <w:start w:val="1"/>
      <w:numFmt w:val="japaneseCounting"/>
      <w:lvlText w:val="%1、"/>
      <w:lvlJc w:val="left"/>
      <w:pPr>
        <w:tabs>
          <w:tab w:val="left" w:pos="420"/>
        </w:tabs>
        <w:ind w:left="420" w:hanging="420"/>
      </w:pPr>
      <w:rPr>
        <w:rFonts w:ascii="宋体" w:hAnsi="宋体" w:eastAsia="宋体" w:cs="Courier New"/>
        <w:b/>
        <w:lang w:val="en-US"/>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E5CEDAB"/>
    <w:multiLevelType w:val="singleLevel"/>
    <w:tmpl w:val="1E5CEDAB"/>
    <w:lvl w:ilvl="0" w:tentative="0">
      <w:start w:val="1"/>
      <w:numFmt w:val="decimal"/>
      <w:suff w:val="nothing"/>
      <w:lvlText w:val="%1、"/>
      <w:lvlJc w:val="left"/>
    </w:lvl>
  </w:abstractNum>
  <w:num w:numId="1">
    <w:abstractNumId w:val="6"/>
  </w:num>
  <w:num w:numId="2">
    <w:abstractNumId w:val="0"/>
  </w:num>
  <w:num w:numId="3">
    <w:abstractNumId w:val="2"/>
  </w:num>
  <w:num w:numId="4">
    <w:abstractNumId w:val="5"/>
  </w:num>
  <w:num w:numId="5">
    <w:abstractNumId w:val="7"/>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1ZGE4YWZiZmMxZWYzNDg3YzZhNDE0ODhkNmM2NjYifQ=="/>
  </w:docVars>
  <w:rsids>
    <w:rsidRoot w:val="009E5499"/>
    <w:rsid w:val="000E0064"/>
    <w:rsid w:val="00112FCA"/>
    <w:rsid w:val="001D7805"/>
    <w:rsid w:val="004505CC"/>
    <w:rsid w:val="004A0B52"/>
    <w:rsid w:val="007E7792"/>
    <w:rsid w:val="008A182A"/>
    <w:rsid w:val="008B3CD5"/>
    <w:rsid w:val="009E5499"/>
    <w:rsid w:val="00EE3B99"/>
    <w:rsid w:val="00F51E91"/>
    <w:rsid w:val="37C23631"/>
    <w:rsid w:val="42470268"/>
    <w:rsid w:val="447C7AD2"/>
    <w:rsid w:val="7EF76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utoSpaceDE/>
      <w:autoSpaceDN/>
      <w:adjustRightInd/>
      <w:spacing w:line="560" w:lineRule="exact"/>
      <w:ind w:left="300"/>
      <w:jc w:val="both"/>
    </w:pPr>
    <w:rPr>
      <w:kern w:val="2"/>
      <w:sz w:val="24"/>
      <w:szCs w:val="24"/>
    </w:rPr>
  </w:style>
  <w:style w:type="paragraph" w:styleId="3">
    <w:name w:val="Plain Text"/>
    <w:basedOn w:val="1"/>
    <w:link w:val="15"/>
    <w:qFormat/>
    <w:uiPriority w:val="0"/>
    <w:pPr>
      <w:autoSpaceDE/>
      <w:autoSpaceDN/>
      <w:adjustRightInd/>
      <w:jc w:val="both"/>
    </w:pPr>
    <w:rPr>
      <w:rFonts w:ascii="宋体" w:hAnsi="Courier New" w:cs="Courier New"/>
      <w:kern w:val="2"/>
      <w:sz w:val="21"/>
      <w:szCs w:val="21"/>
    </w:rPr>
  </w:style>
  <w:style w:type="paragraph" w:styleId="4">
    <w:name w:val="footer"/>
    <w:basedOn w:val="1"/>
    <w:link w:val="17"/>
    <w:unhideWhenUsed/>
    <w:qFormat/>
    <w:uiPriority w:val="99"/>
    <w:pPr>
      <w:tabs>
        <w:tab w:val="center" w:pos="4153"/>
        <w:tab w:val="right" w:pos="8306"/>
      </w:tabs>
      <w:snapToGrid w:val="0"/>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qFormat/>
    <w:uiPriority w:val="10"/>
    <w:pPr>
      <w:spacing w:before="240" w:after="60"/>
      <w:jc w:val="center"/>
      <w:outlineLvl w:val="0"/>
    </w:pPr>
    <w:rPr>
      <w:rFonts w:ascii="Cambria" w:hAnsi="Cambria"/>
      <w:b/>
      <w:bCs/>
      <w:sz w:val="32"/>
      <w:szCs w:val="32"/>
    </w:rPr>
  </w:style>
  <w:style w:type="paragraph" w:styleId="7">
    <w:name w:val="Body Text First Indent 2"/>
    <w:basedOn w:val="2"/>
    <w:qFormat/>
    <w:uiPriority w:val="99"/>
    <w:pPr>
      <w:spacing w:after="120" w:line="240" w:lineRule="auto"/>
      <w:ind w:left="420" w:leftChars="200" w:firstLine="420" w:firstLineChars="200"/>
    </w:pPr>
    <w:rPr>
      <w:sz w:val="21"/>
    </w:rPr>
  </w:style>
  <w:style w:type="paragraph" w:customStyle="1" w:styleId="10">
    <w:name w:val="图"/>
    <w:basedOn w:val="1"/>
    <w:qFormat/>
    <w:uiPriority w:val="0"/>
    <w:pPr>
      <w:keepNext/>
      <w:autoSpaceDE/>
      <w:autoSpaceDN/>
      <w:spacing w:before="60" w:after="60" w:line="300" w:lineRule="auto"/>
      <w:jc w:val="center"/>
      <w:textAlignment w:val="center"/>
    </w:pPr>
    <w:rPr>
      <w:snapToGrid w:val="0"/>
      <w:spacing w:val="20"/>
      <w:sz w:val="24"/>
    </w:rPr>
  </w:style>
  <w:style w:type="paragraph" w:customStyle="1" w:styleId="11">
    <w:name w:val="Normal Indent_e0ea0af2-8986-4ffb-b3d6-159c4588d780"/>
    <w:basedOn w:val="1"/>
    <w:qFormat/>
    <w:uiPriority w:val="0"/>
    <w:pPr>
      <w:widowControl/>
      <w:autoSpaceDE/>
      <w:autoSpaceDN/>
      <w:adjustRightInd/>
      <w:ind w:firstLine="420"/>
    </w:pPr>
    <w:rPr>
      <w:sz w:val="21"/>
    </w:rPr>
  </w:style>
  <w:style w:type="paragraph" w:customStyle="1" w:styleId="12">
    <w:name w:val="纯文本1"/>
    <w:basedOn w:val="1"/>
    <w:qFormat/>
    <w:uiPriority w:val="0"/>
    <w:pPr>
      <w:autoSpaceDE/>
      <w:autoSpaceDN/>
      <w:jc w:val="both"/>
      <w:textAlignment w:val="baseline"/>
    </w:pPr>
    <w:rPr>
      <w:rFonts w:ascii="宋体" w:hAnsi="Courier New" w:eastAsia="楷体_GB2312"/>
      <w:kern w:val="2"/>
      <w:sz w:val="26"/>
      <w:szCs w:val="24"/>
    </w:rPr>
  </w:style>
  <w:style w:type="paragraph" w:customStyle="1" w:styleId="13">
    <w:name w:val="列出段落2"/>
    <w:basedOn w:val="1"/>
    <w:qFormat/>
    <w:uiPriority w:val="99"/>
    <w:pPr>
      <w:autoSpaceDE/>
      <w:autoSpaceDN/>
      <w:adjustRightInd/>
      <w:ind w:firstLine="420" w:firstLineChars="200"/>
      <w:jc w:val="both"/>
    </w:pPr>
    <w:rPr>
      <w:rFonts w:ascii="Calibri" w:hAnsi="Calibri"/>
      <w:kern w:val="2"/>
      <w:sz w:val="21"/>
      <w:szCs w:val="22"/>
    </w:rPr>
  </w:style>
  <w:style w:type="paragraph" w:customStyle="1" w:styleId="14">
    <w:name w:val="列出段落12"/>
    <w:basedOn w:val="1"/>
    <w:qFormat/>
    <w:uiPriority w:val="99"/>
    <w:pPr>
      <w:autoSpaceDE/>
      <w:autoSpaceDN/>
      <w:adjustRightInd/>
      <w:ind w:firstLine="420" w:firstLineChars="200"/>
      <w:jc w:val="both"/>
    </w:pPr>
    <w:rPr>
      <w:rFonts w:ascii="Calibri" w:hAnsi="Calibri"/>
      <w:kern w:val="2"/>
      <w:sz w:val="21"/>
    </w:rPr>
  </w:style>
  <w:style w:type="character" w:customStyle="1" w:styleId="15">
    <w:name w:val="纯文本 字符"/>
    <w:link w:val="3"/>
    <w:qFormat/>
    <w:uiPriority w:val="0"/>
    <w:rPr>
      <w:rFonts w:ascii="宋体" w:hAnsi="Courier New" w:cs="Courier New"/>
      <w:kern w:val="2"/>
      <w:sz w:val="21"/>
      <w:szCs w:val="21"/>
    </w:rPr>
  </w:style>
  <w:style w:type="character" w:customStyle="1" w:styleId="16">
    <w:name w:val="页眉 字符"/>
    <w:basedOn w:val="9"/>
    <w:link w:val="5"/>
    <w:qFormat/>
    <w:uiPriority w:val="99"/>
    <w:rPr>
      <w:sz w:val="18"/>
      <w:szCs w:val="18"/>
    </w:rPr>
  </w:style>
  <w:style w:type="character" w:customStyle="1" w:styleId="17">
    <w:name w:val="页脚 字符"/>
    <w:basedOn w:val="9"/>
    <w:link w:val="4"/>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3149</Words>
  <Characters>3632</Characters>
  <Lines>26</Lines>
  <Paragraphs>7</Paragraphs>
  <TotalTime>34</TotalTime>
  <ScaleCrop>false</ScaleCrop>
  <LinksUpToDate>false</LinksUpToDate>
  <CharactersWithSpaces>3647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2023-04-10T13:39:00Z</dcterms:created>
  <dc:creator>12458</dc:creator>
  <cp:lastModifiedBy>端木</cp:lastModifiedBy>
  <dcterms:modified xsi:type="dcterms:W3CDTF">2023-04-13T08:30:38Z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5C71774608F043619C2D3D384141339D</vt:lpwstr>
  </property>
</Properties>
</file>