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widowControl/>
        <w:spacing w:line="435" w:lineRule="atLeast"/>
        <w:ind w:left="0" w:leftChars="0" w:firstLine="0" w:firstLineChars="0"/>
        <w:jc w:val="center"/>
        <w:rPr>
          <w:rFonts w:ascii="宋体" w:hAnsi="宋体" w:eastAsia="宋体" w:cs="宋体"/>
          <w:kern w:val="0"/>
          <w:sz w:val="29"/>
          <w:szCs w:val="29"/>
        </w:rPr>
      </w:pPr>
      <w:r>
        <w:rPr>
          <w:rFonts w:hint="eastAsia" w:ascii="宋体" w:hAnsi="宋体" w:eastAsia="宋体" w:cs="宋体"/>
          <w:b/>
          <w:kern w:val="0"/>
          <w:sz w:val="29"/>
          <w:szCs w:val="29"/>
          <w:lang w:val="en-US" w:eastAsia="zh-CN"/>
        </w:rPr>
        <w:t>桂林市人民医院零星标识制作评分标准</w:t>
      </w:r>
    </w:p>
    <w:tbl>
      <w:tblPr>
        <w:tblStyle w:val="9"/>
        <w:tblpPr w:leftFromText="180" w:rightFromText="180" w:vertAnchor="text" w:horzAnchor="margin" w:tblpY="364"/>
        <w:tblW w:w="907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843"/>
        <w:gridCol w:w="1420"/>
        <w:gridCol w:w="4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序号</w:t>
            </w:r>
          </w:p>
        </w:tc>
        <w:tc>
          <w:tcPr>
            <w:tcW w:w="3263" w:type="dxa"/>
            <w:gridSpan w:val="2"/>
            <w:tcBorders>
              <w:tl2br w:val="nil"/>
              <w:tr2bl w:val="nil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评审因素</w:t>
            </w:r>
          </w:p>
        </w:tc>
        <w:tc>
          <w:tcPr>
            <w:tcW w:w="496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评审标准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85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eastAsia="zh-CN"/>
              </w:rPr>
              <w:t>商务评审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（50分）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价格分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  <w:t>50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分）</w:t>
            </w:r>
          </w:p>
        </w:tc>
        <w:tc>
          <w:tcPr>
            <w:tcW w:w="4960" w:type="dxa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Theme="minorEastAsia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</w:rPr>
              <w:t>1.</w:t>
            </w: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由宣传科根据日常制作数量、总价选定需要重点评价的项目。</w:t>
            </w:r>
          </w:p>
          <w:p>
            <w:pPr>
              <w:spacing w:line="400" w:lineRule="exac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以进入详细评审环节的有效投标人的</w:t>
            </w:r>
            <w:r>
              <w:rPr>
                <w:rFonts w:hint="eastAsia" w:ascii="宋体" w:hAnsi="宋体"/>
                <w:bCs/>
                <w:kern w:val="0"/>
                <w:szCs w:val="21"/>
                <w:lang w:eastAsia="zh-CN"/>
              </w:rPr>
              <w:t>上述项目的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最低投标报价为评标基准价，评标基准价报价得分为50分。</w:t>
            </w:r>
            <w:bookmarkStart w:id="0" w:name="_GoBack"/>
            <w:bookmarkEnd w:id="0"/>
          </w:p>
          <w:p>
            <w:pPr>
              <w:spacing w:line="400" w:lineRule="exact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kern w:val="0"/>
                <w:szCs w:val="21"/>
              </w:rPr>
              <w:t>.投标人价格分=（评标基准价/投标人的投标报价）×50分。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0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技术评审（40分）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1.总体概述</w:t>
            </w:r>
            <w:r>
              <w:rPr>
                <w:rFonts w:ascii="宋体" w:hAnsi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分</w:t>
            </w:r>
            <w:r>
              <w:rPr>
                <w:rFonts w:ascii="宋体" w:hAnsi="宋体"/>
                <w:b/>
                <w:kern w:val="0"/>
                <w:szCs w:val="21"/>
              </w:rPr>
              <w:t>）</w:t>
            </w:r>
          </w:p>
        </w:tc>
        <w:tc>
          <w:tcPr>
            <w:tcW w:w="49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）：对</w:t>
            </w:r>
            <w:r>
              <w:rPr>
                <w:rFonts w:hint="eastAsia" w:ascii="宋体" w:hAnsi="宋体"/>
                <w:szCs w:val="21"/>
                <w:lang w:eastAsia="zh-CN"/>
              </w:rPr>
              <w:t>医院视觉导视系统</w:t>
            </w:r>
            <w:r>
              <w:rPr>
                <w:rFonts w:hint="eastAsia" w:ascii="宋体" w:hAnsi="宋体"/>
                <w:szCs w:val="21"/>
              </w:rPr>
              <w:t>总体有深刻认识，表达清晰、完整，措施具体、有效；</w:t>
            </w:r>
            <w:r>
              <w:rPr>
                <w:rFonts w:hint="eastAsia" w:ascii="宋体" w:hAnsi="宋体"/>
                <w:szCs w:val="21"/>
                <w:lang w:eastAsia="zh-CN"/>
              </w:rPr>
              <w:t>设计、制作、安装、维护各个阶段</w:t>
            </w:r>
            <w:r>
              <w:rPr>
                <w:rFonts w:hint="eastAsia" w:ascii="宋体" w:hAnsi="宋体"/>
                <w:szCs w:val="21"/>
              </w:rPr>
              <w:t>清晰、合理，符合规范要求。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良（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）：对项目总体有一定认识，表达较清晰、较完整，措施有效；</w:t>
            </w:r>
            <w:r>
              <w:rPr>
                <w:rFonts w:hint="eastAsia" w:ascii="宋体" w:hAnsi="宋体"/>
                <w:szCs w:val="21"/>
                <w:lang w:eastAsia="zh-CN"/>
              </w:rPr>
              <w:t>设计、维护各个阶段</w:t>
            </w:r>
            <w:r>
              <w:rPr>
                <w:rFonts w:hint="eastAsia" w:ascii="宋体" w:hAnsi="宋体"/>
                <w:szCs w:val="21"/>
              </w:rPr>
              <w:t>较清晰，符合规范要求。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）：对项目总体有认识，有一定的措施但部分不具体；</w:t>
            </w:r>
            <w:r>
              <w:rPr>
                <w:rFonts w:hint="eastAsia" w:ascii="宋体" w:hAnsi="宋体"/>
                <w:szCs w:val="21"/>
                <w:lang w:eastAsia="zh-CN"/>
              </w:rPr>
              <w:t>设计维护各个阶段</w:t>
            </w:r>
            <w:r>
              <w:rPr>
                <w:rFonts w:hint="eastAsia" w:ascii="宋体" w:hAnsi="宋体"/>
                <w:szCs w:val="21"/>
              </w:rPr>
              <w:t>较合理，符合规范要求。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差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分）</w:t>
            </w:r>
            <w:r>
              <w:rPr>
                <w:rFonts w:ascii="宋体" w:hAnsi="宋体" w:cs="宋体"/>
                <w:szCs w:val="21"/>
              </w:rPr>
              <w:t>：对项目认识不足，表达不清晰，措施不具体。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2.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eastAsia="zh-CN"/>
              </w:rPr>
              <w:t>产品质量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分）</w:t>
            </w:r>
          </w:p>
        </w:tc>
        <w:tc>
          <w:tcPr>
            <w:tcW w:w="49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hint="eastAsia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优（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</w:t>
            </w:r>
            <w:r>
              <w:rPr>
                <w:rFonts w:hint="eastAsia" w:ascii="宋体" w:hAnsi="宋体"/>
                <w:szCs w:val="21"/>
                <w:lang w:eastAsia="zh-CN"/>
              </w:rPr>
              <w:t>样品颜色与工艺与甲方整体标识标牌保持高度一致性，不同工艺之间色差控制精细。</w:t>
            </w:r>
          </w:p>
          <w:p>
            <w:pPr>
              <w:widowControl/>
              <w:spacing w:line="36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良（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</w:t>
            </w:r>
            <w:r>
              <w:rPr>
                <w:rFonts w:hint="eastAsia" w:ascii="宋体" w:hAnsi="宋体"/>
                <w:szCs w:val="21"/>
                <w:lang w:eastAsia="zh-CN"/>
              </w:rPr>
              <w:t>样品颜色与工艺与甲方整体标识标牌一致性保持较好，不同工艺之间色差控制较好。</w:t>
            </w:r>
          </w:p>
          <w:p>
            <w:pPr>
              <w:widowControl/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中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</w:t>
            </w:r>
            <w:r>
              <w:rPr>
                <w:rFonts w:hint="eastAsia" w:ascii="宋体" w:hAnsi="宋体"/>
                <w:szCs w:val="21"/>
                <w:lang w:eastAsia="zh-CN"/>
              </w:rPr>
              <w:t>样品颜色与工艺与甲方整体标识标牌基本保持一致，不同工艺之间有较明显的色差。</w:t>
            </w:r>
          </w:p>
          <w:p>
            <w:pPr>
              <w:widowControl/>
              <w:spacing w:line="360" w:lineRule="exac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差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</w:t>
            </w:r>
            <w:r>
              <w:rPr>
                <w:rFonts w:hint="eastAsia" w:ascii="宋体" w:hAnsi="宋体"/>
                <w:szCs w:val="21"/>
                <w:lang w:eastAsia="zh-CN"/>
              </w:rPr>
              <w:t>一致性较差，不同工艺材料色差明显。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3.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售后方案</w:t>
            </w:r>
            <w:r>
              <w:rPr>
                <w:rFonts w:ascii="宋体" w:hAnsi="宋体"/>
                <w:b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分</w:t>
            </w:r>
            <w:r>
              <w:rPr>
                <w:rFonts w:ascii="宋体" w:hAnsi="宋体"/>
                <w:b/>
                <w:kern w:val="0"/>
                <w:szCs w:val="21"/>
              </w:rPr>
              <w:t>）</w:t>
            </w:r>
          </w:p>
        </w:tc>
        <w:tc>
          <w:tcPr>
            <w:tcW w:w="49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优（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</w:t>
            </w:r>
            <w:r>
              <w:t>投标人的售后服务方案可行、完善、便捷，优于招标要求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良（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</w:t>
            </w:r>
            <w:r>
              <w:t>投标人的售后服务方案较为完善，满足招标要求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  <w:r>
              <w:rPr>
                <w:rFonts w:ascii="宋体" w:hAnsi="宋体" w:cs="宋体"/>
                <w:szCs w:val="21"/>
              </w:rPr>
              <w:t>分</w:t>
            </w:r>
            <w:r>
              <w:rPr>
                <w:rFonts w:hint="eastAsia" w:ascii="宋体" w:hAnsi="宋体"/>
                <w:szCs w:val="21"/>
              </w:rPr>
              <w:t>）：</w:t>
            </w:r>
            <w:r>
              <w:t>投标人的售后服务技术方案不完善，基本满足招标要求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trike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差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分）</w:t>
            </w:r>
            <w:r>
              <w:rPr>
                <w:rFonts w:ascii="宋体" w:hAnsi="宋体" w:cs="宋体"/>
                <w:szCs w:val="21"/>
              </w:rPr>
              <w:t>：</w:t>
            </w:r>
            <w:r>
              <w:rPr>
                <w:rFonts w:hint="eastAsia"/>
                <w:lang w:eastAsia="zh-CN"/>
              </w:rPr>
              <w:t>投标人售后服务方案不完善，不能满足招标要求</w:t>
            </w:r>
            <w:r>
              <w:rPr>
                <w:rFonts w:ascii="宋体" w:hAnsi="宋体" w:cs="宋体"/>
                <w:szCs w:val="21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2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企业信誉实力评审（满分10分）</w:t>
            </w:r>
          </w:p>
        </w:tc>
        <w:tc>
          <w:tcPr>
            <w:tcW w:w="49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szCs w:val="21"/>
              </w:rPr>
            </w:pPr>
            <w:r>
              <w:t>投标人承接的同类项目（广告牌制作、标识制作、标识装修类）业绩，每提供一个得2分，最高得</w:t>
            </w:r>
            <w:r>
              <w:rPr>
                <w:rFonts w:hint="eastAsia"/>
                <w:lang w:val="en-US" w:eastAsia="zh-CN"/>
              </w:rPr>
              <w:t>10</w:t>
            </w:r>
            <w:r>
              <w:t>分。 （注：须提供合同关键页复印件（含签订合同双方的单位名称、合同标的内容与签订合同双方的落款盖章、签订日期的关键页），未按要求提供相关证明材料的不得分）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41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综合评分（即投标人汇总得分）</w:t>
            </w:r>
          </w:p>
        </w:tc>
        <w:tc>
          <w:tcPr>
            <w:tcW w:w="49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投标人汇总得分=该投标人的商务评审得分+技术评审得分+企业信誉实力评审得分</w:t>
            </w:r>
          </w:p>
        </w:tc>
      </w:tr>
    </w:tbl>
    <w:p>
      <w:pPr>
        <w:widowControl/>
        <w:spacing w:line="435" w:lineRule="atLeast"/>
        <w:jc w:val="left"/>
        <w:rPr>
          <w:rFonts w:ascii="宋体" w:hAnsi="宋体" w:eastAsia="宋体" w:cs="宋体"/>
          <w:kern w:val="0"/>
          <w:sz w:val="29"/>
          <w:szCs w:val="29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dmMTVmYzQyZTE1ZmJkNTk2NzViZWM1YWIzMTMzODUifQ=="/>
  </w:docVars>
  <w:rsids>
    <w:rsidRoot w:val="00B95CF1"/>
    <w:rsid w:val="000B0A9A"/>
    <w:rsid w:val="001029D1"/>
    <w:rsid w:val="0017163E"/>
    <w:rsid w:val="00194150"/>
    <w:rsid w:val="001D1B09"/>
    <w:rsid w:val="0025077F"/>
    <w:rsid w:val="002A150A"/>
    <w:rsid w:val="00313B83"/>
    <w:rsid w:val="0033209E"/>
    <w:rsid w:val="00352513"/>
    <w:rsid w:val="004963B7"/>
    <w:rsid w:val="004A1A54"/>
    <w:rsid w:val="004D610A"/>
    <w:rsid w:val="00561ACC"/>
    <w:rsid w:val="005C179F"/>
    <w:rsid w:val="005D0B83"/>
    <w:rsid w:val="005E002E"/>
    <w:rsid w:val="005E4C97"/>
    <w:rsid w:val="006760FB"/>
    <w:rsid w:val="006F6885"/>
    <w:rsid w:val="00792572"/>
    <w:rsid w:val="007F506B"/>
    <w:rsid w:val="00AC055F"/>
    <w:rsid w:val="00B16B24"/>
    <w:rsid w:val="00B216E2"/>
    <w:rsid w:val="00B35DDE"/>
    <w:rsid w:val="00B47AFE"/>
    <w:rsid w:val="00B51566"/>
    <w:rsid w:val="00B95CF1"/>
    <w:rsid w:val="00CB1DF1"/>
    <w:rsid w:val="00CC3353"/>
    <w:rsid w:val="00D21E5A"/>
    <w:rsid w:val="00D567B3"/>
    <w:rsid w:val="00E40232"/>
    <w:rsid w:val="00E44E28"/>
    <w:rsid w:val="00E82AC0"/>
    <w:rsid w:val="00EC7220"/>
    <w:rsid w:val="00EE6302"/>
    <w:rsid w:val="00F2557C"/>
    <w:rsid w:val="05E914F2"/>
    <w:rsid w:val="077F1302"/>
    <w:rsid w:val="09755A39"/>
    <w:rsid w:val="0B13248D"/>
    <w:rsid w:val="103F5AD3"/>
    <w:rsid w:val="10F97B9F"/>
    <w:rsid w:val="12AD1419"/>
    <w:rsid w:val="141A61AC"/>
    <w:rsid w:val="1557198F"/>
    <w:rsid w:val="16D01B7A"/>
    <w:rsid w:val="18153A05"/>
    <w:rsid w:val="22641074"/>
    <w:rsid w:val="288D3427"/>
    <w:rsid w:val="2AC62C21"/>
    <w:rsid w:val="2C02237E"/>
    <w:rsid w:val="31BE3902"/>
    <w:rsid w:val="331A61FF"/>
    <w:rsid w:val="39622040"/>
    <w:rsid w:val="3CB22B76"/>
    <w:rsid w:val="3F373C95"/>
    <w:rsid w:val="420A5259"/>
    <w:rsid w:val="42CD2946"/>
    <w:rsid w:val="43385AD2"/>
    <w:rsid w:val="469F284C"/>
    <w:rsid w:val="46DA56D2"/>
    <w:rsid w:val="4A3414FD"/>
    <w:rsid w:val="4A722025"/>
    <w:rsid w:val="53B04B85"/>
    <w:rsid w:val="55EC7112"/>
    <w:rsid w:val="57747117"/>
    <w:rsid w:val="6BAF2EC6"/>
    <w:rsid w:val="6D7452C0"/>
    <w:rsid w:val="745E5245"/>
    <w:rsid w:val="7859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标题 1 Char"/>
    <w:basedOn w:val="10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10"/>
    <w:link w:val="5"/>
    <w:semiHidden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1473</Words>
  <Characters>1587</Characters>
  <Lines>18</Lines>
  <Paragraphs>5</Paragraphs>
  <TotalTime>6</TotalTime>
  <ScaleCrop>false</ScaleCrop>
  <LinksUpToDate>false</LinksUpToDate>
  <CharactersWithSpaces>1587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2021-09-23T10:33:00Z</dcterms:created>
  <dc:creator>PC</dc:creator>
  <cp:lastModifiedBy>H.小薇</cp:lastModifiedBy>
  <dcterms:modified xsi:type="dcterms:W3CDTF">2023-09-26T03:20:22Z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4A9887091A7B401CB02DA027743C06DD</vt:lpwstr>
  </property>
</Properties>
</file>