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6091E">
      <w:pPr>
        <w:pStyle w:val="6"/>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38F53B9">
      <w:pPr>
        <w:pStyle w:val="6"/>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5C85F128">
      <w:pPr>
        <w:pStyle w:val="6"/>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6144C756">
      <w:pPr>
        <w:pStyle w:val="6"/>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73667C7">
      <w:pPr>
        <w:pStyle w:val="6"/>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B557D9A">
      <w:pPr>
        <w:pStyle w:val="6"/>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420016EB">
      <w:pPr>
        <w:pStyle w:val="6"/>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eastAsia="zh-CN"/>
        </w:rPr>
      </w:pPr>
      <w:r>
        <w:rPr>
          <w:rFonts w:hint="eastAsia" w:ascii="宋体" w:hAnsi="宋体" w:eastAsia="宋体" w:cs="宋体"/>
          <w:b/>
          <w:bCs/>
          <w:sz w:val="48"/>
          <w:szCs w:val="48"/>
        </w:rPr>
        <w:t>桂林市人民医院数字化病案管理系统服务</w:t>
      </w:r>
    </w:p>
    <w:p w14:paraId="6290AF5B">
      <w:pPr>
        <w:pStyle w:val="6"/>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385300CA">
      <w:pPr>
        <w:pStyle w:val="6"/>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7224530C">
      <w:pPr>
        <w:pStyle w:val="6"/>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1788B804">
      <w:pPr>
        <w:pStyle w:val="6"/>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招标文件</w:t>
      </w:r>
    </w:p>
    <w:p w14:paraId="5FB73F43">
      <w:pPr>
        <w:pStyle w:val="6"/>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520B8560">
      <w:pPr>
        <w:pStyle w:val="6"/>
        <w:pageBreakBefore w:val="0"/>
        <w:kinsoku/>
        <w:wordWrap/>
        <w:overflowPunct/>
        <w:topLinePunct w:val="0"/>
        <w:bidi w:val="0"/>
        <w:spacing w:line="440" w:lineRule="exact"/>
        <w:ind w:firstLine="2695"/>
        <w:textAlignment w:val="auto"/>
        <w:rPr>
          <w:rFonts w:ascii="Arial" w:hAnsi="Arial" w:cs="Arial"/>
          <w:sz w:val="24"/>
          <w:szCs w:val="24"/>
        </w:rPr>
      </w:pPr>
    </w:p>
    <w:p w14:paraId="282CE2C1">
      <w:pPr>
        <w:pStyle w:val="6"/>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C4D47">
      <w:pPr>
        <w:pStyle w:val="6"/>
        <w:pageBreakBefore w:val="0"/>
        <w:kinsoku/>
        <w:wordWrap/>
        <w:overflowPunct/>
        <w:topLinePunct w:val="0"/>
        <w:bidi w:val="0"/>
        <w:spacing w:line="440" w:lineRule="exact"/>
        <w:ind w:firstLine="2695"/>
        <w:textAlignment w:val="auto"/>
        <w:rPr>
          <w:rFonts w:ascii="Arial" w:hAnsi="Arial" w:cs="Arial"/>
          <w:sz w:val="28"/>
        </w:rPr>
      </w:pPr>
    </w:p>
    <w:p w14:paraId="1EA401ED">
      <w:pPr>
        <w:pStyle w:val="6"/>
        <w:pageBreakBefore w:val="0"/>
        <w:kinsoku/>
        <w:wordWrap/>
        <w:overflowPunct/>
        <w:topLinePunct w:val="0"/>
        <w:bidi w:val="0"/>
        <w:spacing w:line="440" w:lineRule="exact"/>
        <w:ind w:firstLine="2695"/>
        <w:textAlignment w:val="auto"/>
        <w:rPr>
          <w:rFonts w:ascii="Arial" w:hAnsi="Arial" w:cs="Arial"/>
          <w:sz w:val="28"/>
        </w:rPr>
      </w:pPr>
    </w:p>
    <w:p w14:paraId="0E5DA59D">
      <w:pPr>
        <w:pStyle w:val="6"/>
        <w:pageBreakBefore w:val="0"/>
        <w:kinsoku/>
        <w:wordWrap/>
        <w:overflowPunct/>
        <w:topLinePunct w:val="0"/>
        <w:bidi w:val="0"/>
        <w:spacing w:line="440" w:lineRule="exact"/>
        <w:ind w:firstLine="2695"/>
        <w:textAlignment w:val="auto"/>
        <w:rPr>
          <w:rFonts w:ascii="Arial" w:hAnsi="Arial" w:cs="Arial"/>
          <w:sz w:val="28"/>
        </w:rPr>
      </w:pPr>
    </w:p>
    <w:p w14:paraId="06158B38">
      <w:pPr>
        <w:pStyle w:val="6"/>
        <w:pageBreakBefore w:val="0"/>
        <w:kinsoku/>
        <w:wordWrap/>
        <w:overflowPunct/>
        <w:topLinePunct w:val="0"/>
        <w:bidi w:val="0"/>
        <w:spacing w:line="440" w:lineRule="exact"/>
        <w:ind w:firstLine="2695"/>
        <w:textAlignment w:val="auto"/>
        <w:rPr>
          <w:rFonts w:ascii="Arial" w:hAnsi="Arial" w:cs="Arial"/>
          <w:sz w:val="28"/>
        </w:rPr>
      </w:pPr>
    </w:p>
    <w:p w14:paraId="44231CD6">
      <w:pPr>
        <w:pStyle w:val="6"/>
        <w:pageBreakBefore w:val="0"/>
        <w:kinsoku/>
        <w:wordWrap/>
        <w:overflowPunct/>
        <w:topLinePunct w:val="0"/>
        <w:bidi w:val="0"/>
        <w:spacing w:line="440" w:lineRule="exact"/>
        <w:textAlignment w:val="auto"/>
        <w:rPr>
          <w:rFonts w:ascii="Arial" w:hAnsi="Arial" w:cs="Arial"/>
          <w:sz w:val="28"/>
        </w:rPr>
      </w:pPr>
    </w:p>
    <w:p w14:paraId="4E86A918">
      <w:pPr>
        <w:pStyle w:val="6"/>
        <w:pageBreakBefore w:val="0"/>
        <w:kinsoku/>
        <w:wordWrap/>
        <w:overflowPunct/>
        <w:topLinePunct w:val="0"/>
        <w:bidi w:val="0"/>
        <w:spacing w:line="440" w:lineRule="exact"/>
        <w:textAlignment w:val="auto"/>
        <w:rPr>
          <w:rFonts w:ascii="Arial" w:hAnsi="Arial" w:cs="Arial"/>
          <w:sz w:val="28"/>
        </w:rPr>
      </w:pPr>
    </w:p>
    <w:p w14:paraId="1205D976">
      <w:pPr>
        <w:pStyle w:val="6"/>
        <w:pageBreakBefore w:val="0"/>
        <w:kinsoku/>
        <w:wordWrap/>
        <w:overflowPunct/>
        <w:topLinePunct w:val="0"/>
        <w:bidi w:val="0"/>
        <w:spacing w:line="440" w:lineRule="exact"/>
        <w:textAlignment w:val="auto"/>
        <w:rPr>
          <w:rFonts w:ascii="Arial" w:hAnsi="Arial" w:cs="Arial"/>
          <w:sz w:val="28"/>
        </w:rPr>
      </w:pPr>
    </w:p>
    <w:p w14:paraId="3B2A31E6">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1</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18 </w:t>
      </w:r>
      <w:r>
        <w:rPr>
          <w:rFonts w:hint="eastAsia" w:ascii="宋体" w:hAnsi="宋体" w:eastAsia="宋体" w:cs="宋体"/>
          <w:b/>
          <w:bCs/>
          <w:sz w:val="36"/>
          <w:szCs w:val="36"/>
          <w:highlight w:val="none"/>
          <w:lang w:val="en-US" w:eastAsia="zh-CN"/>
        </w:rPr>
        <w:t>日</w:t>
      </w:r>
    </w:p>
    <w:p w14:paraId="680C5ED8">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6C1C888">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9F767DA">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755E0338">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7DA936F1">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047EC262">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03A7D092">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4D1C5B2C">
      <w:pPr>
        <w:pStyle w:val="6"/>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73431D">
      <w:pPr>
        <w:pStyle w:val="21"/>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71E2263F">
      <w:pPr>
        <w:pageBreakBefore w:val="0"/>
        <w:kinsoku/>
        <w:wordWrap/>
        <w:overflowPunct/>
        <w:topLinePunct w:val="0"/>
        <w:bidi w:val="0"/>
        <w:spacing w:line="440" w:lineRule="exact"/>
        <w:textAlignment w:val="auto"/>
      </w:pPr>
    </w:p>
    <w:p w14:paraId="4BB20BF5">
      <w:pPr>
        <w:pStyle w:val="5"/>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16"/>
          <w:rFonts w:ascii="Arial" w:hAnsi="Arial" w:cs="Arial"/>
          <w:color w:val="auto"/>
          <w:sz w:val="24"/>
        </w:rPr>
        <w:instrText xml:space="preserve"> </w:instrText>
      </w:r>
      <w:r>
        <w:rPr>
          <w:rFonts w:ascii="Arial" w:hAnsi="Arial" w:cs="Arial"/>
          <w:sz w:val="24"/>
        </w:rPr>
        <w:instrText xml:space="preserve">HYPERLINK \l "_Toc33820534"</w:instrText>
      </w:r>
      <w:r>
        <w:rPr>
          <w:rStyle w:val="16"/>
          <w:rFonts w:ascii="Arial" w:hAnsi="Arial" w:cs="Arial"/>
          <w:color w:val="auto"/>
          <w:sz w:val="24"/>
        </w:rPr>
        <w:instrText xml:space="preserve"> </w:instrText>
      </w:r>
      <w:r>
        <w:rPr>
          <w:rFonts w:ascii="Arial" w:hAnsi="Arial" w:cs="Arial"/>
          <w:sz w:val="24"/>
        </w:rPr>
        <w:fldChar w:fldCharType="separate"/>
      </w:r>
      <w:r>
        <w:rPr>
          <w:rStyle w:val="16"/>
          <w:rFonts w:ascii="Arial" w:cs="Arial"/>
          <w:color w:val="auto"/>
          <w:sz w:val="24"/>
        </w:rPr>
        <w:t>第一章</w:t>
      </w:r>
      <w:r>
        <w:rPr>
          <w:rStyle w:val="16"/>
          <w:rFonts w:ascii="Arial" w:hAnsi="Arial" w:cs="Arial"/>
          <w:color w:val="auto"/>
          <w:sz w:val="24"/>
        </w:rPr>
        <w:t xml:space="preserve">  </w:t>
      </w:r>
      <w:r>
        <w:rPr>
          <w:rStyle w:val="16"/>
          <w:rFonts w:ascii="Arial" w:cs="Arial"/>
          <w:color w:val="auto"/>
          <w:sz w:val="24"/>
        </w:rPr>
        <w:t>招标公告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7A7D72B1">
      <w:pPr>
        <w:pStyle w:val="5"/>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16"/>
          <w:rFonts w:ascii="Arial" w:hAnsi="Arial" w:cs="Arial"/>
          <w:color w:val="auto"/>
          <w:sz w:val="24"/>
        </w:rPr>
        <w:instrText xml:space="preserve"> </w:instrText>
      </w:r>
      <w:r>
        <w:rPr>
          <w:rFonts w:ascii="Arial" w:hAnsi="Arial" w:cs="Arial"/>
          <w:sz w:val="24"/>
        </w:rPr>
        <w:instrText xml:space="preserve">HYPERLINK \l "_Toc33820536"</w:instrText>
      </w:r>
      <w:r>
        <w:rPr>
          <w:rStyle w:val="16"/>
          <w:rFonts w:ascii="Arial" w:hAnsi="Arial" w:cs="Arial"/>
          <w:color w:val="auto"/>
          <w:sz w:val="24"/>
        </w:rPr>
        <w:instrText xml:space="preserve"> </w:instrText>
      </w:r>
      <w:r>
        <w:rPr>
          <w:rFonts w:ascii="Arial" w:hAnsi="Arial" w:cs="Arial"/>
          <w:sz w:val="24"/>
        </w:rPr>
        <w:fldChar w:fldCharType="separate"/>
      </w:r>
      <w:r>
        <w:rPr>
          <w:rStyle w:val="16"/>
          <w:rFonts w:ascii="Arial" w:cs="Arial"/>
          <w:color w:val="auto"/>
          <w:sz w:val="24"/>
        </w:rPr>
        <w:t>第</w:t>
      </w:r>
      <w:r>
        <w:rPr>
          <w:rStyle w:val="16"/>
          <w:rFonts w:hint="eastAsia" w:ascii="Arial" w:cs="Arial"/>
          <w:color w:val="auto"/>
          <w:sz w:val="24"/>
          <w:lang w:val="en-US" w:eastAsia="zh-CN"/>
        </w:rPr>
        <w:t>二</w:t>
      </w:r>
      <w:r>
        <w:rPr>
          <w:rStyle w:val="16"/>
          <w:rFonts w:ascii="Arial" w:cs="Arial"/>
          <w:color w:val="auto"/>
          <w:sz w:val="24"/>
        </w:rPr>
        <w:t>章</w:t>
      </w:r>
      <w:r>
        <w:rPr>
          <w:rStyle w:val="16"/>
          <w:rFonts w:ascii="Arial" w:hAnsi="Arial" w:cs="Arial"/>
          <w:color w:val="auto"/>
          <w:sz w:val="24"/>
        </w:rPr>
        <w:t xml:space="preserve">  </w:t>
      </w:r>
      <w:r>
        <w:rPr>
          <w:rStyle w:val="16"/>
          <w:rFonts w:ascii="Arial" w:cs="Arial"/>
          <w:color w:val="auto"/>
          <w:sz w:val="24"/>
        </w:rPr>
        <w:t>项目需求和说明</w:t>
      </w:r>
      <w:r>
        <w:rPr>
          <w:rFonts w:ascii="Arial" w:hAnsi="Arial" w:cs="Arial"/>
          <w:sz w:val="24"/>
        </w:rPr>
        <w:tab/>
      </w:r>
      <w:r>
        <w:rPr>
          <w:rFonts w:hint="eastAsia" w:ascii="Arial" w:hAnsi="Arial" w:cs="Arial"/>
          <w:sz w:val="24"/>
          <w:lang w:val="en-US" w:eastAsia="zh-CN"/>
        </w:rPr>
        <w:t>6</w:t>
      </w:r>
      <w:r>
        <w:rPr>
          <w:rFonts w:ascii="Arial" w:hAnsi="Arial" w:cs="Arial"/>
          <w:sz w:val="24"/>
        </w:rPr>
        <w:fldChar w:fldCharType="end"/>
      </w:r>
    </w:p>
    <w:p w14:paraId="2D0274D0">
      <w:pPr>
        <w:pStyle w:val="5"/>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章  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3</w:t>
      </w:r>
    </w:p>
    <w:p w14:paraId="18C5CF39">
      <w:pPr>
        <w:pStyle w:val="5"/>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15</w:t>
      </w:r>
    </w:p>
    <w:p w14:paraId="4338AC0D">
      <w:pPr>
        <w:rPr>
          <w:rFonts w:hint="eastAsia"/>
          <w:lang w:val="en-US" w:eastAsia="zh-CN"/>
        </w:rPr>
      </w:pPr>
    </w:p>
    <w:p w14:paraId="1454246B">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640EF3CB">
      <w:pPr>
        <w:rPr>
          <w:rFonts w:ascii="Arial" w:hAnsi="Arial" w:cs="Arial"/>
          <w:b/>
          <w:bCs/>
          <w:lang w:val="zh-CN"/>
        </w:rPr>
      </w:pPr>
      <w:r>
        <w:rPr>
          <w:rFonts w:ascii="Arial" w:hAnsi="Arial" w:cs="Arial"/>
          <w:b/>
          <w:bCs/>
          <w:lang w:val="zh-CN"/>
        </w:rPr>
        <w:br w:type="page"/>
      </w:r>
    </w:p>
    <w:p w14:paraId="3C95B989">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招标</w:t>
      </w:r>
      <w:r>
        <w:rPr>
          <w:rFonts w:hint="eastAsia" w:ascii="宋体" w:hAnsi="宋体" w:eastAsia="宋体" w:cs="宋体"/>
          <w:b/>
          <w:bCs/>
          <w:color w:val="000000" w:themeColor="text1"/>
          <w:sz w:val="32"/>
          <w:szCs w:val="32"/>
          <w14:textFill>
            <w14:solidFill>
              <w14:schemeClr w14:val="tx1"/>
            </w14:solidFill>
          </w14:textFill>
        </w:rPr>
        <w:t>公告</w:t>
      </w:r>
    </w:p>
    <w:p w14:paraId="43A69D8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438904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现有桂林市人民医院数字化病案管理系统服务采购，为确保项目质优价廉，决定通过院内询价确定供应商，现将有关内容公告如下：</w:t>
      </w:r>
    </w:p>
    <w:p w14:paraId="629EF71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一、项目基本情况：</w:t>
      </w:r>
    </w:p>
    <w:p w14:paraId="0896EA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项目名称：桂林市人民医院数字化病案管理系统服务</w:t>
      </w:r>
    </w:p>
    <w:p w14:paraId="1FEC89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val="en-US" w:eastAsia="zh-CN"/>
        </w:rPr>
        <w:t>XXK-2024-001</w:t>
      </w:r>
    </w:p>
    <w:p w14:paraId="5CD2D7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资金来源：自筹资金</w:t>
      </w:r>
    </w:p>
    <w:p w14:paraId="0D8EB4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控制价：人民币0.093元/页</w:t>
      </w:r>
    </w:p>
    <w:p w14:paraId="3CD8AD7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预算金额：依据上一年度病案扫描数量约320万页，约合人民币30万元。</w:t>
      </w:r>
    </w:p>
    <w:p w14:paraId="7AAFB3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资质条件要求</w:t>
      </w:r>
    </w:p>
    <w:p w14:paraId="0FF6E6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国内注册【依法在市场监督管理部门（或行政审批部门）登记注册】的，具</w:t>
      </w:r>
      <w:r>
        <w:rPr>
          <w:rFonts w:hint="eastAsia" w:asciiTheme="minorEastAsia" w:hAnsiTheme="minorEastAsia" w:eastAsiaTheme="minorEastAsia" w:cstheme="minorEastAsia"/>
          <w:sz w:val="24"/>
          <w:szCs w:val="24"/>
          <w:lang w:val="en-US" w:eastAsia="zh-CN"/>
        </w:rPr>
        <w:t>备合法</w:t>
      </w:r>
      <w:r>
        <w:rPr>
          <w:rFonts w:hint="eastAsia" w:asciiTheme="minorEastAsia" w:hAnsiTheme="minorEastAsia" w:eastAsiaTheme="minorEastAsia" w:cstheme="minorEastAsia"/>
          <w:sz w:val="24"/>
          <w:szCs w:val="24"/>
        </w:rPr>
        <w:t>资格的供应商；</w:t>
      </w:r>
    </w:p>
    <w:p w14:paraId="7F474E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具</w:t>
      </w:r>
      <w:r>
        <w:rPr>
          <w:rFonts w:hint="eastAsia" w:asciiTheme="minorEastAsia" w:hAnsiTheme="minorEastAsia" w:eastAsiaTheme="minorEastAsia" w:cstheme="minorEastAsia"/>
          <w:sz w:val="24"/>
          <w:szCs w:val="24"/>
          <w:lang w:eastAsia="zh-CN"/>
        </w:rPr>
        <w:t>备</w:t>
      </w:r>
      <w:r>
        <w:rPr>
          <w:rFonts w:hint="eastAsia" w:asciiTheme="minorEastAsia" w:hAnsiTheme="minorEastAsia" w:eastAsiaTheme="minorEastAsia" w:cstheme="minorEastAsia"/>
          <w:sz w:val="24"/>
          <w:szCs w:val="24"/>
        </w:rPr>
        <w:t>履行合同所必需的设备和专业技术能力；</w:t>
      </w:r>
    </w:p>
    <w:p w14:paraId="6EBCF54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参加本</w:t>
      </w:r>
      <w:r>
        <w:rPr>
          <w:rFonts w:hint="eastAsia" w:asciiTheme="minorEastAsia" w:hAnsiTheme="minorEastAsia" w:eastAsiaTheme="minorEastAsia" w:cstheme="minorEastAsia"/>
          <w:sz w:val="24"/>
          <w:szCs w:val="24"/>
          <w:lang w:eastAsia="zh-CN"/>
        </w:rPr>
        <w:t>议价采购</w:t>
      </w:r>
      <w:r>
        <w:rPr>
          <w:rFonts w:hint="eastAsia" w:asciiTheme="minorEastAsia" w:hAnsiTheme="minorEastAsia" w:eastAsiaTheme="minorEastAsia" w:cstheme="minorEastAsia"/>
          <w:sz w:val="24"/>
          <w:szCs w:val="24"/>
        </w:rPr>
        <w:t>活动前三年内，在经营活动中没有重大违法记录</w:t>
      </w:r>
      <w:r>
        <w:rPr>
          <w:rFonts w:hint="eastAsia" w:asciiTheme="minorEastAsia" w:hAnsiTheme="minorEastAsia" w:eastAsiaTheme="minorEastAsia" w:cstheme="minorEastAsia"/>
          <w:sz w:val="24"/>
          <w:szCs w:val="24"/>
          <w:lang w:eastAsia="zh-CN"/>
        </w:rPr>
        <w:t>；</w:t>
      </w:r>
    </w:p>
    <w:p w14:paraId="229ED8A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本项目不接受在“信用中国”网站(www.creditchina.gov.cn)被列入失信被执行人、重大税收违法失信主体、严重违法失信行为记录名单的供应商参与报价；</w:t>
      </w:r>
    </w:p>
    <w:p w14:paraId="63E66B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本项目不接受联合体参与报价。</w:t>
      </w:r>
    </w:p>
    <w:p w14:paraId="79ABD9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lang w:val="en-US" w:eastAsia="zh-CN"/>
        </w:rPr>
        <w:t>报名</w:t>
      </w:r>
      <w:r>
        <w:rPr>
          <w:rFonts w:hint="eastAsia" w:asciiTheme="minorEastAsia" w:hAnsiTheme="minorEastAsia" w:eastAsiaTheme="minorEastAsia" w:cstheme="minorEastAsia"/>
          <w:sz w:val="24"/>
          <w:szCs w:val="24"/>
          <w:lang w:eastAsia="zh-CN"/>
        </w:rPr>
        <w:t>时间、</w:t>
      </w:r>
      <w:r>
        <w:rPr>
          <w:rFonts w:hint="eastAsia" w:asciiTheme="minorEastAsia" w:hAnsiTheme="minorEastAsia" w:eastAsiaTheme="minorEastAsia" w:cstheme="minorEastAsia"/>
          <w:sz w:val="24"/>
          <w:szCs w:val="24"/>
          <w:lang w:val="en-US" w:eastAsia="zh-CN"/>
        </w:rPr>
        <w:t>方式及获取议价文件方式</w:t>
      </w:r>
    </w:p>
    <w:p w14:paraId="1801F71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报名</w:t>
      </w:r>
      <w:r>
        <w:rPr>
          <w:rFonts w:hint="eastAsia" w:asciiTheme="minorEastAsia" w:hAnsiTheme="minorEastAsia" w:eastAsiaTheme="minorEastAsia" w:cstheme="minorEastAsia"/>
          <w:sz w:val="24"/>
          <w:szCs w:val="24"/>
          <w:lang w:eastAsia="zh-CN"/>
        </w:rPr>
        <w:t>时间：20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lang w:val="en-US" w:eastAsia="zh-CN"/>
        </w:rPr>
        <w:t>18</w:t>
      </w:r>
      <w:r>
        <w:rPr>
          <w:rFonts w:hint="eastAsia" w:asciiTheme="minorEastAsia" w:hAnsiTheme="minorEastAsia" w:eastAsiaTheme="minorEastAsia" w:cstheme="minorEastAsia"/>
          <w:sz w:val="24"/>
          <w:szCs w:val="24"/>
          <w:lang w:eastAsia="zh-CN"/>
        </w:rPr>
        <w:t>日至</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lang w:val="en-US" w:eastAsia="zh-CN"/>
        </w:rPr>
        <w:t>22</w:t>
      </w:r>
      <w:r>
        <w:rPr>
          <w:rFonts w:hint="eastAsia" w:asciiTheme="minorEastAsia" w:hAnsiTheme="minorEastAsia" w:eastAsiaTheme="minorEastAsia" w:cstheme="minorEastAsia"/>
          <w:sz w:val="24"/>
          <w:szCs w:val="24"/>
          <w:lang w:eastAsia="zh-CN"/>
        </w:rPr>
        <w:t>日</w:t>
      </w:r>
      <w:r>
        <w:rPr>
          <w:rFonts w:hint="eastAsia" w:asciiTheme="minorEastAsia" w:hAnsiTheme="minorEastAsia" w:eastAsiaTheme="minorEastAsia" w:cstheme="minorEastAsia"/>
          <w:sz w:val="24"/>
          <w:szCs w:val="24"/>
          <w:lang w:val="en-US" w:eastAsia="zh-CN"/>
        </w:rPr>
        <w:t>17：30时止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逾期报名无效。</w:t>
      </w:r>
    </w:p>
    <w:p w14:paraId="3CDE010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报名方式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网上报名。请潜在供应商自行下载附件《</w:t>
      </w:r>
      <w:r>
        <w:rPr>
          <w:rFonts w:hint="eastAsia" w:asciiTheme="minorEastAsia" w:hAnsiTheme="minorEastAsia" w:eastAsiaTheme="minorEastAsia" w:cstheme="minorEastAsia"/>
          <w:sz w:val="24"/>
          <w:szCs w:val="24"/>
          <w:lang w:eastAsia="zh-CN"/>
        </w:rPr>
        <w:t>报名表》，</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lang w:eastAsia="zh-CN"/>
        </w:rPr>
        <w:t>按《</w:t>
      </w:r>
      <w:r>
        <w:rPr>
          <w:rFonts w:hint="eastAsia" w:asciiTheme="minorEastAsia" w:hAnsiTheme="minorEastAsia" w:eastAsiaTheme="minorEastAsia" w:cstheme="minorEastAsia"/>
          <w:sz w:val="24"/>
          <w:szCs w:val="24"/>
          <w:lang w:val="en-US" w:eastAsia="zh-CN"/>
        </w:rPr>
        <w:t>报名表》的格式内容</w:t>
      </w:r>
      <w:r>
        <w:rPr>
          <w:rFonts w:hint="eastAsia" w:asciiTheme="minorEastAsia" w:hAnsiTheme="minorEastAsia" w:eastAsiaTheme="minorEastAsia" w:cstheme="minorEastAsia"/>
          <w:sz w:val="24"/>
          <w:szCs w:val="24"/>
          <w:lang w:eastAsia="zh-CN"/>
        </w:rPr>
        <w:t>填写</w:t>
      </w:r>
      <w:r>
        <w:rPr>
          <w:rFonts w:hint="eastAsia" w:asciiTheme="minorEastAsia" w:hAnsiTheme="minorEastAsia" w:eastAsiaTheme="minorEastAsia" w:cstheme="minorEastAsia"/>
          <w:sz w:val="24"/>
          <w:szCs w:val="24"/>
          <w:lang w:val="en-US" w:eastAsia="zh-CN"/>
        </w:rPr>
        <w:t>相关信息，同时</w:t>
      </w:r>
      <w:r>
        <w:rPr>
          <w:rFonts w:hint="eastAsia" w:asciiTheme="minorEastAsia" w:hAnsiTheme="minorEastAsia" w:eastAsiaTheme="minorEastAsia" w:cstheme="minorEastAsia"/>
          <w:sz w:val="24"/>
          <w:szCs w:val="24"/>
          <w:lang w:eastAsia="zh-CN"/>
        </w:rPr>
        <w:t>附上“信用中国(www.creditchina.gov.cn)”</w:t>
      </w:r>
      <w:r>
        <w:rPr>
          <w:rFonts w:hint="eastAsia" w:asciiTheme="minorEastAsia" w:hAnsiTheme="minorEastAsia" w:eastAsiaTheme="minorEastAsia" w:cstheme="minorEastAsia"/>
          <w:sz w:val="24"/>
          <w:szCs w:val="24"/>
          <w:lang w:val="en-US" w:eastAsia="zh-CN"/>
        </w:rPr>
        <w:t>上打印的信用查询记录，</w:t>
      </w:r>
      <w:r>
        <w:rPr>
          <w:rFonts w:hint="eastAsia" w:asciiTheme="minorEastAsia" w:hAnsiTheme="minorEastAsia" w:eastAsiaTheme="minorEastAsia" w:cstheme="minorEastAsia"/>
          <w:sz w:val="24"/>
          <w:szCs w:val="24"/>
          <w:lang w:eastAsia="zh-CN"/>
        </w:rPr>
        <w:t>以及中国政府采购网(www.ccgp.gov.cn)相关信息。</w:t>
      </w:r>
      <w:r>
        <w:rPr>
          <w:rFonts w:hint="eastAsia" w:asciiTheme="minorEastAsia" w:hAnsiTheme="minorEastAsia" w:eastAsiaTheme="minorEastAsia" w:cstheme="minorEastAsia"/>
          <w:sz w:val="24"/>
          <w:szCs w:val="24"/>
          <w:lang w:val="en-US" w:eastAsia="zh-CN"/>
        </w:rPr>
        <w:t>供应商将上述材料填写准备好后</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lang w:val="en-US" w:eastAsia="zh-CN"/>
        </w:rPr>
        <w:t>至</w:t>
      </w:r>
      <w:r>
        <w:rPr>
          <w:rFonts w:hint="eastAsia" w:asciiTheme="minorEastAsia" w:hAnsiTheme="minorEastAsia" w:eastAsiaTheme="minorEastAsia" w:cstheme="minorEastAsia"/>
          <w:sz w:val="24"/>
          <w:szCs w:val="24"/>
          <w:lang w:eastAsia="zh-CN"/>
        </w:rPr>
        <w:t>邮箱（</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"mailto:glsrmyyzbb@163.com"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lang w:val="en-US" w:eastAsia="zh-CN"/>
        </w:rPr>
        <w:t>glsrmyyzbb</w:t>
      </w:r>
      <w:r>
        <w:rPr>
          <w:rFonts w:hint="eastAsia" w:asciiTheme="minorEastAsia" w:hAnsiTheme="minorEastAsia" w:eastAsiaTheme="minorEastAsia" w:cstheme="minorEastAsia"/>
          <w:sz w:val="24"/>
          <w:szCs w:val="24"/>
          <w:lang w:eastAsia="zh-CN"/>
        </w:rPr>
        <w:t>@163.com</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即完成报名，</w:t>
      </w:r>
      <w:r>
        <w:rPr>
          <w:rFonts w:hint="eastAsia" w:asciiTheme="minorEastAsia" w:hAnsiTheme="minorEastAsia" w:eastAsiaTheme="minorEastAsia" w:cstheme="minorEastAsia"/>
          <w:sz w:val="24"/>
          <w:szCs w:val="24"/>
          <w:lang w:val="en-US" w:eastAsia="zh-CN"/>
        </w:rPr>
        <w:t>否则将视为报名不成功。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报名表》要求WORD版，其他材料加盖公章后上传扫描件</w:t>
      </w:r>
      <w:r>
        <w:rPr>
          <w:rFonts w:hint="eastAsia" w:asciiTheme="minorEastAsia" w:hAnsiTheme="minorEastAsia" w:eastAsiaTheme="minorEastAsia" w:cstheme="minorEastAsia"/>
          <w:sz w:val="24"/>
          <w:szCs w:val="24"/>
          <w:lang w:eastAsia="zh-CN"/>
        </w:rPr>
        <w:t>。</w:t>
      </w:r>
    </w:p>
    <w:p w14:paraId="1F1FDF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获取议价文件方式：桂林市人民医院官网（www.glrmyy.com）</w:t>
      </w:r>
    </w:p>
    <w:p w14:paraId="6B3102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四、议价采购活动要求</w:t>
      </w:r>
    </w:p>
    <w:p w14:paraId="04741DA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议价时间：</w:t>
      </w:r>
      <w:r>
        <w:rPr>
          <w:rFonts w:hint="eastAsia" w:asciiTheme="minorEastAsia" w:hAnsiTheme="minorEastAsia" w:eastAsiaTheme="minorEastAsia" w:cstheme="minorEastAsia"/>
          <w:sz w:val="24"/>
          <w:szCs w:val="24"/>
          <w:lang w:val="en-US" w:eastAsia="zh-CN"/>
        </w:rPr>
        <w:t>议价</w:t>
      </w:r>
      <w:r>
        <w:rPr>
          <w:rFonts w:hint="eastAsia" w:asciiTheme="minorEastAsia" w:hAnsiTheme="minorEastAsia" w:eastAsiaTheme="minorEastAsia" w:cstheme="minorEastAsia"/>
          <w:sz w:val="24"/>
          <w:szCs w:val="24"/>
          <w:lang w:eastAsia="zh-CN"/>
        </w:rPr>
        <w:t>具体时间另行</w:t>
      </w:r>
      <w:r>
        <w:rPr>
          <w:rFonts w:hint="eastAsia" w:asciiTheme="minorEastAsia" w:hAnsiTheme="minorEastAsia" w:eastAsiaTheme="minorEastAsia" w:cstheme="minorEastAsia"/>
          <w:sz w:val="24"/>
          <w:szCs w:val="24"/>
          <w:lang w:val="en-US" w:eastAsia="zh-CN"/>
        </w:rPr>
        <w:t>通知</w:t>
      </w:r>
      <w:r>
        <w:rPr>
          <w:rFonts w:hint="eastAsia" w:asciiTheme="minorEastAsia" w:hAnsiTheme="minorEastAsia" w:eastAsiaTheme="minorEastAsia" w:cstheme="minorEastAsia"/>
          <w:sz w:val="24"/>
          <w:szCs w:val="24"/>
          <w:lang w:eastAsia="zh-CN"/>
        </w:rPr>
        <w:t>，请报名后</w:t>
      </w:r>
      <w:r>
        <w:rPr>
          <w:rFonts w:hint="eastAsia" w:asciiTheme="minorEastAsia" w:hAnsiTheme="minorEastAsia" w:eastAsiaTheme="minorEastAsia" w:cstheme="minorEastAsia"/>
          <w:sz w:val="24"/>
          <w:szCs w:val="24"/>
          <w:lang w:val="en-US" w:eastAsia="zh-CN"/>
        </w:rPr>
        <w:t>根据所获取的议价文件要求及时</w:t>
      </w:r>
      <w:r>
        <w:rPr>
          <w:rFonts w:hint="eastAsia" w:asciiTheme="minorEastAsia" w:hAnsiTheme="minorEastAsia" w:eastAsiaTheme="minorEastAsia" w:cstheme="minorEastAsia"/>
          <w:sz w:val="24"/>
          <w:szCs w:val="24"/>
          <w:lang w:eastAsia="zh-CN"/>
        </w:rPr>
        <w:t>准备正式</w:t>
      </w:r>
      <w:r>
        <w:rPr>
          <w:rFonts w:hint="eastAsia" w:asciiTheme="minorEastAsia" w:hAnsiTheme="minorEastAsia" w:eastAsiaTheme="minorEastAsia" w:cstheme="minorEastAsia"/>
          <w:sz w:val="24"/>
          <w:szCs w:val="24"/>
          <w:lang w:val="en-US" w:eastAsia="zh-CN"/>
        </w:rPr>
        <w:t>的报价文件</w:t>
      </w:r>
      <w:r>
        <w:rPr>
          <w:rFonts w:hint="eastAsia" w:asciiTheme="minorEastAsia" w:hAnsiTheme="minorEastAsia" w:eastAsiaTheme="minorEastAsia" w:cstheme="minorEastAsia"/>
          <w:sz w:val="24"/>
          <w:szCs w:val="24"/>
          <w:lang w:eastAsia="zh-CN"/>
        </w:rPr>
        <w:t>。</w:t>
      </w:r>
    </w:p>
    <w:p w14:paraId="0479AA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本项目接受二次报价：如二次报价与投标文件第一次报价有调整，需当场由法定代表人或授权委托代理人签字确认。</w:t>
      </w:r>
    </w:p>
    <w:p w14:paraId="54E2C50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议价地点：桂林市人民医院招标办公室（广西桂林市象山区文明路29号）</w:t>
      </w:r>
    </w:p>
    <w:p w14:paraId="2EC1C1D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报价文件：</w:t>
      </w:r>
    </w:p>
    <w:p w14:paraId="7954515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报价文件组成：必须含有但不限于响应函、营业执照复印件、法定代表人（负责人）身份证复印件、法定代表人授权书原件（委托代理时必须提供）、授权委托代理人身份证复印件及由县级以上（含县级）社会养老保险经办机构出具的供应商为委托代理人交纳的社保证明（最近半年至少1个月以上）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项目报价、服务方案、自2022年以来具有与本项目类别相同的项目业绩合同复印件及验收报告复印件（如有）、质量管理体系认证证书复印件（如有）、信息技术服务管理体系认证证书复印件（如有）、信息安全管理体系认证证书复印件（如有）、病案数字化软件系统计算机软件著作权证书复印件（如有）、病案数字化软件产品登记证书复印件（如有）、病案数字化软件测试报告复印件（如有）、项目经理的信息系统项目管理师资质证书复印件（如有）、加工扫描人员、质检人员、交接人员或搬运工获得计算机技术与软件专业技术资格（水平）考试信息系统项目管理师高级证书复印件（如有）、计算机技术与软件专业技术资格（水平）考试数据库系统工程师证书复印件（如有）、计算机技术与软件专业技术资格（水平）软件设计师证书复印件（如有）及由县级以上（含县级）社会养老保险经办机构出具的供应商为项目经理、加工扫描人员、质检人员、交接人员或搬运工交纳的社保证明（最近半年至少1个月以上）复印件、联系人及电话等资料。供应商应完整准备上述报价文件的材料，否则由此引起的不利后果由供应商承担。报价文件所提供的的证照及相关证明材料必须真实有效，一经发现造假，将取消本次议价资格并追究相关法律责任！</w:t>
      </w:r>
    </w:p>
    <w:p w14:paraId="03D25D9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（2）报价文件份数：正本一份，副本六份。</w:t>
      </w:r>
    </w:p>
    <w:p w14:paraId="591B8624">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4.</w:t>
      </w:r>
      <w:r>
        <w:rPr>
          <w:rFonts w:hint="eastAsia" w:asciiTheme="minorEastAsia" w:hAnsiTheme="minorEastAsia" w:eastAsiaTheme="minorEastAsia" w:cstheme="minorEastAsia"/>
          <w:sz w:val="24"/>
          <w:szCs w:val="24"/>
          <w:lang w:val="en-US" w:eastAsia="zh-CN"/>
        </w:rPr>
        <w:t>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3779A35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凡报名合格并获取了议价文件的供应商，视同响应承诺参与本次议价采购活动。若因故不能按期参加的，请至少于采购活动截止时间前两天以书面邮件形式（发送邮箱地址：</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"mailto:glsrmyyzbb@163.com"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lang w:val="en-US" w:eastAsia="zh-CN"/>
        </w:rPr>
        <w:t>glsrmyyzbb@163.com</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）告知我院招标办公室，否则，将被视为不诚信供应商，列入我院供应商黑名单，至少一年内不接受其参与我院院内的任何议价采购活动。</w:t>
      </w:r>
    </w:p>
    <w:p w14:paraId="2A8BD84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五、信息公告发布媒体</w:t>
      </w:r>
    </w:p>
    <w:p w14:paraId="5D0C59F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本次议价采购公告在桂林市人民医院官网（www.glrmyy.com）发布。</w:t>
      </w:r>
    </w:p>
    <w:p w14:paraId="3781D59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六、联系方式</w:t>
      </w:r>
    </w:p>
    <w:p w14:paraId="1F3AF03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1.联系人：罗老师、戴老师</w:t>
      </w:r>
    </w:p>
    <w:p w14:paraId="7837B75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2.联系电话：0773-2803316</w:t>
      </w:r>
    </w:p>
    <w:p w14:paraId="4D0325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6B78C33B">
      <w:pPr>
        <w:keepNext w:val="0"/>
        <w:keepLines w:val="0"/>
        <w:pageBreakBefore w:val="0"/>
        <w:widowControl w:val="0"/>
        <w:tabs>
          <w:tab w:val="left" w:pos="6583"/>
        </w:tabs>
        <w:kinsoku/>
        <w:wordWrap/>
        <w:overflowPunct/>
        <w:topLinePunct w:val="0"/>
        <w:autoSpaceDE/>
        <w:autoSpaceDN/>
        <w:bidi w:val="0"/>
        <w:adjustRightInd/>
        <w:snapToGrid/>
        <w:spacing w:line="440" w:lineRule="exact"/>
        <w:ind w:firstLine="5760" w:firstLineChars="2400"/>
        <w:jc w:val="righ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桂林市人民医院</w:t>
      </w:r>
    </w:p>
    <w:p w14:paraId="1676BD0D">
      <w:pPr>
        <w:keepNext w:val="0"/>
        <w:keepLines w:val="0"/>
        <w:pageBreakBefore w:val="0"/>
        <w:widowControl w:val="0"/>
        <w:tabs>
          <w:tab w:val="left" w:pos="5623"/>
        </w:tabs>
        <w:kinsoku/>
        <w:wordWrap/>
        <w:overflowPunct/>
        <w:topLinePunct w:val="0"/>
        <w:autoSpaceDE/>
        <w:autoSpaceDN/>
        <w:bidi w:val="0"/>
        <w:adjustRightInd/>
        <w:snapToGrid/>
        <w:spacing w:line="440" w:lineRule="exact"/>
        <w:jc w:val="righ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2024年11月 18</w:t>
      </w:r>
      <w:bookmarkStart w:id="0" w:name="_GoBack"/>
      <w:bookmarkEnd w:id="0"/>
      <w:r>
        <w:rPr>
          <w:rFonts w:hint="eastAsia" w:asciiTheme="minorEastAsia" w:hAnsiTheme="minorEastAsia" w:eastAsiaTheme="minorEastAsia" w:cstheme="minorEastAsia"/>
          <w:sz w:val="24"/>
          <w:szCs w:val="24"/>
          <w:lang w:val="en-US" w:eastAsia="zh-CN"/>
        </w:rPr>
        <w:t xml:space="preserve">  日</w:t>
      </w:r>
    </w:p>
    <w:p w14:paraId="5CDD2F8C">
      <w:pPr>
        <w:keepNext w:val="0"/>
        <w:keepLines w:val="0"/>
        <w:pageBreakBefore w:val="0"/>
        <w:widowControl w:val="0"/>
        <w:tabs>
          <w:tab w:val="left" w:pos="5623"/>
        </w:tabs>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4"/>
          <w:szCs w:val="24"/>
          <w:lang w:val="en-US" w:eastAsia="zh-CN"/>
        </w:rPr>
      </w:pPr>
    </w:p>
    <w:p w14:paraId="7B9F2C7C">
      <w:pPr>
        <w:rPr>
          <w:rFonts w:hint="eastAsia" w:asciiTheme="minorEastAsia" w:hAnsiTheme="minorEastAsia" w:eastAsiaTheme="minorEastAsia" w:cstheme="minorEastAsia"/>
          <w:b/>
          <w:bCs/>
          <w:w w:val="95"/>
          <w:sz w:val="32"/>
          <w:szCs w:val="32"/>
          <w:lang w:val="en-US" w:eastAsia="zh-CN"/>
        </w:rPr>
      </w:pPr>
      <w:r>
        <w:rPr>
          <w:rFonts w:hint="eastAsia" w:asciiTheme="minorEastAsia" w:hAnsiTheme="minorEastAsia" w:eastAsiaTheme="minorEastAsia" w:cstheme="minorEastAsia"/>
          <w:b/>
          <w:bCs/>
          <w:w w:val="95"/>
          <w:sz w:val="32"/>
          <w:szCs w:val="32"/>
          <w:lang w:val="en-US" w:eastAsia="zh-CN"/>
        </w:rPr>
        <w:br w:type="page"/>
      </w:r>
    </w:p>
    <w:p w14:paraId="3A4DCEEC">
      <w:pPr>
        <w:pStyle w:val="11"/>
        <w:keepNext w:val="0"/>
        <w:keepLines w:val="0"/>
        <w:pageBreakBefore w:val="0"/>
        <w:widowControl w:val="0"/>
        <w:kinsoku/>
        <w:wordWrap/>
        <w:overflowPunct/>
        <w:topLinePunct w:val="0"/>
        <w:bidi w:val="0"/>
        <w:adjustRightInd/>
        <w:spacing w:before="0" w:line="440" w:lineRule="exact"/>
        <w:ind w:left="0" w:right="0" w:rightChars="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w w:val="95"/>
          <w:sz w:val="32"/>
          <w:szCs w:val="32"/>
          <w:lang w:val="en-US" w:eastAsia="zh-CN"/>
        </w:rPr>
        <w:t>第二章  项目</w:t>
      </w:r>
      <w:r>
        <w:rPr>
          <w:rFonts w:hint="eastAsia" w:asciiTheme="minorEastAsia" w:hAnsiTheme="minorEastAsia" w:eastAsiaTheme="minorEastAsia" w:cstheme="minorEastAsia"/>
          <w:b/>
          <w:bCs/>
          <w:w w:val="95"/>
          <w:sz w:val="32"/>
          <w:szCs w:val="32"/>
        </w:rPr>
        <w:t>需求</w:t>
      </w:r>
      <w:r>
        <w:rPr>
          <w:rFonts w:hint="eastAsia" w:asciiTheme="minorEastAsia" w:hAnsiTheme="minorEastAsia" w:eastAsiaTheme="minorEastAsia" w:cstheme="minorEastAsia"/>
          <w:b/>
          <w:bCs/>
          <w:w w:val="95"/>
          <w:sz w:val="32"/>
          <w:szCs w:val="32"/>
          <w:lang w:val="en-US" w:eastAsia="zh-CN"/>
        </w:rPr>
        <w:t>和说明</w:t>
      </w:r>
      <w:r>
        <w:rPr>
          <w:rFonts w:hint="eastAsia" w:asciiTheme="minorEastAsia" w:hAnsiTheme="minorEastAsia" w:eastAsiaTheme="minorEastAsia" w:cstheme="minorEastAsia"/>
          <w:b/>
          <w:bCs/>
          <w:w w:val="95"/>
          <w:sz w:val="32"/>
          <w:szCs w:val="32"/>
        </w:rPr>
        <w:t xml:space="preserve"> </w:t>
      </w:r>
    </w:p>
    <w:p w14:paraId="02DF54D8">
      <w:pPr>
        <w:pStyle w:val="4"/>
        <w:keepNext w:val="0"/>
        <w:keepLines w:val="0"/>
        <w:pageBreakBefore w:val="0"/>
        <w:widowControl w:val="0"/>
        <w:kinsoku/>
        <w:wordWrap/>
        <w:overflowPunct/>
        <w:topLinePunct w:val="0"/>
        <w:autoSpaceDE w:val="0"/>
        <w:autoSpaceDN w:val="0"/>
        <w:bidi w:val="0"/>
        <w:adjustRightInd/>
        <w:snapToGrid/>
        <w:spacing w:after="0" w:line="440" w:lineRule="exact"/>
        <w:ind w:left="0" w:right="0" w:rightChars="0"/>
        <w:rPr>
          <w:rFonts w:hint="eastAsia" w:asciiTheme="minorEastAsia" w:hAnsiTheme="minorEastAsia" w:eastAsiaTheme="minorEastAsia" w:cstheme="minorEastAsia"/>
          <w:sz w:val="32"/>
          <w:szCs w:val="32"/>
        </w:rPr>
      </w:pPr>
    </w:p>
    <w:p w14:paraId="6DCE3CD0">
      <w:pPr>
        <w:keepNext w:val="0"/>
        <w:keepLines w:val="0"/>
        <w:pageBreakBefore w:val="0"/>
        <w:widowControl w:val="0"/>
        <w:numPr>
          <w:ilvl w:val="0"/>
          <w:numId w:val="0"/>
        </w:numPr>
        <w:kinsoku/>
        <w:wordWrap/>
        <w:overflowPunct/>
        <w:topLinePunct w:val="0"/>
        <w:autoSpaceDE/>
        <w:autoSpaceDN/>
        <w:bidi w:val="0"/>
        <w:adjustRightInd/>
        <w:snapToGrid/>
        <w:spacing w:before="315" w:line="460" w:lineRule="exact"/>
        <w:ind w:leftChars="0"/>
        <w:textAlignment w:val="auto"/>
        <w:outlineLvl w:val="0"/>
        <w:rPr>
          <w:rFonts w:hint="eastAsia" w:asciiTheme="minorEastAsia" w:hAnsiTheme="minorEastAsia" w:eastAsiaTheme="minorEastAsia" w:cstheme="minorEastAsia"/>
          <w:b/>
          <w:bCs/>
          <w:spacing w:val="1"/>
          <w:sz w:val="24"/>
          <w:szCs w:val="24"/>
        </w:rPr>
      </w:pPr>
      <w:r>
        <w:rPr>
          <w:rFonts w:hint="eastAsia" w:asciiTheme="minorEastAsia" w:hAnsiTheme="minorEastAsia" w:eastAsiaTheme="minorEastAsia" w:cstheme="minorEastAsia"/>
          <w:b/>
          <w:bCs/>
          <w:spacing w:val="1"/>
          <w:sz w:val="24"/>
          <w:szCs w:val="24"/>
          <w:lang w:val="en-US" w:eastAsia="zh-CN"/>
        </w:rPr>
        <w:t>一、</w:t>
      </w:r>
      <w:r>
        <w:rPr>
          <w:rFonts w:hint="eastAsia" w:asciiTheme="minorEastAsia" w:hAnsiTheme="minorEastAsia" w:eastAsiaTheme="minorEastAsia" w:cstheme="minorEastAsia"/>
          <w:b/>
          <w:bCs/>
          <w:spacing w:val="1"/>
          <w:sz w:val="24"/>
          <w:szCs w:val="24"/>
        </w:rPr>
        <w:t>软件技术要求</w:t>
      </w:r>
    </w:p>
    <w:p w14:paraId="419D6B5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要求采用C/S和B/S架构相结合的模式，病案加工处理采用C/S架构，浏览要采用B/S架构，无需安装客户端，方便病案的查询浏览；</w:t>
      </w:r>
    </w:p>
    <w:p w14:paraId="656B795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2.要求可以整合历史病案数字化数据，可以无缝对接现有病案数字化系统，系统对接费用由中标方负责；</w:t>
      </w:r>
    </w:p>
    <w:p w14:paraId="561FB8E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执行标准：按《纸质档案数字化技术规范（ DA/T31-20</w:t>
      </w:r>
      <w:r>
        <w:rPr>
          <w:rFonts w:hint="eastAsia" w:asciiTheme="minorEastAsia" w:hAnsiTheme="minorEastAsia" w:eastAsiaTheme="minorEastAsia" w:cstheme="minorEastAsia"/>
          <w:kern w:val="0"/>
          <w:sz w:val="24"/>
          <w:szCs w:val="24"/>
          <w:lang w:val="en-US" w:eastAsia="zh-CN"/>
        </w:rPr>
        <w:t>17</w:t>
      </w:r>
      <w:r>
        <w:rPr>
          <w:rFonts w:hint="eastAsia" w:asciiTheme="minorEastAsia" w:hAnsiTheme="minorEastAsia" w:eastAsiaTheme="minorEastAsia" w:cstheme="minorEastAsia"/>
          <w:kern w:val="0"/>
          <w:sz w:val="24"/>
          <w:szCs w:val="24"/>
        </w:rPr>
        <w:t>）》执行</w:t>
      </w:r>
      <w:r>
        <w:rPr>
          <w:rFonts w:hint="eastAsia" w:asciiTheme="minorEastAsia" w:hAnsiTheme="minorEastAsia" w:eastAsiaTheme="minorEastAsia" w:cstheme="minorEastAsia"/>
          <w:kern w:val="0"/>
          <w:sz w:val="24"/>
          <w:szCs w:val="24"/>
          <w:lang w:eastAsia="zh-CN"/>
        </w:rPr>
        <w:t>；</w:t>
      </w:r>
    </w:p>
    <w:p w14:paraId="24C0465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扫描或拍照的数字影像分辨率≥200DPI，图像完整，不丢失细节</w:t>
      </w:r>
      <w:r>
        <w:rPr>
          <w:rFonts w:hint="eastAsia" w:asciiTheme="minorEastAsia" w:hAnsiTheme="minorEastAsia" w:eastAsiaTheme="minorEastAsia" w:cstheme="minorEastAsia"/>
          <w:kern w:val="0"/>
          <w:sz w:val="24"/>
          <w:szCs w:val="24"/>
          <w:lang w:eastAsia="zh-CN"/>
        </w:rPr>
        <w:t>；</w:t>
      </w:r>
    </w:p>
    <w:p w14:paraId="7A0EADB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数字病案采用通用的图像文件格式存储图像</w:t>
      </w:r>
      <w:r>
        <w:rPr>
          <w:rFonts w:hint="eastAsia" w:asciiTheme="minorEastAsia" w:hAnsiTheme="minorEastAsia" w:eastAsiaTheme="minorEastAsia" w:cstheme="minorEastAsia"/>
          <w:kern w:val="0"/>
          <w:sz w:val="24"/>
          <w:szCs w:val="24"/>
          <w:lang w:eastAsia="zh-CN"/>
        </w:rPr>
        <w:t>；</w:t>
      </w:r>
    </w:p>
    <w:p w14:paraId="4E10A47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对每页电子病案的属性的按要求进行分类</w:t>
      </w:r>
      <w:r>
        <w:rPr>
          <w:rFonts w:hint="eastAsia" w:asciiTheme="minorEastAsia" w:hAnsiTheme="minorEastAsia" w:eastAsiaTheme="minorEastAsia" w:cstheme="minorEastAsia"/>
          <w:kern w:val="0"/>
          <w:sz w:val="24"/>
          <w:szCs w:val="24"/>
          <w:lang w:eastAsia="zh-CN"/>
        </w:rPr>
        <w:t>；</w:t>
      </w:r>
    </w:p>
    <w:p w14:paraId="2C23DD3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7.</w:t>
      </w:r>
      <w:r>
        <w:rPr>
          <w:rFonts w:hint="eastAsia" w:asciiTheme="minorEastAsia" w:hAnsiTheme="minorEastAsia" w:eastAsiaTheme="minorEastAsia" w:cstheme="minorEastAsia"/>
          <w:kern w:val="0"/>
          <w:sz w:val="24"/>
          <w:szCs w:val="24"/>
        </w:rPr>
        <w:t>病案首页信息录入格式要求按国家卫计委现行的标准格式。</w:t>
      </w:r>
    </w:p>
    <w:p w14:paraId="69471BF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w:t>
      </w:r>
      <w:r>
        <w:rPr>
          <w:rFonts w:hint="eastAsia" w:asciiTheme="minorEastAsia" w:hAnsiTheme="minorEastAsia" w:eastAsiaTheme="minorEastAsia" w:cstheme="minorEastAsia"/>
          <w:kern w:val="0"/>
          <w:sz w:val="24"/>
          <w:szCs w:val="24"/>
        </w:rPr>
        <w:t>病案数字化处理模块包括病案加工、病案处理、系统管理三大部分；</w:t>
      </w:r>
    </w:p>
    <w:p w14:paraId="5FA0840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9.</w:t>
      </w:r>
      <w:r>
        <w:rPr>
          <w:rFonts w:hint="eastAsia" w:asciiTheme="minorEastAsia" w:hAnsiTheme="minorEastAsia" w:eastAsiaTheme="minorEastAsia" w:cstheme="minorEastAsia"/>
          <w:kern w:val="0"/>
          <w:sz w:val="24"/>
          <w:szCs w:val="24"/>
        </w:rPr>
        <w:t>病案加工部分应包括拍摄、补拍、自动扫描、图片分类等功能；</w:t>
      </w:r>
    </w:p>
    <w:p w14:paraId="7EBAE63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10.</w:t>
      </w:r>
      <w:r>
        <w:rPr>
          <w:rFonts w:hint="eastAsia" w:asciiTheme="minorEastAsia" w:hAnsiTheme="minorEastAsia" w:eastAsiaTheme="minorEastAsia" w:cstheme="minorEastAsia"/>
          <w:kern w:val="0"/>
          <w:sz w:val="24"/>
          <w:szCs w:val="24"/>
        </w:rPr>
        <w:t>病案管理部分应包括审核、处理审核未通过、病案质控记录、病案删除、错误检查、未扫描病案查询、病案浏览、病案上架检索、打印、打印查询及修改、条码打印、病案上架管理、工作统计等功能；</w:t>
      </w:r>
    </w:p>
    <w:p w14:paraId="2F11480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11.</w:t>
      </w:r>
      <w:r>
        <w:rPr>
          <w:rFonts w:hint="eastAsia" w:asciiTheme="minorEastAsia" w:hAnsiTheme="minorEastAsia" w:eastAsiaTheme="minorEastAsia" w:cstheme="minorEastAsia"/>
          <w:kern w:val="0"/>
          <w:sz w:val="24"/>
          <w:szCs w:val="24"/>
        </w:rPr>
        <w:t>病案数字化处理模块要包括图片参数配置、参数配置、打印套餐维护、用户管理、病人信息替换、条码替换、模块设置等功能；</w:t>
      </w:r>
    </w:p>
    <w:p w14:paraId="41AAEBB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12.</w:t>
      </w:r>
      <w:r>
        <w:rPr>
          <w:rFonts w:hint="eastAsia" w:asciiTheme="minorEastAsia" w:hAnsiTheme="minorEastAsia" w:eastAsiaTheme="minorEastAsia" w:cstheme="minorEastAsia"/>
          <w:kern w:val="0"/>
          <w:sz w:val="24"/>
          <w:szCs w:val="24"/>
        </w:rPr>
        <w:t>启动界面先进便捷，具有病案拍摄，审核，打印，统计，病案上架，退出快捷功能；</w:t>
      </w:r>
    </w:p>
    <w:p w14:paraId="20C50DA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13.</w:t>
      </w:r>
      <w:r>
        <w:rPr>
          <w:rFonts w:hint="eastAsia" w:asciiTheme="minorEastAsia" w:hAnsiTheme="minorEastAsia" w:eastAsiaTheme="minorEastAsia" w:cstheme="minorEastAsia"/>
          <w:kern w:val="0"/>
          <w:sz w:val="24"/>
          <w:szCs w:val="24"/>
        </w:rPr>
        <w:t>支持数字化图片采用WEB SERVICE 接口上传数据，保证数据安全；</w:t>
      </w:r>
    </w:p>
    <w:p w14:paraId="24BE66D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14.</w:t>
      </w:r>
      <w:r>
        <w:rPr>
          <w:rFonts w:hint="eastAsia" w:asciiTheme="minorEastAsia" w:hAnsiTheme="minorEastAsia" w:eastAsiaTheme="minorEastAsia" w:cstheme="minorEastAsia"/>
          <w:kern w:val="0"/>
          <w:sz w:val="24"/>
          <w:szCs w:val="24"/>
        </w:rPr>
        <w:t>支持使用APP系统，自动根据医疗小组，离线最新的数字化病案资料，可利用平板APP进行分析查看病案图片；</w:t>
      </w:r>
    </w:p>
    <w:p w14:paraId="4F00B62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15.</w:t>
      </w:r>
      <w:r>
        <w:rPr>
          <w:rFonts w:hint="eastAsia" w:asciiTheme="minorEastAsia" w:hAnsiTheme="minorEastAsia" w:eastAsiaTheme="minorEastAsia" w:cstheme="minorEastAsia"/>
          <w:kern w:val="0"/>
          <w:sz w:val="24"/>
          <w:szCs w:val="24"/>
        </w:rPr>
        <w:t>支持医院信息系统、OA对接形成单点登陆功能，方便相互数据的交互共享；</w:t>
      </w:r>
    </w:p>
    <w:p w14:paraId="14BDF45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w:t>
      </w:r>
      <w:r>
        <w:rPr>
          <w:rFonts w:hint="eastAsia" w:asciiTheme="minorEastAsia" w:hAnsiTheme="minorEastAsia" w:eastAsiaTheme="minorEastAsia" w:cstheme="minorEastAsia"/>
          <w:kern w:val="0"/>
          <w:sz w:val="24"/>
          <w:szCs w:val="24"/>
        </w:rPr>
        <w:t>支持调用</w:t>
      </w:r>
      <w:r>
        <w:rPr>
          <w:rFonts w:hint="eastAsia" w:asciiTheme="minorEastAsia" w:hAnsiTheme="minorEastAsia" w:eastAsiaTheme="minorEastAsia" w:cstheme="minorEastAsia"/>
          <w:kern w:val="0"/>
          <w:sz w:val="24"/>
          <w:szCs w:val="24"/>
          <w:lang w:val="en-US" w:eastAsia="zh-CN"/>
        </w:rPr>
        <w:t>病案统计管理系统首页数据，实现病案信息的接口传输，保证数据安全，接口对接费用由中标方负责</w:t>
      </w:r>
      <w:r>
        <w:rPr>
          <w:rFonts w:hint="eastAsia" w:asciiTheme="minorEastAsia" w:hAnsiTheme="minorEastAsia" w:eastAsiaTheme="minorEastAsia" w:cstheme="minorEastAsia"/>
          <w:kern w:val="0"/>
          <w:sz w:val="24"/>
          <w:szCs w:val="24"/>
        </w:rPr>
        <w:t>；</w:t>
      </w:r>
    </w:p>
    <w:p w14:paraId="6E1C635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17.</w:t>
      </w:r>
      <w:r>
        <w:rPr>
          <w:rFonts w:hint="eastAsia" w:asciiTheme="minorEastAsia" w:hAnsiTheme="minorEastAsia" w:eastAsiaTheme="minorEastAsia" w:cstheme="minorEastAsia"/>
          <w:kern w:val="0"/>
          <w:sz w:val="24"/>
          <w:szCs w:val="24"/>
        </w:rPr>
        <w:t>在病案处理加工环节支持大屏幕显示器，支持分辨率1920*1080以上；</w:t>
      </w:r>
    </w:p>
    <w:p w14:paraId="5B244C4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18.</w:t>
      </w:r>
      <w:r>
        <w:rPr>
          <w:rFonts w:hint="eastAsia" w:asciiTheme="minorEastAsia" w:hAnsiTheme="minorEastAsia" w:eastAsiaTheme="minorEastAsia" w:cstheme="minorEastAsia"/>
          <w:kern w:val="0"/>
          <w:sz w:val="24"/>
          <w:szCs w:val="24"/>
        </w:rPr>
        <w:t>数字化处理支持高速扫描模式，速度要求每分钟≥60张；</w:t>
      </w:r>
    </w:p>
    <w:p w14:paraId="736D9DF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19.</w:t>
      </w:r>
      <w:r>
        <w:rPr>
          <w:rFonts w:hint="eastAsia" w:asciiTheme="minorEastAsia" w:hAnsiTheme="minorEastAsia" w:eastAsiaTheme="minorEastAsia" w:cstheme="minorEastAsia"/>
          <w:kern w:val="0"/>
          <w:sz w:val="24"/>
          <w:szCs w:val="24"/>
        </w:rPr>
        <w:t>系统要具备病案条码自动识别功能，能够自动识别分类条码，实现扫描后的自动分类</w:t>
      </w:r>
    </w:p>
    <w:p w14:paraId="072FF58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20.</w:t>
      </w:r>
      <w:r>
        <w:rPr>
          <w:rFonts w:hint="eastAsia" w:asciiTheme="minorEastAsia" w:hAnsiTheme="minorEastAsia" w:eastAsiaTheme="minorEastAsia" w:cstheme="minorEastAsia"/>
          <w:kern w:val="0"/>
          <w:sz w:val="24"/>
          <w:szCs w:val="24"/>
        </w:rPr>
        <w:t>支持加工端暂存一定天数数据，防止数据出现丢失，要求具备临时保存功能；</w:t>
      </w:r>
    </w:p>
    <w:p w14:paraId="6F578F2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21.</w:t>
      </w:r>
      <w:r>
        <w:rPr>
          <w:rFonts w:hint="eastAsia" w:asciiTheme="minorEastAsia" w:hAnsiTheme="minorEastAsia" w:eastAsiaTheme="minorEastAsia" w:cstheme="minorEastAsia"/>
          <w:kern w:val="0"/>
          <w:sz w:val="24"/>
          <w:szCs w:val="24"/>
        </w:rPr>
        <w:t>数字化存储应为加密格式。防止被复制后出现信息泄露；</w:t>
      </w:r>
    </w:p>
    <w:p w14:paraId="2B36C88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22.</w:t>
      </w:r>
      <w:r>
        <w:rPr>
          <w:rFonts w:hint="eastAsia" w:asciiTheme="minorEastAsia" w:hAnsiTheme="minorEastAsia" w:eastAsiaTheme="minorEastAsia" w:cstheme="minorEastAsia"/>
          <w:kern w:val="0"/>
          <w:sz w:val="24"/>
          <w:szCs w:val="24"/>
        </w:rPr>
        <w:t>要求系统具有病案质控功能，质控患者病案信息的完整性，能够检查病案的类别以及病案页码漏扫的情况；</w:t>
      </w:r>
    </w:p>
    <w:p w14:paraId="76BAA63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23.</w:t>
      </w:r>
      <w:r>
        <w:rPr>
          <w:rFonts w:hint="eastAsia" w:asciiTheme="minorEastAsia" w:hAnsiTheme="minorEastAsia" w:eastAsiaTheme="minorEastAsia" w:cstheme="minorEastAsia"/>
          <w:kern w:val="0"/>
          <w:sz w:val="24"/>
          <w:szCs w:val="24"/>
        </w:rPr>
        <w:t>系统要能够自动记录用户在系统内所有操作的详细日志，并可形成报表，便于回溯追踪；</w:t>
      </w:r>
    </w:p>
    <w:p w14:paraId="1B9671C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24.</w:t>
      </w:r>
      <w:r>
        <w:rPr>
          <w:rFonts w:hint="eastAsia" w:asciiTheme="minorEastAsia" w:hAnsiTheme="minorEastAsia" w:eastAsiaTheme="minorEastAsia" w:cstheme="minorEastAsia"/>
          <w:kern w:val="0"/>
          <w:sz w:val="24"/>
          <w:szCs w:val="24"/>
        </w:rPr>
        <w:t>病案申请浏览模块中，支持逐份、批量、按科室审核；</w:t>
      </w:r>
    </w:p>
    <w:p w14:paraId="6D5CF86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25.</w:t>
      </w:r>
      <w:r>
        <w:rPr>
          <w:rFonts w:hint="eastAsia" w:asciiTheme="minorEastAsia" w:hAnsiTheme="minorEastAsia" w:eastAsiaTheme="minorEastAsia" w:cstheme="minorEastAsia"/>
          <w:kern w:val="0"/>
          <w:sz w:val="24"/>
          <w:szCs w:val="24"/>
        </w:rPr>
        <w:t>在审核权限控制中，可以控制到科室、人员，支持按时间范围（永久、年、月、日、小时）授权；</w:t>
      </w:r>
    </w:p>
    <w:p w14:paraId="6235079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26.</w:t>
      </w:r>
      <w:r>
        <w:rPr>
          <w:rFonts w:hint="eastAsia" w:asciiTheme="minorEastAsia" w:hAnsiTheme="minorEastAsia" w:eastAsiaTheme="minorEastAsia" w:cstheme="minorEastAsia"/>
          <w:kern w:val="0"/>
          <w:sz w:val="24"/>
          <w:szCs w:val="24"/>
        </w:rPr>
        <w:t>要求病案浏览时具备多条件复合查询功能，实现首页快捷检索，快速查找病案信息；</w:t>
      </w:r>
    </w:p>
    <w:p w14:paraId="134D96B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w:t>
      </w:r>
      <w:r>
        <w:rPr>
          <w:rFonts w:hint="eastAsia" w:asciiTheme="minorEastAsia" w:hAnsiTheme="minorEastAsia" w:eastAsiaTheme="minorEastAsia" w:cstheme="minorEastAsia"/>
          <w:kern w:val="0"/>
          <w:sz w:val="24"/>
          <w:szCs w:val="24"/>
        </w:rPr>
        <w:t>要能够实现病案的对比查询，例如同一患者多次住院历史病案的对比浏览，科研病案的对比查询浏览；</w:t>
      </w:r>
    </w:p>
    <w:p w14:paraId="2412022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28.</w:t>
      </w:r>
      <w:r>
        <w:rPr>
          <w:rFonts w:hint="eastAsia" w:asciiTheme="minorEastAsia" w:hAnsiTheme="minorEastAsia" w:eastAsiaTheme="minorEastAsia" w:cstheme="minorEastAsia"/>
          <w:kern w:val="0"/>
          <w:sz w:val="24"/>
          <w:szCs w:val="24"/>
        </w:rPr>
        <w:t>要求首页具有病案申请状态、以时间轴形式显示（病案当前处理状态、当前位置、历史操作）；</w:t>
      </w:r>
    </w:p>
    <w:p w14:paraId="1AA5F07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29.</w:t>
      </w:r>
      <w:r>
        <w:rPr>
          <w:rFonts w:hint="eastAsia" w:asciiTheme="minorEastAsia" w:hAnsiTheme="minorEastAsia" w:eastAsiaTheme="minorEastAsia" w:cstheme="minorEastAsia"/>
          <w:kern w:val="0"/>
          <w:sz w:val="24"/>
          <w:szCs w:val="24"/>
        </w:rPr>
        <w:t>在申请过程中具备提醒、催办等功能；</w:t>
      </w:r>
    </w:p>
    <w:p w14:paraId="5B3AC0D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30.</w:t>
      </w:r>
      <w:r>
        <w:rPr>
          <w:rFonts w:hint="eastAsia" w:asciiTheme="minorEastAsia" w:hAnsiTheme="minorEastAsia" w:eastAsiaTheme="minorEastAsia" w:cstheme="minorEastAsia"/>
          <w:kern w:val="0"/>
          <w:sz w:val="24"/>
          <w:szCs w:val="24"/>
        </w:rPr>
        <w:t>要能够支持病案图片的科研讨论、在线讨论，能够查询到病案当前的位置以浏览的历史记录，支持滚轮的放大缩小以及拖放；</w:t>
      </w:r>
    </w:p>
    <w:p w14:paraId="0536500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31.</w:t>
      </w:r>
      <w:r>
        <w:rPr>
          <w:rFonts w:hint="eastAsia" w:asciiTheme="minorEastAsia" w:hAnsiTheme="minorEastAsia" w:eastAsiaTheme="minorEastAsia" w:cstheme="minorEastAsia"/>
          <w:kern w:val="0"/>
          <w:sz w:val="24"/>
          <w:szCs w:val="24"/>
        </w:rPr>
        <w:t>病案在查询浏览时显示的病案图像具有水印，防止非法拍摄，屏蔽非法拷贝；</w:t>
      </w:r>
    </w:p>
    <w:p w14:paraId="3F7AC02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32.</w:t>
      </w:r>
      <w:r>
        <w:rPr>
          <w:rFonts w:hint="eastAsia" w:asciiTheme="minorEastAsia" w:hAnsiTheme="minorEastAsia" w:eastAsiaTheme="minorEastAsia" w:cstheme="minorEastAsia"/>
          <w:kern w:val="0"/>
          <w:sz w:val="24"/>
          <w:szCs w:val="24"/>
        </w:rPr>
        <w:t>支持一键打印，及自定义配置水印；</w:t>
      </w:r>
    </w:p>
    <w:p w14:paraId="7EFE738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33.</w:t>
      </w:r>
      <w:r>
        <w:rPr>
          <w:rFonts w:hint="eastAsia" w:asciiTheme="minorEastAsia" w:hAnsiTheme="minorEastAsia" w:eastAsiaTheme="minorEastAsia" w:cstheme="minorEastAsia"/>
          <w:kern w:val="0"/>
          <w:sz w:val="24"/>
          <w:szCs w:val="24"/>
        </w:rPr>
        <w:t>要求数字化软件具有病历质控功能，要能质控出处理后患者病历信息的完整性，能够检查病历的类别以及病历页码漏扫的情况；</w:t>
      </w:r>
    </w:p>
    <w:p w14:paraId="523DBC8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34.</w:t>
      </w:r>
      <w:r>
        <w:rPr>
          <w:rFonts w:hint="eastAsia" w:asciiTheme="minorEastAsia" w:hAnsiTheme="minorEastAsia" w:eastAsiaTheme="minorEastAsia" w:cstheme="minorEastAsia"/>
          <w:kern w:val="0"/>
          <w:sz w:val="24"/>
          <w:szCs w:val="24"/>
        </w:rPr>
        <w:t>数字化病案的打印具有色彩选择和打印套餐选择，打印套餐可进行维护；</w:t>
      </w:r>
    </w:p>
    <w:p w14:paraId="0650505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35.</w:t>
      </w:r>
      <w:r>
        <w:rPr>
          <w:rFonts w:hint="eastAsia" w:asciiTheme="minorEastAsia" w:hAnsiTheme="minorEastAsia" w:eastAsiaTheme="minorEastAsia" w:cstheme="minorEastAsia"/>
          <w:kern w:val="0"/>
          <w:sz w:val="24"/>
          <w:szCs w:val="24"/>
        </w:rPr>
        <w:t>能够自动分析出病案加工的工作量，以及申请、复印的工作量；</w:t>
      </w:r>
    </w:p>
    <w:p w14:paraId="4A0DB8D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36.</w:t>
      </w:r>
      <w:r>
        <w:rPr>
          <w:rFonts w:hint="eastAsia" w:asciiTheme="minorEastAsia" w:hAnsiTheme="minorEastAsia" w:eastAsiaTheme="minorEastAsia" w:cstheme="minorEastAsia"/>
          <w:kern w:val="0"/>
          <w:sz w:val="24"/>
          <w:szCs w:val="24"/>
        </w:rPr>
        <w:t>病案打印时支持二代身份证读卡器，可以直接扫描患者及代理人的身份证并进行记录，记录内容包含但不仅限于打印操作人员、申请打印人员、申请日期、打印日期等等；</w:t>
      </w:r>
    </w:p>
    <w:p w14:paraId="0B6FAE4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37.</w:t>
      </w:r>
      <w:r>
        <w:rPr>
          <w:rFonts w:hint="eastAsia" w:asciiTheme="minorEastAsia" w:hAnsiTheme="minorEastAsia" w:eastAsiaTheme="minorEastAsia" w:cstheme="minorEastAsia"/>
          <w:kern w:val="0"/>
          <w:sz w:val="24"/>
          <w:szCs w:val="24"/>
        </w:rPr>
        <w:t>病案打印支持遮盖打印、截取打印</w:t>
      </w:r>
    </w:p>
    <w:p w14:paraId="6C5CCC2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38.</w:t>
      </w:r>
      <w:r>
        <w:rPr>
          <w:rFonts w:hint="eastAsia" w:asciiTheme="minorEastAsia" w:hAnsiTheme="minorEastAsia" w:eastAsiaTheme="minorEastAsia" w:cstheme="minorEastAsia"/>
          <w:kern w:val="0"/>
          <w:sz w:val="24"/>
          <w:szCs w:val="24"/>
        </w:rPr>
        <w:t>要具有打印记录，能够记录病案打印过程的所有操作，包括所打印病案的病案号、患者姓名、打印时间、打印页码等等；</w:t>
      </w:r>
    </w:p>
    <w:p w14:paraId="6C153C5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39.</w:t>
      </w:r>
      <w:r>
        <w:rPr>
          <w:rFonts w:hint="eastAsia" w:asciiTheme="minorEastAsia" w:hAnsiTheme="minorEastAsia" w:eastAsiaTheme="minorEastAsia" w:cstheme="minorEastAsia"/>
          <w:kern w:val="0"/>
          <w:sz w:val="24"/>
          <w:szCs w:val="24"/>
        </w:rPr>
        <w:t>支持邮寄信息记录，可以按时间段、申请人及邮寄状态统计邮寄的明细记录；</w:t>
      </w:r>
    </w:p>
    <w:p w14:paraId="254512B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40.</w:t>
      </w:r>
      <w:r>
        <w:rPr>
          <w:rFonts w:hint="eastAsia" w:asciiTheme="minorEastAsia" w:hAnsiTheme="minorEastAsia" w:eastAsiaTheme="minorEastAsia" w:cstheme="minorEastAsia"/>
          <w:kern w:val="0"/>
          <w:sz w:val="24"/>
          <w:szCs w:val="24"/>
        </w:rPr>
        <w:t>系统要具有开放性，能够根据医院的实际需求进行应用系统的重组以及系统的二次开发；</w:t>
      </w:r>
    </w:p>
    <w:p w14:paraId="5458CDD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41.</w:t>
      </w:r>
      <w:r>
        <w:rPr>
          <w:rFonts w:hint="eastAsia" w:asciiTheme="minorEastAsia" w:hAnsiTheme="minorEastAsia" w:eastAsiaTheme="minorEastAsia" w:cstheme="minorEastAsia"/>
          <w:kern w:val="0"/>
          <w:sz w:val="24"/>
          <w:szCs w:val="24"/>
        </w:rPr>
        <w:t>数字化病案浏览模块要包含病案查询、记录管理、申请单管理、系统设置四大主要部分；</w:t>
      </w:r>
    </w:p>
    <w:p w14:paraId="6E1E03E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42.</w:t>
      </w:r>
      <w:r>
        <w:rPr>
          <w:rFonts w:hint="eastAsia" w:asciiTheme="minorEastAsia" w:hAnsiTheme="minorEastAsia" w:eastAsiaTheme="minorEastAsia" w:cstheme="minorEastAsia"/>
          <w:kern w:val="0"/>
          <w:sz w:val="24"/>
          <w:szCs w:val="24"/>
        </w:rPr>
        <w:t>数字化病案图片的查询要支持模糊查询和精确查询、病案的保密查询、科研查询和对比查询等；</w:t>
      </w:r>
    </w:p>
    <w:p w14:paraId="793B01C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43.</w:t>
      </w:r>
      <w:r>
        <w:rPr>
          <w:rFonts w:hint="eastAsia" w:asciiTheme="minorEastAsia" w:hAnsiTheme="minorEastAsia" w:eastAsiaTheme="minorEastAsia" w:cstheme="minorEastAsia"/>
          <w:kern w:val="0"/>
          <w:sz w:val="24"/>
          <w:szCs w:val="24"/>
        </w:rPr>
        <w:t>病案浏览查询的条件支持住院号、病案号、住院次数、患者姓名、手术名称、麻醉方式、切口等级、诊断名称、入院科室、主治医师、住院医师、手术时间、住院时间、性别等进行查询；</w:t>
      </w:r>
    </w:p>
    <w:p w14:paraId="3B7564D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44.</w:t>
      </w:r>
      <w:r>
        <w:rPr>
          <w:rFonts w:hint="eastAsia" w:asciiTheme="minorEastAsia" w:hAnsiTheme="minorEastAsia" w:eastAsiaTheme="minorEastAsia" w:cstheme="minorEastAsia"/>
          <w:kern w:val="0"/>
          <w:sz w:val="24"/>
          <w:szCs w:val="24"/>
        </w:rPr>
        <w:t>要具有数字化病案图片的保密管理，保密要分为三个级别，保密的图片不能随意查询浏览；</w:t>
      </w:r>
    </w:p>
    <w:p w14:paraId="470DA4F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45.</w:t>
      </w:r>
      <w:r>
        <w:rPr>
          <w:rFonts w:hint="eastAsia" w:asciiTheme="minorEastAsia" w:hAnsiTheme="minorEastAsia" w:eastAsiaTheme="minorEastAsia" w:cstheme="minorEastAsia"/>
          <w:kern w:val="0"/>
          <w:sz w:val="24"/>
          <w:szCs w:val="24"/>
        </w:rPr>
        <w:t>要能够实现病案的对比查询，例如同一患者多次住院历史病案的对比浏览，科研病案的对比查询浏览；</w:t>
      </w:r>
    </w:p>
    <w:p w14:paraId="001CFFF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46.</w:t>
      </w:r>
      <w:r>
        <w:rPr>
          <w:rFonts w:hint="eastAsia" w:asciiTheme="minorEastAsia" w:hAnsiTheme="minorEastAsia" w:eastAsiaTheme="minorEastAsia" w:cstheme="minorEastAsia"/>
          <w:kern w:val="0"/>
          <w:sz w:val="24"/>
          <w:szCs w:val="24"/>
        </w:rPr>
        <w:t>对查询到的病案要能够支持病案图片的科研讨论、在线讨论，能够查询到病案当前的位置以浏览的历史记录，支持鼠标滚轮的放大缩小以及拖放；</w:t>
      </w:r>
    </w:p>
    <w:p w14:paraId="2557B17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47.</w:t>
      </w:r>
      <w:r>
        <w:rPr>
          <w:rFonts w:hint="eastAsia" w:asciiTheme="minorEastAsia" w:hAnsiTheme="minorEastAsia" w:eastAsiaTheme="minorEastAsia" w:cstheme="minorEastAsia"/>
          <w:kern w:val="0"/>
          <w:sz w:val="24"/>
          <w:szCs w:val="24"/>
        </w:rPr>
        <w:t>要具有对数字化图片借阅浏览的申请单，病案申请浏览模块中，支持逐份、批量、按科室审核；</w:t>
      </w:r>
    </w:p>
    <w:p w14:paraId="68A4CDE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48.系统支持死亡和非医嘱离院病历上报国家或广西平台；</w:t>
      </w:r>
    </w:p>
    <w:p w14:paraId="27F7AE0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49.</w:t>
      </w:r>
      <w:r>
        <w:rPr>
          <w:rFonts w:hint="eastAsia" w:asciiTheme="minorEastAsia" w:hAnsiTheme="minorEastAsia" w:eastAsiaTheme="minorEastAsia" w:cstheme="minorEastAsia"/>
          <w:kern w:val="0"/>
          <w:sz w:val="24"/>
          <w:szCs w:val="24"/>
        </w:rPr>
        <w:t>系统要能够对系统用户的所有操作以及病案的打印具有日志记录功能；</w:t>
      </w:r>
    </w:p>
    <w:p w14:paraId="00423BC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50.</w:t>
      </w:r>
      <w:r>
        <w:rPr>
          <w:rFonts w:hint="eastAsia" w:asciiTheme="minorEastAsia" w:hAnsiTheme="minorEastAsia" w:eastAsiaTheme="minorEastAsia" w:cstheme="minorEastAsia"/>
          <w:kern w:val="0"/>
          <w:sz w:val="24"/>
          <w:szCs w:val="24"/>
        </w:rPr>
        <w:t>用户管理：管理数字化客户端用户信息及B/S浏览用户信息，可以对用户信息进行查询/添加/修改/删除操作， 可以配合病案设置保密等级权限， 可以限定用户查看及申请科室权限；</w:t>
      </w:r>
    </w:p>
    <w:p w14:paraId="157BC81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51.</w:t>
      </w:r>
      <w:r>
        <w:rPr>
          <w:rFonts w:hint="eastAsia" w:asciiTheme="minorEastAsia" w:hAnsiTheme="minorEastAsia" w:eastAsiaTheme="minorEastAsia" w:cstheme="minorEastAsia"/>
          <w:kern w:val="0"/>
          <w:sz w:val="24"/>
          <w:szCs w:val="24"/>
        </w:rPr>
        <w:t>用户组管理：对用户进行分组，可对分组进行查询/添加/修改/删除操作；</w:t>
      </w:r>
    </w:p>
    <w:p w14:paraId="2956ED6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52.</w:t>
      </w:r>
      <w:r>
        <w:rPr>
          <w:rFonts w:hint="eastAsia" w:asciiTheme="minorEastAsia" w:hAnsiTheme="minorEastAsia" w:eastAsiaTheme="minorEastAsia" w:cstheme="minorEastAsia"/>
          <w:kern w:val="0"/>
          <w:sz w:val="24"/>
          <w:szCs w:val="24"/>
        </w:rPr>
        <w:t>权限组管理：对用户所拥有的系统功能进行设置， 并可限制该权限组所对应的相关科室；</w:t>
      </w:r>
    </w:p>
    <w:p w14:paraId="0481B3E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53.</w:t>
      </w:r>
      <w:r>
        <w:rPr>
          <w:rFonts w:hint="eastAsia" w:asciiTheme="minorEastAsia" w:hAnsiTheme="minorEastAsia" w:eastAsiaTheme="minorEastAsia" w:cstheme="minorEastAsia"/>
          <w:kern w:val="0"/>
          <w:sz w:val="24"/>
          <w:szCs w:val="24"/>
        </w:rPr>
        <w:t>数字化病案软件包含以下模块：数字化病案应用系统、数字化病案浏览器、数字化病案管理工作站、数字化病案打印工作站、数字化病案科研工作站、数字化病案随访工作站、数字化病案B/S浏览器</w:t>
      </w:r>
    </w:p>
    <w:p w14:paraId="2AF3172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54.支持对接医院无纸化病案管理系统，实现数据的整合，保证病案数据的完整性，接口对接费用由中标方负责。</w:t>
      </w:r>
    </w:p>
    <w:p w14:paraId="274B69D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b/>
          <w:bCs/>
          <w:spacing w:val="1"/>
          <w:sz w:val="24"/>
          <w:szCs w:val="24"/>
        </w:rPr>
      </w:pPr>
      <w:r>
        <w:rPr>
          <w:rFonts w:hint="eastAsia" w:asciiTheme="minorEastAsia" w:hAnsiTheme="minorEastAsia" w:eastAsiaTheme="minorEastAsia" w:cstheme="minorEastAsia"/>
          <w:b/>
          <w:bCs/>
          <w:spacing w:val="1"/>
          <w:sz w:val="24"/>
          <w:szCs w:val="24"/>
          <w:lang w:val="en-US" w:eastAsia="zh-CN"/>
        </w:rPr>
        <w:t>二、</w:t>
      </w:r>
      <w:r>
        <w:rPr>
          <w:rFonts w:hint="eastAsia" w:asciiTheme="minorEastAsia" w:hAnsiTheme="minorEastAsia" w:eastAsiaTheme="minorEastAsia" w:cstheme="minorEastAsia"/>
          <w:b/>
          <w:bCs/>
          <w:spacing w:val="1"/>
          <w:sz w:val="24"/>
          <w:szCs w:val="24"/>
        </w:rPr>
        <w:t>数字化服务要求</w:t>
      </w:r>
      <w:r>
        <w:rPr>
          <w:rFonts w:hint="eastAsia" w:asciiTheme="minorEastAsia" w:hAnsiTheme="minorEastAsia" w:eastAsiaTheme="minorEastAsia" w:cstheme="minorEastAsia"/>
          <w:b/>
          <w:bCs/>
          <w:sz w:val="24"/>
          <w:szCs w:val="24"/>
        </w:rPr>
        <w:t>：</w:t>
      </w:r>
    </w:p>
    <w:p w14:paraId="254EBEE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服务内容包含但不限于病案数字化交接、病案数字化加工、病案数字化审核、病案条码装箱打包、病案数字化上架、病案首页信息数据库转换、病案首页基本信息录入；</w:t>
      </w:r>
    </w:p>
    <w:p w14:paraId="6FB6C85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w:t>
      </w:r>
      <w:r>
        <w:rPr>
          <w:rFonts w:hint="eastAsia" w:asciiTheme="minorEastAsia" w:hAnsiTheme="minorEastAsia" w:eastAsiaTheme="minorEastAsia" w:cstheme="minorEastAsia"/>
          <w:kern w:val="0"/>
          <w:sz w:val="24"/>
          <w:szCs w:val="24"/>
        </w:rPr>
        <w:t>病案数字化涉及医院病案安全性，病案数字化场所除医院工作人员数字化服务人员进入，其他人员严禁进入，并签订保密协议；</w:t>
      </w:r>
    </w:p>
    <w:p w14:paraId="25E386A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数字化服务现场配有项目经理，负责数字化质量的审核，复核，抽查，需提供现场项目经理的联系方式及既往成功案例；</w:t>
      </w:r>
    </w:p>
    <w:p w14:paraId="46F779D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数字化服务包含提供所需病历周转箱，病历周转箱要按医院要求定制；</w:t>
      </w:r>
    </w:p>
    <w:p w14:paraId="0377AF3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数字化服务要有专人翻拍，专人打包封箱，专人上架，每个病历周转箱都要有唯一条码等，要有详细的说明并提供工作人员分配表；</w:t>
      </w:r>
    </w:p>
    <w:p w14:paraId="649A55F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数字化服务要求提供数字化加工服务的项目计划表；</w:t>
      </w:r>
    </w:p>
    <w:p w14:paraId="3ABBE72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7.</w:t>
      </w:r>
      <w:r>
        <w:rPr>
          <w:rFonts w:hint="eastAsia" w:asciiTheme="minorEastAsia" w:hAnsiTheme="minorEastAsia" w:eastAsiaTheme="minorEastAsia" w:cstheme="minorEastAsia"/>
          <w:kern w:val="0"/>
          <w:sz w:val="24"/>
          <w:szCs w:val="24"/>
        </w:rPr>
        <w:t>数字化服务应包含数字化所需耗材及硬件设备</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高拍仪、电脑、条码枪、条码打印机</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费用</w:t>
      </w:r>
      <w:r>
        <w:rPr>
          <w:rFonts w:hint="eastAsia" w:asciiTheme="minorEastAsia" w:hAnsiTheme="minorEastAsia" w:eastAsiaTheme="minorEastAsia" w:cstheme="minorEastAsia"/>
          <w:kern w:val="0"/>
          <w:sz w:val="24"/>
          <w:szCs w:val="24"/>
        </w:rPr>
        <w:t>，并提供耗材以及硬件设备一览表；</w:t>
      </w:r>
    </w:p>
    <w:p w14:paraId="63119D8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w:t>
      </w:r>
      <w:r>
        <w:rPr>
          <w:rFonts w:hint="eastAsia" w:asciiTheme="minorEastAsia" w:hAnsiTheme="minorEastAsia" w:eastAsiaTheme="minorEastAsia" w:cstheme="minorEastAsia"/>
          <w:kern w:val="0"/>
          <w:sz w:val="24"/>
          <w:szCs w:val="24"/>
        </w:rPr>
        <w:t>数字化加工服务现场必须划分：拍摄区、审核区、病案存放区、拆钉装箱区，办公用品存放区，公告区，更衣区等区域；</w:t>
      </w:r>
    </w:p>
    <w:p w14:paraId="60B5F62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9.</w:t>
      </w:r>
      <w:r>
        <w:rPr>
          <w:rFonts w:hint="eastAsia" w:asciiTheme="minorEastAsia" w:hAnsiTheme="minorEastAsia" w:eastAsiaTheme="minorEastAsia" w:cstheme="minorEastAsia"/>
          <w:kern w:val="0"/>
          <w:sz w:val="24"/>
          <w:szCs w:val="24"/>
        </w:rPr>
        <w:t>数字化加工人员要根据医院的病历要求进行病历分类；</w:t>
      </w:r>
    </w:p>
    <w:p w14:paraId="1124422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10.</w:t>
      </w:r>
      <w:r>
        <w:rPr>
          <w:rFonts w:hint="eastAsia" w:asciiTheme="minorEastAsia" w:hAnsiTheme="minorEastAsia" w:eastAsiaTheme="minorEastAsia" w:cstheme="minorEastAsia"/>
          <w:kern w:val="0"/>
          <w:sz w:val="24"/>
          <w:szCs w:val="24"/>
        </w:rPr>
        <w:t>数字化加工要有交接流程，交接流程要保证病历数量无误，并对病历绑码处理。</w:t>
      </w:r>
    </w:p>
    <w:p w14:paraId="2112BD1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11.</w:t>
      </w:r>
      <w:r>
        <w:rPr>
          <w:rFonts w:hint="eastAsia" w:asciiTheme="minorEastAsia" w:hAnsiTheme="minorEastAsia" w:eastAsiaTheme="minorEastAsia" w:cstheme="minorEastAsia"/>
          <w:kern w:val="0"/>
          <w:sz w:val="24"/>
          <w:szCs w:val="24"/>
        </w:rPr>
        <w:t>加工要求清晰，无阴影，手影等，并要求审核人员对加工的病历逐页审核，不允许部分审核</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未审核的病历不允许打印、借阅</w:t>
      </w:r>
      <w:r>
        <w:rPr>
          <w:rFonts w:hint="eastAsia" w:asciiTheme="minorEastAsia" w:hAnsiTheme="minorEastAsia" w:eastAsiaTheme="minorEastAsia" w:cstheme="minorEastAsia"/>
          <w:kern w:val="0"/>
          <w:sz w:val="24"/>
          <w:szCs w:val="24"/>
        </w:rPr>
        <w:t>；</w:t>
      </w:r>
    </w:p>
    <w:p w14:paraId="603753E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12.</w:t>
      </w:r>
      <w:r>
        <w:rPr>
          <w:rFonts w:hint="eastAsia" w:asciiTheme="minorEastAsia" w:hAnsiTheme="minorEastAsia" w:eastAsiaTheme="minorEastAsia" w:cstheme="minorEastAsia"/>
          <w:kern w:val="0"/>
          <w:sz w:val="24"/>
          <w:szCs w:val="24"/>
        </w:rPr>
        <w:t>数字化服务包含售后服务，售后响应时间要求</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小时内响应，</w:t>
      </w: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小时内到达现场。</w:t>
      </w:r>
    </w:p>
    <w:p w14:paraId="74A1F41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13.每年应提供2次现场巡检服务，并出具巡检报告。当出现短时间不能解决的系统重大事故时，乙方相应技术支持人员应当在12小时内进行现场处理。</w:t>
      </w:r>
    </w:p>
    <w:p w14:paraId="487E042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14.乙方承诺在项目维护期间，故障问题响应时间不超过 2小时，一般软件问题处理时长不超过6小时，重大故障问题处理时长不超过12小时。</w:t>
      </w:r>
    </w:p>
    <w:p w14:paraId="6D7D7DC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15.数字化服务包含对软件使用的培训、维护、需求处理等费用，数字化加工服务期内免费提供所需接口。</w:t>
      </w:r>
    </w:p>
    <w:p w14:paraId="2797ECF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16.数字化服务要求必须闭环管理，交接、领用、加工、审核、装箱、上架等流程全部处于闭环管理。</w:t>
      </w:r>
    </w:p>
    <w:p w14:paraId="1B96FC5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 xml:space="preserve">17.数字化服务要求支持病历智能审核，审核有问题的病历人工逐一核对。  </w:t>
      </w:r>
    </w:p>
    <w:p w14:paraId="283044B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p w14:paraId="1A667F46">
      <w:pPr>
        <w:keepNext w:val="0"/>
        <w:keepLines w:val="0"/>
        <w:pageBreakBefore w:val="0"/>
        <w:kinsoku/>
        <w:wordWrap/>
        <w:overflowPunct/>
        <w:topLinePunct w:val="0"/>
        <w:bidi w:val="0"/>
        <w:adjustRightInd w:val="0"/>
        <w:snapToGrid w:val="0"/>
        <w:spacing w:line="360" w:lineRule="auto"/>
        <w:rPr>
          <w:rFonts w:hint="default" w:ascii="宋体" w:hAnsi="宋体" w:eastAsia="宋体" w:cs="宋体"/>
          <w:b/>
          <w:bCs/>
          <w:sz w:val="24"/>
          <w:szCs w:val="24"/>
          <w:lang w:val="en-US"/>
        </w:rPr>
      </w:pPr>
      <w:r>
        <w:rPr>
          <w:rFonts w:hint="eastAsia" w:ascii="宋体" w:hAnsi="宋体" w:eastAsia="宋体" w:cs="宋体"/>
          <w:b/>
          <w:bCs/>
          <w:sz w:val="24"/>
          <w:szCs w:val="24"/>
          <w:lang w:val="en-US" w:eastAsia="zh-CN"/>
        </w:rPr>
        <w:t>三、合同主要条款</w:t>
      </w:r>
    </w:p>
    <w:p w14:paraId="02B13825">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w:t>
      </w:r>
    </w:p>
    <w:p w14:paraId="04544EF4">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w:t>
      </w:r>
    </w:p>
    <w:p w14:paraId="48AD7CE7">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甲乙双方依据《中华人民共和国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》及相关</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"http://laws.66law.cn" \o "法律法规" </w:instrText>
      </w:r>
      <w:r>
        <w:rPr>
          <w:rFonts w:hint="eastAsia" w:ascii="宋体" w:hAnsi="宋体" w:eastAsia="宋体" w:cs="宋体"/>
          <w:sz w:val="24"/>
          <w:szCs w:val="24"/>
        </w:rPr>
        <w:fldChar w:fldCharType="separate"/>
      </w:r>
      <w:r>
        <w:rPr>
          <w:rStyle w:val="16"/>
          <w:rFonts w:hint="eastAsia" w:ascii="宋体" w:hAnsi="宋体" w:eastAsia="宋体" w:cs="宋体"/>
          <w:color w:val="auto"/>
          <w:sz w:val="24"/>
          <w:szCs w:val="24"/>
          <w:u w:val="none"/>
        </w:rPr>
        <w:t>法律法规</w:t>
      </w:r>
      <w:r>
        <w:rPr>
          <w:rFonts w:hint="eastAsia" w:ascii="宋体" w:hAnsi="宋体" w:eastAsia="宋体" w:cs="宋体"/>
          <w:sz w:val="24"/>
          <w:szCs w:val="24"/>
        </w:rPr>
        <w:fldChar w:fldCharType="end"/>
      </w:r>
      <w:r>
        <w:rPr>
          <w:rFonts w:hint="eastAsia" w:ascii="宋体" w:hAnsi="宋体" w:eastAsia="宋体" w:cs="宋体"/>
          <w:sz w:val="24"/>
          <w:szCs w:val="24"/>
        </w:rPr>
        <w:t>，本着相互合作、互利互惠的原则，经充分协商，订立本合同，以兹共同遵照履行。</w:t>
      </w:r>
    </w:p>
    <w:p w14:paraId="095DE5C9">
      <w:pPr>
        <w:keepNext w:val="0"/>
        <w:keepLines w:val="0"/>
        <w:pageBreakBefore w:val="0"/>
        <w:kinsoku/>
        <w:wordWrap/>
        <w:overflowPunct/>
        <w:topLinePunct w:val="0"/>
        <w:bidi w:val="0"/>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一、产品名称及版本号</w:t>
      </w:r>
    </w:p>
    <w:p w14:paraId="1B93571E">
      <w:pPr>
        <w:keepNext w:val="0"/>
        <w:keepLines w:val="0"/>
        <w:pageBreakBefore w:val="0"/>
        <w:kinsoku/>
        <w:wordWrap/>
        <w:overflowPunct/>
        <w:topLinePunct w:val="0"/>
        <w:bidi w:val="0"/>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二、产品项目</w:t>
      </w:r>
    </w:p>
    <w:p w14:paraId="2235D8B4">
      <w:pPr>
        <w:keepNext w:val="0"/>
        <w:keepLines w:val="0"/>
        <w:pageBreakBefore w:val="0"/>
        <w:kinsoku/>
        <w:wordWrap/>
        <w:overflowPunct/>
        <w:topLinePunct w:val="0"/>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甲方委托乙方实施医院病案数字化系统软件及加工服务，洽谈达成该协议。</w:t>
      </w:r>
    </w:p>
    <w:p w14:paraId="0AB7B2EB">
      <w:pPr>
        <w:keepNext w:val="0"/>
        <w:keepLines w:val="0"/>
        <w:pageBreakBefore w:val="0"/>
        <w:kinsoku/>
        <w:wordWrap/>
        <w:overflowPunct/>
        <w:topLinePunct w:val="0"/>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安装数据库服务器所需后台支撑系统；</w:t>
      </w:r>
    </w:p>
    <w:p w14:paraId="1826973D">
      <w:pPr>
        <w:keepNext w:val="0"/>
        <w:keepLines w:val="0"/>
        <w:pageBreakBefore w:val="0"/>
        <w:kinsoku/>
        <w:wordWrap/>
        <w:overflowPunct/>
        <w:topLinePunct w:val="0"/>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B．安装病案数字化系统</w:t>
      </w:r>
    </w:p>
    <w:p w14:paraId="744B8CF2">
      <w:pPr>
        <w:keepNext w:val="0"/>
        <w:keepLines w:val="0"/>
        <w:pageBreakBefore w:val="0"/>
        <w:kinsoku/>
        <w:wordWrap/>
        <w:overflowPunct/>
        <w:topLinePunct w:val="0"/>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C．病案数字化加工处理；</w:t>
      </w:r>
    </w:p>
    <w:p w14:paraId="4F3C9063">
      <w:pPr>
        <w:keepNext w:val="0"/>
        <w:keepLines w:val="0"/>
        <w:pageBreakBefore w:val="0"/>
        <w:kinsoku/>
        <w:wordWrap/>
        <w:overflowPunct/>
        <w:topLinePunct w:val="0"/>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D．数字化软件使用人员培训。</w:t>
      </w:r>
    </w:p>
    <w:p w14:paraId="513E80D3">
      <w:pPr>
        <w:keepNext w:val="0"/>
        <w:keepLines w:val="0"/>
        <w:pageBreakBefore w:val="0"/>
        <w:kinsoku/>
        <w:wordWrap/>
        <w:overflowPunct/>
        <w:topLinePunct w:val="0"/>
        <w:bidi w:val="0"/>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三、产品价格</w:t>
      </w:r>
    </w:p>
    <w:p w14:paraId="2D6926D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 xml:space="preserve"> 收费方式：按页收费</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据实结算</w:t>
      </w:r>
      <w:r>
        <w:rPr>
          <w:rFonts w:hint="eastAsia" w:ascii="宋体" w:hAnsi="宋体" w:eastAsia="宋体" w:cs="宋体"/>
          <w:color w:val="000000" w:themeColor="text1"/>
          <w:sz w:val="24"/>
          <w:szCs w:val="24"/>
          <w14:textFill>
            <w14:solidFill>
              <w14:schemeClr w14:val="tx1"/>
            </w14:solidFill>
          </w14:textFill>
        </w:rPr>
        <w:t>；</w:t>
      </w:r>
    </w:p>
    <w:p w14:paraId="4ABC4C2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收费价格</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含税</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元/页。</w:t>
      </w:r>
    </w:p>
    <w:p w14:paraId="3D15BCD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baseline"/>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 xml:space="preserve"> 验收</w:t>
      </w:r>
      <w:r>
        <w:rPr>
          <w:rFonts w:hint="eastAsia" w:ascii="宋体" w:hAnsi="宋体" w:eastAsia="宋体" w:cs="宋体"/>
          <w:b/>
          <w:sz w:val="24"/>
          <w:szCs w:val="24"/>
        </w:rPr>
        <w:tab/>
      </w:r>
      <w:r>
        <w:rPr>
          <w:rFonts w:hint="eastAsia" w:ascii="宋体" w:hAnsi="宋体" w:eastAsia="宋体" w:cs="宋体"/>
          <w:b/>
          <w:sz w:val="24"/>
          <w:szCs w:val="24"/>
        </w:rPr>
        <w:tab/>
      </w:r>
    </w:p>
    <w:p w14:paraId="7F7B1CCE">
      <w:pPr>
        <w:pStyle w:val="19"/>
        <w:keepNext w:val="0"/>
        <w:keepLines w:val="0"/>
        <w:pageBreakBefore w:val="0"/>
        <w:widowControl w:val="0"/>
        <w:numPr>
          <w:ilvl w:val="0"/>
          <w:numId w:val="1"/>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lang w:eastAsia="zh-CN"/>
        </w:rPr>
        <w:t>乙方应能在签订合同</w:t>
      </w:r>
      <w:r>
        <w:rPr>
          <w:rFonts w:hint="eastAsia" w:ascii="宋体" w:hAnsi="宋体" w:eastAsia="宋体" w:cs="宋体"/>
          <w:sz w:val="24"/>
          <w:szCs w:val="24"/>
          <w:lang w:val="en-US" w:eastAsia="zh-CN"/>
        </w:rPr>
        <w:t>后按院方指定地点</w:t>
      </w:r>
      <w:r>
        <w:rPr>
          <w:rFonts w:hint="eastAsia" w:ascii="宋体" w:hAnsi="宋体" w:eastAsia="宋体" w:cs="宋体"/>
          <w:sz w:val="24"/>
          <w:szCs w:val="24"/>
          <w:lang w:eastAsia="zh-CN"/>
        </w:rPr>
        <w:t>完成病历数字化加工服务。</w:t>
      </w:r>
    </w:p>
    <w:p w14:paraId="79262571">
      <w:pPr>
        <w:pStyle w:val="19"/>
        <w:keepNext w:val="0"/>
        <w:keepLines w:val="0"/>
        <w:pageBreakBefore w:val="0"/>
        <w:widowControl w:val="0"/>
        <w:numPr>
          <w:ilvl w:val="0"/>
          <w:numId w:val="1"/>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验收方法：乙方协助甲方每月随机抽查一定数量的病案图像和纸质病案，比例不低于数字化病案图像总数的5%，并与纸质病案对照核对数量及质量。</w:t>
      </w:r>
    </w:p>
    <w:p w14:paraId="29BAA4B7">
      <w:pPr>
        <w:pStyle w:val="19"/>
        <w:keepNext w:val="0"/>
        <w:keepLines w:val="0"/>
        <w:pageBreakBefore w:val="0"/>
        <w:widowControl w:val="0"/>
        <w:numPr>
          <w:ilvl w:val="0"/>
          <w:numId w:val="1"/>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验收标准：</w:t>
      </w:r>
    </w:p>
    <w:p w14:paraId="6993A72D">
      <w:pPr>
        <w:pStyle w:val="19"/>
        <w:keepNext w:val="0"/>
        <w:keepLines w:val="0"/>
        <w:pageBreakBefore w:val="0"/>
        <w:widowControl w:val="0"/>
        <w:numPr>
          <w:ilvl w:val="0"/>
          <w:numId w:val="2"/>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数字化病案图像是否与纸质病案完全一致。</w:t>
      </w:r>
    </w:p>
    <w:p w14:paraId="00738F09">
      <w:pPr>
        <w:pStyle w:val="19"/>
        <w:keepNext w:val="0"/>
        <w:keepLines w:val="0"/>
        <w:pageBreakBefore w:val="0"/>
        <w:widowControl w:val="0"/>
        <w:numPr>
          <w:ilvl w:val="0"/>
          <w:numId w:val="2"/>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数字化病案图像格式和清晰度是否符合要求。</w:t>
      </w:r>
    </w:p>
    <w:p w14:paraId="69F14199">
      <w:pPr>
        <w:pStyle w:val="19"/>
        <w:keepNext w:val="0"/>
        <w:keepLines w:val="0"/>
        <w:pageBreakBefore w:val="0"/>
        <w:widowControl w:val="0"/>
        <w:numPr>
          <w:ilvl w:val="0"/>
          <w:numId w:val="2"/>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数字化病案的文件夹命名是否符合标准，是否已分段。</w:t>
      </w:r>
    </w:p>
    <w:p w14:paraId="578C4F30">
      <w:pPr>
        <w:pStyle w:val="19"/>
        <w:keepNext w:val="0"/>
        <w:keepLines w:val="0"/>
        <w:pageBreakBefore w:val="0"/>
        <w:widowControl w:val="0"/>
        <w:numPr>
          <w:ilvl w:val="0"/>
          <w:numId w:val="2"/>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差错率：依据“纸质档案数字化技术标准（中华人民共和国档案行业标准DA/T31-2005）”之规定，数字化转换质量抽检的合格率应≧98%。</w:t>
      </w:r>
    </w:p>
    <w:p w14:paraId="42EE5D2E">
      <w:pPr>
        <w:pStyle w:val="19"/>
        <w:keepNext w:val="0"/>
        <w:keepLines w:val="0"/>
        <w:pageBreakBefore w:val="0"/>
        <w:widowControl w:val="0"/>
        <w:numPr>
          <w:ilvl w:val="0"/>
          <w:numId w:val="2"/>
        </w:numPr>
        <w:kinsoku/>
        <w:wordWrap/>
        <w:overflowPunct/>
        <w:topLinePunct w:val="0"/>
        <w:autoSpaceDE/>
        <w:autoSpaceDN/>
        <w:bidi w:val="0"/>
        <w:adjustRightInd w:val="0"/>
        <w:spacing w:before="0" w:beforeAutospacing="0" w:after="0" w:afterAutospacing="0"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首页信息的主要数据项（姓名、病案号、出院日期、主要诊断、手术）不得有任何差错。</w:t>
      </w:r>
    </w:p>
    <w:p w14:paraId="71B22BB0">
      <w:pPr>
        <w:pStyle w:val="19"/>
        <w:keepNext w:val="0"/>
        <w:keepLines w:val="0"/>
        <w:pageBreakBefore w:val="0"/>
        <w:widowControl w:val="0"/>
        <w:numPr>
          <w:ilvl w:val="0"/>
          <w:numId w:val="0"/>
        </w:numPr>
        <w:kinsoku/>
        <w:wordWrap/>
        <w:overflowPunct/>
        <w:topLinePunct w:val="0"/>
        <w:autoSpaceDE/>
        <w:autoSpaceDN/>
        <w:bidi w:val="0"/>
        <w:adjustRightInd w:val="0"/>
        <w:spacing w:before="0" w:beforeAutospacing="0" w:after="0" w:afterAutospacing="0" w:line="360" w:lineRule="auto"/>
        <w:ind w:leftChars="0" w:firstLine="480" w:firstLineChars="200"/>
        <w:textAlignment w:val="baseline"/>
        <w:rPr>
          <w:rFonts w:hint="eastAsia" w:ascii="宋体" w:hAnsi="宋体" w:eastAsia="宋体" w:cs="宋体"/>
          <w:sz w:val="24"/>
          <w:szCs w:val="24"/>
        </w:rPr>
      </w:pPr>
      <w:r>
        <w:rPr>
          <w:rFonts w:hint="eastAsia" w:cs="宋体"/>
          <w:sz w:val="24"/>
          <w:szCs w:val="24"/>
          <w:lang w:val="en-US" w:eastAsia="zh-CN"/>
        </w:rPr>
        <w:t>4.</w:t>
      </w:r>
      <w:r>
        <w:rPr>
          <w:rFonts w:hint="eastAsia" w:ascii="宋体" w:hAnsi="宋体" w:eastAsia="宋体" w:cs="宋体"/>
          <w:sz w:val="24"/>
          <w:szCs w:val="24"/>
        </w:rPr>
        <w:t>项目完成全部服务后，由乙方向甲方提出项目竣工验收申请，并向甲方提供一切有关技术文件、资料和相关记录等竣工材料，并在竣工前7 个工作日通知甲方及有关部门准备验收。拟竣工项目的实施总体功能、质量符合合同规定的，予以验收，并做出验收结果报告。双方签署项目终验验收报告，并正式交付使用，开始计算质保期。</w:t>
      </w:r>
    </w:p>
    <w:p w14:paraId="37982015">
      <w:pPr>
        <w:pStyle w:val="19"/>
        <w:keepNext w:val="0"/>
        <w:keepLines w:val="0"/>
        <w:pageBreakBefore w:val="0"/>
        <w:widowControl w:val="0"/>
        <w:numPr>
          <w:ilvl w:val="0"/>
          <w:numId w:val="0"/>
        </w:numPr>
        <w:kinsoku/>
        <w:wordWrap/>
        <w:overflowPunct/>
        <w:topLinePunct w:val="0"/>
        <w:autoSpaceDE/>
        <w:autoSpaceDN/>
        <w:bidi w:val="0"/>
        <w:adjustRightInd w:val="0"/>
        <w:spacing w:before="0" w:beforeAutospacing="0" w:after="0" w:afterAutospacing="0" w:line="360" w:lineRule="auto"/>
        <w:ind w:leftChars="0" w:firstLine="480" w:firstLineChars="200"/>
        <w:textAlignment w:val="baseline"/>
        <w:rPr>
          <w:rFonts w:hint="eastAsia" w:ascii="宋体" w:hAnsi="宋体" w:eastAsia="宋体" w:cs="宋体"/>
          <w:sz w:val="24"/>
          <w:szCs w:val="24"/>
        </w:rPr>
      </w:pPr>
      <w:r>
        <w:rPr>
          <w:rFonts w:hint="eastAsia" w:cs="宋体"/>
          <w:sz w:val="24"/>
          <w:szCs w:val="24"/>
          <w:lang w:val="en-US" w:eastAsia="zh-CN"/>
        </w:rPr>
        <w:t>5.</w:t>
      </w:r>
      <w:r>
        <w:rPr>
          <w:rFonts w:hint="eastAsia" w:ascii="宋体" w:hAnsi="宋体" w:eastAsia="宋体" w:cs="宋体"/>
          <w:sz w:val="24"/>
          <w:szCs w:val="24"/>
        </w:rPr>
        <w:t>项目验收后，乙方提供的用于项目的电脑、条码打印机、条码枪、高拍仪等相关设备由乙方收回。</w:t>
      </w:r>
    </w:p>
    <w:p w14:paraId="22EA684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2" w:leftChars="-1"/>
        <w:textAlignment w:val="baseline"/>
        <w:rPr>
          <w:rFonts w:hint="eastAsia" w:ascii="宋体" w:hAnsi="宋体" w:eastAsia="宋体" w:cs="宋体"/>
          <w:b/>
          <w:sz w:val="24"/>
          <w:szCs w:val="24"/>
        </w:rPr>
      </w:pPr>
      <w:r>
        <w:rPr>
          <w:rFonts w:hint="eastAsia" w:ascii="宋体" w:hAnsi="宋体" w:eastAsia="宋体" w:cs="宋体"/>
          <w:b/>
          <w:sz w:val="24"/>
          <w:szCs w:val="24"/>
          <w:lang w:eastAsia="zh-CN"/>
        </w:rPr>
        <w:t>五、</w:t>
      </w:r>
      <w:r>
        <w:rPr>
          <w:rFonts w:hint="eastAsia" w:ascii="宋体" w:hAnsi="宋体" w:eastAsia="宋体" w:cs="宋体"/>
          <w:b/>
          <w:sz w:val="24"/>
          <w:szCs w:val="24"/>
        </w:rPr>
        <w:t>货款支付</w:t>
      </w:r>
    </w:p>
    <w:p w14:paraId="78168ED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付款方式：服务期内每3个月为一个结算周期，每次结算按结算期内完成的病案数字化加工服务工作量计算服务费，计算公式为：中标单价（每页</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页）乘以结算期内实际完成的页数；每个结算期满，乙方就已完成的病案数字化加工服务工作量，向甲方提交服务确认书及付款申请，经甲方代表确认无误后，开具发票，甲方收到发票后20个工作日内结清加工服务费用。</w:t>
      </w:r>
    </w:p>
    <w:p w14:paraId="6193887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乙方开户银行名称、地址和账号为：</w:t>
      </w:r>
    </w:p>
    <w:p w14:paraId="2D5DF6D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1DB6E24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开户行：</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7DF8E8D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账号：</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6D7CD09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甲方开票信息：</w:t>
      </w:r>
    </w:p>
    <w:p w14:paraId="74296B5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名称：桂林市人民医院</w:t>
      </w:r>
    </w:p>
    <w:p w14:paraId="66AEAF4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信用代码：12450300498668197M</w:t>
      </w:r>
    </w:p>
    <w:p w14:paraId="58DE7AD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地址 ：广西桂林市文明路12号</w:t>
      </w:r>
    </w:p>
    <w:p w14:paraId="17C11EA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开户行：桂林银行文明路支行</w:t>
      </w:r>
    </w:p>
    <w:p w14:paraId="1201D8F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帐号：660012017474300020</w:t>
      </w:r>
    </w:p>
    <w:p w14:paraId="18309D0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baseline"/>
        <w:rPr>
          <w:rFonts w:hint="eastAsia" w:ascii="宋体" w:hAnsi="宋体" w:eastAsia="宋体" w:cs="宋体"/>
          <w:b/>
          <w:sz w:val="24"/>
          <w:szCs w:val="24"/>
        </w:rPr>
      </w:pPr>
      <w:r>
        <w:rPr>
          <w:rFonts w:hint="eastAsia" w:ascii="宋体" w:hAnsi="宋体" w:eastAsia="宋体" w:cs="宋体"/>
          <w:b/>
          <w:sz w:val="24"/>
          <w:szCs w:val="24"/>
          <w:lang w:eastAsia="zh-CN"/>
        </w:rPr>
        <w:t>六、</w:t>
      </w:r>
      <w:r>
        <w:rPr>
          <w:rFonts w:hint="eastAsia" w:ascii="宋体" w:hAnsi="宋体" w:eastAsia="宋体" w:cs="宋体"/>
          <w:b/>
          <w:sz w:val="24"/>
          <w:szCs w:val="24"/>
        </w:rPr>
        <w:t>售后服务</w:t>
      </w:r>
    </w:p>
    <w:p w14:paraId="7883111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乙方承诺对甲方提供/电话技术支持及远程维护服务人员技术支持服务。</w:t>
      </w:r>
    </w:p>
    <w:p w14:paraId="63DD364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如乙方提供电话技术支持及远程维护服务的，每年应提供</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次现场巡检服务，并出具巡检报告。当出现短时间不能解决的系统重大事故时，乙方相应技术支持人员应当在</w:t>
      </w:r>
      <w:r>
        <w:rPr>
          <w:rFonts w:hint="eastAsia" w:ascii="宋体" w:hAnsi="宋体" w:cs="宋体"/>
          <w:sz w:val="24"/>
          <w:szCs w:val="24"/>
          <w:lang w:val="en-US" w:eastAsia="zh-CN"/>
        </w:rPr>
        <w:t>12</w:t>
      </w:r>
      <w:r>
        <w:rPr>
          <w:rFonts w:hint="eastAsia" w:ascii="宋体" w:hAnsi="宋体" w:eastAsia="宋体" w:cs="宋体"/>
          <w:sz w:val="24"/>
          <w:szCs w:val="24"/>
        </w:rPr>
        <w:t>小时内进行现场处理。</w:t>
      </w:r>
    </w:p>
    <w:p w14:paraId="52D9921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乙方承诺在项目维护期间，故障问题响应时间不超过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小时，一般软件问题处理时长不超过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小时，重大故障问题处理时长不超过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14:paraId="37971B3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对于甲方在使用乙方相关软件产品过程中产生的个性化需求及由此产生的定制化开发要求，甲方应向乙方售后服务机构提出，乙方应及时给以评估和答复，必要时另行立项开发并签署相关协议。</w:t>
      </w:r>
    </w:p>
    <w:p w14:paraId="2E85F45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从合同涉及的软件产品投入使用之日起，因甲方自身原因造成系统不能正常运行，要求乙方提供服务，乙方所产生的费用由甲方承担。</w:t>
      </w:r>
    </w:p>
    <w:p w14:paraId="68F8B1F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w:t>
      </w:r>
      <w:r>
        <w:rPr>
          <w:rFonts w:hint="eastAsia" w:ascii="宋体" w:hAnsi="宋体" w:eastAsia="宋体" w:cs="宋体"/>
          <w:sz w:val="24"/>
          <w:szCs w:val="24"/>
        </w:rPr>
        <w:t>非乙方产品和服务本身引发的产品问题不在本合同的售后服务范围之内，包括但不限于：(</w:t>
      </w:r>
      <w:r>
        <w:rPr>
          <w:rFonts w:hint="eastAsia" w:ascii="宋体" w:hAnsi="宋体" w:eastAsia="宋体" w:cs="宋体"/>
          <w:sz w:val="24"/>
          <w:szCs w:val="24"/>
          <w:lang w:val="en-US" w:eastAsia="zh-CN"/>
        </w:rPr>
        <w:t>1</w:t>
      </w:r>
      <w:r>
        <w:rPr>
          <w:rFonts w:hint="eastAsia" w:ascii="宋体" w:hAnsi="宋体" w:eastAsia="宋体" w:cs="宋体"/>
          <w:sz w:val="24"/>
          <w:szCs w:val="24"/>
        </w:rPr>
        <w:t>)甲方未按使用规范使用乙方产品（包括操作失误、恶意删改数据等）；(</w:t>
      </w:r>
      <w:r>
        <w:rPr>
          <w:rFonts w:hint="eastAsia" w:ascii="宋体" w:hAnsi="宋体" w:eastAsia="宋体" w:cs="宋体"/>
          <w:sz w:val="24"/>
          <w:szCs w:val="24"/>
          <w:lang w:val="en-US" w:eastAsia="zh-CN"/>
        </w:rPr>
        <w:t>2</w:t>
      </w:r>
      <w:r>
        <w:rPr>
          <w:rFonts w:hint="eastAsia" w:ascii="宋体" w:hAnsi="宋体" w:eastAsia="宋体" w:cs="宋体"/>
          <w:sz w:val="24"/>
          <w:szCs w:val="24"/>
        </w:rPr>
        <w:t>)未经乙方同意，甲方或者第三方对乙方产品进行了任何方式的修改，或者与第三方软件产品合并使用；（</w:t>
      </w:r>
      <w:r>
        <w:rPr>
          <w:rFonts w:hint="eastAsia" w:ascii="宋体" w:hAnsi="宋体" w:eastAsia="宋体" w:cs="宋体"/>
          <w:sz w:val="24"/>
          <w:szCs w:val="24"/>
          <w:lang w:val="en-US" w:eastAsia="zh-CN"/>
        </w:rPr>
        <w:t>3</w:t>
      </w:r>
      <w:r>
        <w:rPr>
          <w:rFonts w:hint="eastAsia" w:ascii="宋体" w:hAnsi="宋体" w:eastAsia="宋体" w:cs="宋体"/>
          <w:sz w:val="24"/>
          <w:szCs w:val="24"/>
        </w:rPr>
        <w:t>）由于甲方原因（包括操作失误）或第三方产品的瑕疵或故障、甲方使用的硬件或网络出错或遭遇计算机病毒侵犯而导致系统瘫痪等。</w:t>
      </w:r>
    </w:p>
    <w:p w14:paraId="6F33045C">
      <w:pPr>
        <w:keepNext w:val="0"/>
        <w:keepLines w:val="0"/>
        <w:pageBreakBefore w:val="0"/>
        <w:widowControl/>
        <w:tabs>
          <w:tab w:val="left" w:pos="3119"/>
          <w:tab w:val="right" w:pos="7680"/>
          <w:tab w:val="right" w:pos="7797"/>
        </w:tabs>
        <w:kinsoku/>
        <w:wordWrap/>
        <w:overflowPunct/>
        <w:topLinePunct w:val="0"/>
        <w:autoSpaceDE w:val="0"/>
        <w:autoSpaceDN w:val="0"/>
        <w:bidi w:val="0"/>
        <w:adjustRightInd w:val="0"/>
        <w:spacing w:line="360" w:lineRule="auto"/>
        <w:textAlignment w:val="bottom"/>
        <w:rPr>
          <w:rFonts w:hint="eastAsia" w:ascii="宋体" w:hAnsi="宋体" w:eastAsia="宋体" w:cs="宋体"/>
          <w:b/>
          <w:bCs/>
          <w:sz w:val="24"/>
          <w:szCs w:val="24"/>
        </w:rPr>
      </w:pPr>
      <w:r>
        <w:rPr>
          <w:rFonts w:hint="eastAsia" w:ascii="宋体" w:hAnsi="宋体" w:eastAsia="宋体" w:cs="宋体"/>
          <w:b/>
          <w:bCs/>
          <w:sz w:val="24"/>
          <w:szCs w:val="24"/>
          <w:lang w:eastAsia="zh-CN"/>
        </w:rPr>
        <w:t>七、</w:t>
      </w:r>
      <w:r>
        <w:rPr>
          <w:rFonts w:hint="eastAsia" w:ascii="宋体" w:hAnsi="宋体" w:eastAsia="宋体" w:cs="宋体"/>
          <w:b/>
          <w:bCs/>
          <w:sz w:val="24"/>
          <w:szCs w:val="24"/>
        </w:rPr>
        <w:t xml:space="preserve"> 产品的使用与约束</w:t>
      </w:r>
    </w:p>
    <w:p w14:paraId="2F45F805">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乙方赋予甲方下述系统的合法使用权：</w:t>
      </w:r>
    </w:p>
    <w:p w14:paraId="7A5E8029">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销售内容中所列出的系统的计算机程序目标码；</w:t>
      </w:r>
    </w:p>
    <w:p w14:paraId="0FB41DFD">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有关的技术文档。包括《系统使用说明书》等。</w:t>
      </w:r>
    </w:p>
    <w:p w14:paraId="441F926A">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系统的使用方式和范围受到《中华人民共和国计算机软件保护条例》约束。</w:t>
      </w:r>
    </w:p>
    <w:p w14:paraId="5A956CAA">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医院应于每季度第一个月开始2日内向乙方出具上季度加工量确认单。</w:t>
      </w:r>
    </w:p>
    <w:p w14:paraId="054F86D5">
      <w:pPr>
        <w:keepNext w:val="0"/>
        <w:keepLines w:val="0"/>
        <w:pageBreakBefore w:val="0"/>
        <w:widowControl/>
        <w:kinsoku/>
        <w:wordWrap/>
        <w:overflowPunct/>
        <w:topLinePunct w:val="0"/>
        <w:autoSpaceDE w:val="0"/>
        <w:autoSpaceDN w:val="0"/>
        <w:bidi w:val="0"/>
        <w:adjustRightInd w:val="0"/>
        <w:spacing w:line="360" w:lineRule="auto"/>
        <w:textAlignment w:val="bottom"/>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、争议的解决</w:t>
      </w:r>
    </w:p>
    <w:p w14:paraId="024829CE">
      <w:pPr>
        <w:keepNext w:val="0"/>
        <w:keepLines w:val="0"/>
        <w:pageBreakBefore w:val="0"/>
        <w:widowControl/>
        <w:kinsoku/>
        <w:wordWrap/>
        <w:overflowPunct/>
        <w:topLinePunct w:val="0"/>
        <w:autoSpaceDE w:val="0"/>
        <w:autoSpaceDN w:val="0"/>
        <w:bidi w:val="0"/>
        <w:adjustRightInd w:val="0"/>
        <w:spacing w:line="360" w:lineRule="auto"/>
        <w:ind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与本合同有关的所有争议，甲、乙双方应友好协商解决，协商不成时，双方一致同意将争议提交甲方所在地法院裁判。</w:t>
      </w:r>
    </w:p>
    <w:p w14:paraId="1822AF85">
      <w:pPr>
        <w:keepNext w:val="0"/>
        <w:keepLines w:val="0"/>
        <w:pageBreakBefore w:val="0"/>
        <w:widowControl/>
        <w:numPr>
          <w:ilvl w:val="0"/>
          <w:numId w:val="3"/>
        </w:numPr>
        <w:kinsoku/>
        <w:wordWrap/>
        <w:overflowPunct/>
        <w:topLinePunct w:val="0"/>
        <w:autoSpaceDE w:val="0"/>
        <w:autoSpaceDN w:val="0"/>
        <w:bidi w:val="0"/>
        <w:adjustRightInd w:val="0"/>
        <w:spacing w:line="360" w:lineRule="auto"/>
        <w:textAlignment w:val="bottom"/>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违约责任</w:t>
      </w:r>
    </w:p>
    <w:p w14:paraId="1D884CC0">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甲方逾期付款，每逾期一日应支付乙方逾期总额2‰（千分之二）的违约金，违约金总额不超过逾期总额的30%（百分之三十）。</w:t>
      </w:r>
    </w:p>
    <w:p w14:paraId="1A595ACF">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乙方</w:t>
      </w:r>
      <w:r>
        <w:rPr>
          <w:rFonts w:hint="eastAsia" w:ascii="宋体" w:hAnsi="宋体" w:eastAsia="宋体" w:cs="宋体"/>
          <w:sz w:val="24"/>
          <w:szCs w:val="24"/>
          <w:lang w:eastAsia="zh-CN"/>
        </w:rPr>
        <w:t>未按约定时间完成服务或提供的服务不符合约定要求</w:t>
      </w:r>
      <w:r>
        <w:rPr>
          <w:rFonts w:hint="eastAsia" w:ascii="宋体" w:hAnsi="宋体" w:eastAsia="宋体" w:cs="宋体"/>
          <w:sz w:val="24"/>
          <w:szCs w:val="24"/>
        </w:rPr>
        <w:t>，每</w:t>
      </w:r>
      <w:r>
        <w:rPr>
          <w:rFonts w:hint="eastAsia" w:ascii="宋体" w:hAnsi="宋体" w:eastAsia="宋体" w:cs="宋体"/>
          <w:sz w:val="24"/>
          <w:szCs w:val="24"/>
          <w:lang w:eastAsia="zh-CN"/>
        </w:rPr>
        <w:t>延迟一天</w:t>
      </w:r>
      <w:r>
        <w:rPr>
          <w:rFonts w:hint="eastAsia" w:ascii="宋体" w:hAnsi="宋体" w:eastAsia="宋体" w:cs="宋体"/>
          <w:sz w:val="24"/>
          <w:szCs w:val="24"/>
          <w:lang w:val="en-US" w:eastAsia="zh-CN"/>
        </w:rPr>
        <w:t>应支付乙方逾期总额2‰（千分之二）的违约金，违约金总额不超过逾期总额的30%（百分之三十）</w:t>
      </w:r>
      <w:r>
        <w:rPr>
          <w:rFonts w:hint="eastAsia" w:ascii="宋体" w:hAnsi="宋体" w:eastAsia="宋体" w:cs="宋体"/>
          <w:sz w:val="24"/>
          <w:szCs w:val="24"/>
        </w:rPr>
        <w:t>。逾期20天乙方仍未交货，甲方有权单方面取消合同。</w:t>
      </w:r>
    </w:p>
    <w:p w14:paraId="309C66CE">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rPr>
        <w:t>本合同软件产品实现的功能及性能以附件所载功能为准。对甲方不按技术规范操作、甲方软硬件问题、第三方软件问题等非本合同软件产品的原因而造成的甲方损失，乙方不承担任何违约责任和赔偿责任。　</w:t>
      </w:r>
    </w:p>
    <w:p w14:paraId="619809C0">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rPr>
        <w:t>因乙方产品质量问题造成的甲方损失，由乙方承担违约责任，每次应支付甲方违约金500</w:t>
      </w:r>
      <w:r>
        <w:rPr>
          <w:rFonts w:hint="eastAsia" w:ascii="宋体" w:hAnsi="宋体" w:eastAsia="宋体" w:cs="宋体"/>
          <w:sz w:val="24"/>
          <w:szCs w:val="24"/>
          <w:lang w:eastAsia="zh-CN"/>
        </w:rPr>
        <w:t>元</w:t>
      </w:r>
      <w:r>
        <w:rPr>
          <w:rFonts w:hint="eastAsia" w:ascii="宋体" w:hAnsi="宋体" w:eastAsia="宋体" w:cs="宋体"/>
          <w:sz w:val="24"/>
          <w:szCs w:val="24"/>
        </w:rPr>
        <w:t>。如对甲方造成损失，乙方负责赔偿。</w:t>
      </w:r>
    </w:p>
    <w:p w14:paraId="2E9BFC3A">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cs="宋体"/>
          <w:color w:val="000000" w:themeColor="text1"/>
          <w:sz w:val="24"/>
          <w:szCs w:val="24"/>
          <w14:textFill>
            <w14:solidFill>
              <w14:schemeClr w14:val="tx1"/>
            </w14:solidFill>
          </w14:textFill>
        </w:rPr>
      </w:pPr>
      <w:r>
        <w:rPr>
          <w:rFonts w:hint="eastAsia" w:ascii="宋体" w:hAnsi="宋体" w:cs="宋体"/>
          <w:sz w:val="24"/>
          <w:szCs w:val="24"/>
          <w:lang w:val="en-US" w:eastAsia="zh-CN"/>
        </w:rPr>
        <w:t>5.</w:t>
      </w:r>
      <w:r>
        <w:rPr>
          <w:rFonts w:hint="eastAsia" w:ascii="宋体" w:hAnsi="宋体" w:eastAsia="宋体" w:cs="宋体"/>
          <w:sz w:val="24"/>
          <w:szCs w:val="24"/>
        </w:rPr>
        <w:t>甲方违反本协议关于版权保护的条款，对乙方提供的软件产品进行的任何的侵害性的行为给乙方造成损失的，乙方有权就损失部分要求甲方赔偿。</w:t>
      </w:r>
      <w:r>
        <w:rPr>
          <w:rFonts w:hint="eastAsia" w:ascii="宋体" w:hAnsi="宋体" w:cs="宋体"/>
          <w:color w:val="000000" w:themeColor="text1"/>
          <w:sz w:val="24"/>
          <w:szCs w:val="24"/>
          <w14:textFill>
            <w14:solidFill>
              <w14:schemeClr w14:val="tx1"/>
            </w14:solidFill>
          </w14:textFill>
        </w:rPr>
        <w:t>因乙方产品版权问题导致甲方损失的，乙方应予以赔偿。</w:t>
      </w:r>
    </w:p>
    <w:p w14:paraId="76357F27">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textAlignment w:val="bottom"/>
        <w:rPr>
          <w:rFonts w:hint="eastAsia" w:ascii="宋体" w:hAnsi="宋体" w:cs="宋体"/>
          <w:color w:val="000000" w:themeColor="text1"/>
          <w:sz w:val="24"/>
          <w:szCs w:val="24"/>
          <w:lang w:val="en-US" w:eastAsia="zh-CN"/>
          <w14:textFill>
            <w14:solidFill>
              <w14:schemeClr w14:val="tx1"/>
            </w14:solidFill>
          </w14:textFill>
        </w:rPr>
      </w:pPr>
    </w:p>
    <w:p w14:paraId="467F0B11">
      <w:pPr>
        <w:widowControl w:val="0"/>
        <w:spacing w:before="315" w:line="360" w:lineRule="exact"/>
        <w:jc w:val="center"/>
        <w:outlineLvl w:val="0"/>
        <w:rPr>
          <w:rFonts w:cs="Arial"/>
          <w:bCs/>
        </w:rPr>
      </w:pPr>
      <w:r>
        <w:rPr>
          <w:rFonts w:ascii="宋体" w:hAnsi="宋体" w:cs="宋体"/>
          <w:b/>
          <w:bCs/>
          <w:spacing w:val="1"/>
          <w:sz w:val="32"/>
          <w:szCs w:val="22"/>
        </w:rPr>
        <w:t>评</w:t>
      </w:r>
      <w:r>
        <w:rPr>
          <w:rFonts w:hint="eastAsia" w:ascii="宋体" w:hAnsi="宋体" w:cs="宋体"/>
          <w:b/>
          <w:bCs/>
          <w:spacing w:val="1"/>
          <w:sz w:val="32"/>
          <w:szCs w:val="22"/>
          <w:lang w:val="en-US" w:eastAsia="zh-CN"/>
        </w:rPr>
        <w:t>分</w:t>
      </w:r>
      <w:r>
        <w:rPr>
          <w:rFonts w:ascii="宋体" w:hAnsi="宋体" w:cs="宋体"/>
          <w:b/>
          <w:bCs/>
          <w:spacing w:val="1"/>
          <w:sz w:val="32"/>
          <w:szCs w:val="22"/>
        </w:rPr>
        <w:t>标准</w:t>
      </w:r>
    </w:p>
    <w:p w14:paraId="241F9B3C">
      <w:pPr>
        <w:spacing w:before="120" w:line="320" w:lineRule="atLeast"/>
        <w:ind w:firstLine="411" w:firstLineChars="196"/>
        <w:outlineLvl w:val="1"/>
        <w:rPr>
          <w:rFonts w:cs="Arial"/>
          <w:bCs/>
        </w:rPr>
      </w:pPr>
    </w:p>
    <w:tbl>
      <w:tblPr>
        <w:tblStyle w:val="12"/>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712"/>
        <w:gridCol w:w="925"/>
        <w:gridCol w:w="5390"/>
        <w:gridCol w:w="2088"/>
      </w:tblGrid>
      <w:tr w14:paraId="7490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blHeader/>
          <w:jc w:val="center"/>
        </w:trPr>
        <w:tc>
          <w:tcPr>
            <w:tcW w:w="457" w:type="dxa"/>
            <w:noWrap w:val="0"/>
            <w:vAlign w:val="center"/>
          </w:tcPr>
          <w:p w14:paraId="753ACCC5">
            <w:pPr>
              <w:jc w:val="center"/>
              <w:rPr>
                <w:rFonts w:cs="Arial"/>
                <w:b/>
                <w:sz w:val="24"/>
                <w:szCs w:val="24"/>
              </w:rPr>
            </w:pPr>
            <w:r>
              <w:rPr>
                <w:rFonts w:cs="Arial"/>
                <w:b/>
                <w:sz w:val="24"/>
                <w:szCs w:val="24"/>
              </w:rPr>
              <w:t>序号</w:t>
            </w:r>
          </w:p>
        </w:tc>
        <w:tc>
          <w:tcPr>
            <w:tcW w:w="1637" w:type="dxa"/>
            <w:gridSpan w:val="2"/>
            <w:noWrap w:val="0"/>
            <w:vAlign w:val="center"/>
          </w:tcPr>
          <w:p w14:paraId="1AF2AAF9">
            <w:pPr>
              <w:jc w:val="center"/>
              <w:rPr>
                <w:rFonts w:cs="Arial"/>
                <w:b/>
                <w:sz w:val="24"/>
                <w:szCs w:val="24"/>
              </w:rPr>
            </w:pPr>
            <w:r>
              <w:rPr>
                <w:rFonts w:cs="Arial"/>
                <w:b/>
                <w:sz w:val="24"/>
                <w:szCs w:val="24"/>
              </w:rPr>
              <w:t>评标因素及分值</w:t>
            </w:r>
          </w:p>
        </w:tc>
        <w:tc>
          <w:tcPr>
            <w:tcW w:w="5390" w:type="dxa"/>
            <w:noWrap w:val="0"/>
            <w:vAlign w:val="center"/>
          </w:tcPr>
          <w:p w14:paraId="2E68D4F6">
            <w:pPr>
              <w:jc w:val="center"/>
              <w:rPr>
                <w:rFonts w:cs="Arial"/>
                <w:b/>
                <w:sz w:val="24"/>
                <w:szCs w:val="24"/>
              </w:rPr>
            </w:pPr>
            <w:r>
              <w:rPr>
                <w:rFonts w:cs="Arial"/>
                <w:b/>
                <w:sz w:val="24"/>
                <w:szCs w:val="24"/>
              </w:rPr>
              <w:t>评标标准</w:t>
            </w:r>
          </w:p>
        </w:tc>
        <w:tc>
          <w:tcPr>
            <w:tcW w:w="2088" w:type="dxa"/>
            <w:noWrap w:val="0"/>
            <w:vAlign w:val="center"/>
          </w:tcPr>
          <w:p w14:paraId="5DF8EA0A">
            <w:pPr>
              <w:jc w:val="center"/>
              <w:rPr>
                <w:rFonts w:cs="Arial"/>
                <w:b/>
                <w:sz w:val="24"/>
                <w:szCs w:val="24"/>
              </w:rPr>
            </w:pPr>
            <w:r>
              <w:rPr>
                <w:rFonts w:cs="Arial"/>
                <w:b/>
                <w:sz w:val="24"/>
                <w:szCs w:val="24"/>
              </w:rPr>
              <w:t>说明</w:t>
            </w:r>
          </w:p>
        </w:tc>
      </w:tr>
      <w:tr w14:paraId="7AFC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0" w:hRule="atLeast"/>
          <w:jc w:val="center"/>
        </w:trPr>
        <w:tc>
          <w:tcPr>
            <w:tcW w:w="457" w:type="dxa"/>
            <w:vMerge w:val="restart"/>
            <w:noWrap w:val="0"/>
            <w:vAlign w:val="center"/>
          </w:tcPr>
          <w:p w14:paraId="4B5B2738">
            <w:pPr>
              <w:jc w:val="center"/>
              <w:rPr>
                <w:rFonts w:cs="Arial"/>
                <w:sz w:val="24"/>
                <w:szCs w:val="24"/>
              </w:rPr>
            </w:pPr>
            <w:r>
              <w:rPr>
                <w:rFonts w:cs="Arial"/>
                <w:sz w:val="24"/>
                <w:szCs w:val="24"/>
              </w:rPr>
              <w:t>1</w:t>
            </w:r>
          </w:p>
        </w:tc>
        <w:tc>
          <w:tcPr>
            <w:tcW w:w="712" w:type="dxa"/>
            <w:vMerge w:val="restart"/>
            <w:noWrap w:val="0"/>
            <w:vAlign w:val="center"/>
          </w:tcPr>
          <w:p w14:paraId="302095EC">
            <w:pPr>
              <w:jc w:val="center"/>
              <w:rPr>
                <w:rFonts w:cs="Arial"/>
                <w:sz w:val="24"/>
                <w:szCs w:val="24"/>
              </w:rPr>
            </w:pPr>
            <w:r>
              <w:rPr>
                <w:rFonts w:hint="eastAsia" w:cs="Arial"/>
                <w:sz w:val="24"/>
                <w:szCs w:val="24"/>
                <w:lang w:val="en-US" w:eastAsia="zh-CN"/>
              </w:rPr>
              <w:t>履约能力</w:t>
            </w:r>
            <w:r>
              <w:rPr>
                <w:rFonts w:cs="Arial"/>
                <w:sz w:val="24"/>
                <w:szCs w:val="24"/>
              </w:rPr>
              <w:t>（</w:t>
            </w:r>
            <w:r>
              <w:rPr>
                <w:rFonts w:hint="eastAsia" w:cs="Arial"/>
                <w:sz w:val="24"/>
                <w:szCs w:val="24"/>
              </w:rPr>
              <w:t>20</w:t>
            </w:r>
            <w:r>
              <w:rPr>
                <w:rFonts w:cs="Arial"/>
                <w:sz w:val="24"/>
                <w:szCs w:val="24"/>
              </w:rPr>
              <w:t>分）</w:t>
            </w:r>
          </w:p>
        </w:tc>
        <w:tc>
          <w:tcPr>
            <w:tcW w:w="925" w:type="dxa"/>
            <w:noWrap w:val="0"/>
            <w:vAlign w:val="center"/>
          </w:tcPr>
          <w:p w14:paraId="16351156">
            <w:pPr>
              <w:jc w:val="center"/>
              <w:rPr>
                <w:rFonts w:cs="Arial"/>
                <w:sz w:val="24"/>
                <w:szCs w:val="24"/>
              </w:rPr>
            </w:pPr>
            <w:r>
              <w:rPr>
                <w:rFonts w:cs="Arial"/>
                <w:sz w:val="24"/>
                <w:szCs w:val="24"/>
              </w:rPr>
              <w:t>业绩分（</w:t>
            </w:r>
            <w:r>
              <w:rPr>
                <w:rFonts w:hint="eastAsia" w:cs="Arial"/>
                <w:sz w:val="24"/>
                <w:szCs w:val="24"/>
              </w:rPr>
              <w:t>5</w:t>
            </w:r>
            <w:r>
              <w:rPr>
                <w:rFonts w:cs="Arial"/>
                <w:sz w:val="24"/>
                <w:szCs w:val="24"/>
              </w:rPr>
              <w:t>分）</w:t>
            </w:r>
          </w:p>
        </w:tc>
        <w:tc>
          <w:tcPr>
            <w:tcW w:w="5390" w:type="dxa"/>
            <w:noWrap w:val="0"/>
            <w:vAlign w:val="center"/>
          </w:tcPr>
          <w:p w14:paraId="7E0A15A7">
            <w:pPr>
              <w:rPr>
                <w:rFonts w:cs="Arial"/>
                <w:sz w:val="24"/>
                <w:szCs w:val="24"/>
              </w:rPr>
            </w:pPr>
            <w:r>
              <w:rPr>
                <w:rFonts w:cs="Arial"/>
                <w:sz w:val="24"/>
                <w:szCs w:val="24"/>
              </w:rPr>
              <w:t>投标人</w:t>
            </w:r>
            <w:r>
              <w:rPr>
                <w:rFonts w:hint="eastAsia" w:cs="Arial"/>
                <w:sz w:val="24"/>
                <w:szCs w:val="24"/>
              </w:rPr>
              <w:t>自2022年1月1日至今完成过医院病历数字化处理的业绩</w:t>
            </w:r>
            <w:r>
              <w:rPr>
                <w:rFonts w:cs="Arial"/>
                <w:sz w:val="24"/>
                <w:szCs w:val="24"/>
              </w:rPr>
              <w:t>。每</w:t>
            </w:r>
            <w:r>
              <w:rPr>
                <w:rFonts w:hint="eastAsia" w:cs="Arial"/>
                <w:sz w:val="24"/>
                <w:szCs w:val="24"/>
                <w:lang w:val="en-US" w:eastAsia="zh-CN"/>
              </w:rPr>
              <w:t>1</w:t>
            </w:r>
            <w:r>
              <w:rPr>
                <w:rFonts w:cs="Arial"/>
                <w:sz w:val="24"/>
                <w:szCs w:val="24"/>
              </w:rPr>
              <w:t>个业绩得</w:t>
            </w:r>
            <w:r>
              <w:rPr>
                <w:rFonts w:hint="eastAsia" w:cs="Arial"/>
                <w:sz w:val="24"/>
                <w:szCs w:val="24"/>
              </w:rPr>
              <w:t>1</w:t>
            </w:r>
            <w:r>
              <w:rPr>
                <w:rFonts w:cs="Arial"/>
                <w:sz w:val="24"/>
                <w:szCs w:val="24"/>
              </w:rPr>
              <w:t>分，满</w:t>
            </w:r>
            <w:r>
              <w:rPr>
                <w:rFonts w:hint="eastAsia" w:cs="Arial"/>
                <w:sz w:val="24"/>
                <w:szCs w:val="24"/>
              </w:rPr>
              <w:t>分5</w:t>
            </w:r>
            <w:r>
              <w:rPr>
                <w:rFonts w:cs="Arial"/>
                <w:sz w:val="24"/>
                <w:szCs w:val="24"/>
              </w:rPr>
              <w:t>分。（以签订合同时间为准）。</w:t>
            </w:r>
          </w:p>
          <w:p w14:paraId="06E755B0">
            <w:pPr>
              <w:rPr>
                <w:rFonts w:cs="Arial"/>
                <w:sz w:val="24"/>
                <w:szCs w:val="24"/>
              </w:rPr>
            </w:pPr>
            <w:r>
              <w:rPr>
                <w:rFonts w:cs="Arial"/>
                <w:sz w:val="24"/>
                <w:szCs w:val="24"/>
              </w:rPr>
              <w:t>提供合同复印件</w:t>
            </w:r>
            <w:r>
              <w:rPr>
                <w:rFonts w:hint="eastAsia" w:cs="Arial"/>
                <w:sz w:val="24"/>
                <w:szCs w:val="24"/>
              </w:rPr>
              <w:t>及验收报告复印件</w:t>
            </w:r>
            <w:r>
              <w:rPr>
                <w:rFonts w:cs="Arial"/>
                <w:sz w:val="24"/>
                <w:szCs w:val="24"/>
              </w:rPr>
              <w:t>作为证明材料，不提供不得分。</w:t>
            </w:r>
          </w:p>
        </w:tc>
        <w:tc>
          <w:tcPr>
            <w:tcW w:w="2088" w:type="dxa"/>
            <w:noWrap w:val="0"/>
            <w:vAlign w:val="center"/>
          </w:tcPr>
          <w:p w14:paraId="7B18FBFD">
            <w:pPr>
              <w:rPr>
                <w:rFonts w:cs="Arial"/>
                <w:sz w:val="24"/>
                <w:szCs w:val="24"/>
              </w:rPr>
            </w:pPr>
            <w:r>
              <w:rPr>
                <w:rFonts w:cs="Arial"/>
                <w:sz w:val="24"/>
                <w:szCs w:val="24"/>
              </w:rPr>
              <w:t>（1）必须提供证明材料。</w:t>
            </w:r>
          </w:p>
          <w:p w14:paraId="082780F5">
            <w:pPr>
              <w:rPr>
                <w:rFonts w:cs="Arial"/>
                <w:sz w:val="24"/>
                <w:szCs w:val="24"/>
              </w:rPr>
            </w:pPr>
            <w:r>
              <w:rPr>
                <w:rFonts w:cs="Arial"/>
                <w:sz w:val="24"/>
                <w:szCs w:val="24"/>
              </w:rPr>
              <w:t>（2）以合同复印件</w:t>
            </w:r>
            <w:r>
              <w:rPr>
                <w:rFonts w:hint="eastAsia" w:cs="Arial"/>
                <w:sz w:val="24"/>
                <w:szCs w:val="24"/>
              </w:rPr>
              <w:t>及验收报告复印件</w:t>
            </w:r>
            <w:r>
              <w:rPr>
                <w:rFonts w:cs="Arial"/>
                <w:sz w:val="24"/>
                <w:szCs w:val="24"/>
              </w:rPr>
              <w:t>为准。</w:t>
            </w:r>
          </w:p>
        </w:tc>
      </w:tr>
      <w:tr w14:paraId="48D2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atLeast"/>
          <w:jc w:val="center"/>
        </w:trPr>
        <w:tc>
          <w:tcPr>
            <w:tcW w:w="457" w:type="dxa"/>
            <w:vMerge w:val="continue"/>
            <w:noWrap w:val="0"/>
            <w:vAlign w:val="center"/>
          </w:tcPr>
          <w:p w14:paraId="38F813ED">
            <w:pPr>
              <w:jc w:val="center"/>
              <w:rPr>
                <w:rFonts w:cs="Arial"/>
                <w:sz w:val="24"/>
                <w:szCs w:val="24"/>
              </w:rPr>
            </w:pPr>
          </w:p>
        </w:tc>
        <w:tc>
          <w:tcPr>
            <w:tcW w:w="712" w:type="dxa"/>
            <w:vMerge w:val="continue"/>
            <w:noWrap w:val="0"/>
            <w:vAlign w:val="center"/>
          </w:tcPr>
          <w:p w14:paraId="43B6B33D">
            <w:pPr>
              <w:jc w:val="center"/>
              <w:rPr>
                <w:rFonts w:cs="Arial"/>
                <w:sz w:val="24"/>
                <w:szCs w:val="24"/>
              </w:rPr>
            </w:pPr>
          </w:p>
        </w:tc>
        <w:tc>
          <w:tcPr>
            <w:tcW w:w="925" w:type="dxa"/>
            <w:noWrap w:val="0"/>
            <w:vAlign w:val="center"/>
          </w:tcPr>
          <w:p w14:paraId="0782F2D6">
            <w:pPr>
              <w:jc w:val="center"/>
              <w:rPr>
                <w:rFonts w:cs="Arial"/>
                <w:sz w:val="24"/>
                <w:szCs w:val="24"/>
              </w:rPr>
            </w:pPr>
            <w:r>
              <w:rPr>
                <w:rFonts w:cs="Arial"/>
                <w:sz w:val="24"/>
                <w:szCs w:val="24"/>
              </w:rPr>
              <w:t>实力信誉（</w:t>
            </w:r>
            <w:r>
              <w:rPr>
                <w:rFonts w:hint="eastAsia" w:cs="Arial"/>
                <w:sz w:val="24"/>
                <w:szCs w:val="24"/>
              </w:rPr>
              <w:t>15</w:t>
            </w:r>
            <w:r>
              <w:rPr>
                <w:rFonts w:cs="Arial"/>
                <w:sz w:val="24"/>
                <w:szCs w:val="24"/>
              </w:rPr>
              <w:t>分）</w:t>
            </w:r>
          </w:p>
        </w:tc>
        <w:tc>
          <w:tcPr>
            <w:tcW w:w="5390" w:type="dxa"/>
            <w:noWrap w:val="0"/>
            <w:vAlign w:val="center"/>
          </w:tcPr>
          <w:p w14:paraId="37C3F916">
            <w:pPr>
              <w:rPr>
                <w:rFonts w:cs="Arial"/>
                <w:bCs/>
                <w:sz w:val="24"/>
                <w:szCs w:val="24"/>
              </w:rPr>
            </w:pPr>
            <w:r>
              <w:rPr>
                <w:rFonts w:hint="eastAsia" w:cs="Arial"/>
                <w:bCs/>
                <w:sz w:val="24"/>
                <w:szCs w:val="24"/>
              </w:rPr>
              <w:t>1</w:t>
            </w:r>
            <w:r>
              <w:rPr>
                <w:rFonts w:cs="Arial"/>
                <w:bCs/>
                <w:sz w:val="24"/>
                <w:szCs w:val="24"/>
              </w:rPr>
              <w:t>. 获得ISO 9001质量管理体系认证证书得</w:t>
            </w:r>
            <w:r>
              <w:rPr>
                <w:rFonts w:hint="eastAsia" w:cs="Arial"/>
                <w:bCs/>
                <w:sz w:val="24"/>
                <w:szCs w:val="24"/>
                <w:lang w:val="en-US" w:eastAsia="zh-CN"/>
              </w:rPr>
              <w:t>3</w:t>
            </w:r>
            <w:r>
              <w:rPr>
                <w:rFonts w:cs="Arial"/>
                <w:bCs/>
                <w:sz w:val="24"/>
                <w:szCs w:val="24"/>
              </w:rPr>
              <w:t>分。</w:t>
            </w:r>
          </w:p>
          <w:p w14:paraId="26E4D991">
            <w:pPr>
              <w:rPr>
                <w:rFonts w:hint="eastAsia" w:cs="Arial"/>
                <w:bCs/>
                <w:sz w:val="24"/>
                <w:szCs w:val="24"/>
              </w:rPr>
            </w:pPr>
            <w:r>
              <w:rPr>
                <w:rFonts w:hint="eastAsia" w:cs="Arial"/>
                <w:bCs/>
                <w:sz w:val="24"/>
                <w:szCs w:val="24"/>
              </w:rPr>
              <w:t>2</w:t>
            </w:r>
            <w:r>
              <w:rPr>
                <w:rFonts w:cs="Arial"/>
                <w:bCs/>
                <w:sz w:val="24"/>
                <w:szCs w:val="24"/>
              </w:rPr>
              <w:t>. 获得ISO 20000信息技术服务管理体系认</w:t>
            </w:r>
            <w:r>
              <w:rPr>
                <w:rFonts w:hint="eastAsia" w:cs="Arial"/>
                <w:bCs/>
                <w:sz w:val="24"/>
                <w:szCs w:val="24"/>
              </w:rPr>
              <w:t>证证书得</w:t>
            </w:r>
            <w:r>
              <w:rPr>
                <w:rFonts w:hint="eastAsia" w:cs="Arial"/>
                <w:bCs/>
                <w:sz w:val="24"/>
                <w:szCs w:val="24"/>
                <w:lang w:val="en-US" w:eastAsia="zh-CN"/>
              </w:rPr>
              <w:t>3</w:t>
            </w:r>
            <w:r>
              <w:rPr>
                <w:rFonts w:hint="eastAsia" w:cs="Arial"/>
                <w:bCs/>
                <w:sz w:val="24"/>
                <w:szCs w:val="24"/>
              </w:rPr>
              <w:t>分。</w:t>
            </w:r>
          </w:p>
          <w:p w14:paraId="6E0BF8EE">
            <w:pPr>
              <w:rPr>
                <w:rFonts w:hint="eastAsia" w:cs="Arial"/>
                <w:bCs/>
                <w:sz w:val="24"/>
                <w:szCs w:val="24"/>
              </w:rPr>
            </w:pPr>
            <w:r>
              <w:rPr>
                <w:rFonts w:hint="eastAsia" w:cs="Arial"/>
                <w:bCs/>
                <w:sz w:val="24"/>
                <w:szCs w:val="24"/>
              </w:rPr>
              <w:t>3. 获得ISO 27001信息安全管理体系认证证书得</w:t>
            </w:r>
            <w:r>
              <w:rPr>
                <w:rFonts w:hint="eastAsia" w:cs="Arial"/>
                <w:bCs/>
                <w:sz w:val="24"/>
                <w:szCs w:val="24"/>
                <w:lang w:val="en-US" w:eastAsia="zh-CN"/>
              </w:rPr>
              <w:t>3</w:t>
            </w:r>
            <w:r>
              <w:rPr>
                <w:rFonts w:hint="eastAsia" w:cs="Arial"/>
                <w:bCs/>
                <w:sz w:val="24"/>
                <w:szCs w:val="24"/>
              </w:rPr>
              <w:t>分。</w:t>
            </w:r>
          </w:p>
          <w:p w14:paraId="2D688B4C">
            <w:pPr>
              <w:rPr>
                <w:rFonts w:hint="eastAsia" w:cs="Arial"/>
                <w:bCs/>
                <w:sz w:val="24"/>
                <w:szCs w:val="24"/>
              </w:rPr>
            </w:pPr>
            <w:r>
              <w:rPr>
                <w:rFonts w:hint="eastAsia" w:cs="Arial"/>
                <w:bCs/>
                <w:sz w:val="24"/>
                <w:szCs w:val="24"/>
                <w:lang w:val="en-US" w:eastAsia="zh-CN"/>
              </w:rPr>
              <w:t>4</w:t>
            </w:r>
            <w:r>
              <w:rPr>
                <w:rFonts w:hint="eastAsia" w:cs="Arial"/>
                <w:bCs/>
                <w:sz w:val="24"/>
                <w:szCs w:val="24"/>
              </w:rPr>
              <w:t>.获得病案数字化软件系统有效的计算机软件著作权证书得</w:t>
            </w:r>
            <w:r>
              <w:rPr>
                <w:rFonts w:hint="eastAsia" w:cs="Arial"/>
                <w:bCs/>
                <w:sz w:val="24"/>
                <w:szCs w:val="24"/>
                <w:lang w:val="en-US" w:eastAsia="zh-CN"/>
              </w:rPr>
              <w:t>2</w:t>
            </w:r>
            <w:r>
              <w:rPr>
                <w:rFonts w:hint="eastAsia" w:cs="Arial"/>
                <w:bCs/>
                <w:sz w:val="24"/>
                <w:szCs w:val="24"/>
              </w:rPr>
              <w:t>分。</w:t>
            </w:r>
          </w:p>
          <w:p w14:paraId="38B8A4E0">
            <w:pPr>
              <w:rPr>
                <w:rFonts w:hint="eastAsia" w:cs="Arial"/>
                <w:bCs/>
                <w:sz w:val="24"/>
                <w:szCs w:val="24"/>
              </w:rPr>
            </w:pPr>
            <w:r>
              <w:rPr>
                <w:rFonts w:hint="eastAsia" w:cs="Arial"/>
                <w:bCs/>
                <w:sz w:val="24"/>
                <w:szCs w:val="24"/>
                <w:lang w:val="en-US" w:eastAsia="zh-CN"/>
              </w:rPr>
              <w:t>5</w:t>
            </w:r>
            <w:r>
              <w:rPr>
                <w:rFonts w:hint="eastAsia" w:cs="Arial"/>
                <w:bCs/>
                <w:sz w:val="24"/>
                <w:szCs w:val="24"/>
              </w:rPr>
              <w:t>.获得病案数字化软件产品登记证书得</w:t>
            </w:r>
            <w:r>
              <w:rPr>
                <w:rFonts w:hint="eastAsia" w:cs="Arial"/>
                <w:bCs/>
                <w:sz w:val="24"/>
                <w:szCs w:val="24"/>
                <w:lang w:val="en-US" w:eastAsia="zh-CN"/>
              </w:rPr>
              <w:t>2</w:t>
            </w:r>
            <w:r>
              <w:rPr>
                <w:rFonts w:hint="eastAsia" w:cs="Arial"/>
                <w:bCs/>
                <w:sz w:val="24"/>
                <w:szCs w:val="24"/>
              </w:rPr>
              <w:t>分。</w:t>
            </w:r>
          </w:p>
          <w:p w14:paraId="55B2D3F6">
            <w:pPr>
              <w:rPr>
                <w:rFonts w:hint="default" w:eastAsia="宋体" w:cs="Arial"/>
                <w:bCs/>
                <w:sz w:val="24"/>
                <w:szCs w:val="24"/>
                <w:lang w:val="en-US" w:eastAsia="zh-CN"/>
              </w:rPr>
            </w:pPr>
            <w:r>
              <w:rPr>
                <w:rFonts w:hint="eastAsia" w:cs="Arial"/>
                <w:bCs/>
                <w:sz w:val="24"/>
                <w:szCs w:val="24"/>
                <w:lang w:val="en-US" w:eastAsia="zh-CN"/>
              </w:rPr>
              <w:t>6</w:t>
            </w:r>
            <w:r>
              <w:rPr>
                <w:rFonts w:hint="eastAsia" w:cs="Arial"/>
                <w:bCs/>
                <w:sz w:val="24"/>
                <w:szCs w:val="24"/>
              </w:rPr>
              <w:t>.提供病案数字化软件测试报告复印件得</w:t>
            </w:r>
            <w:r>
              <w:rPr>
                <w:rFonts w:hint="eastAsia" w:cs="Arial"/>
                <w:bCs/>
                <w:sz w:val="24"/>
                <w:szCs w:val="24"/>
                <w:lang w:val="en-US" w:eastAsia="zh-CN"/>
              </w:rPr>
              <w:t>2</w:t>
            </w:r>
            <w:r>
              <w:rPr>
                <w:rFonts w:hint="eastAsia" w:cs="Arial"/>
                <w:bCs/>
                <w:sz w:val="24"/>
                <w:szCs w:val="24"/>
              </w:rPr>
              <w:t>分。</w:t>
            </w:r>
          </w:p>
        </w:tc>
        <w:tc>
          <w:tcPr>
            <w:tcW w:w="2088" w:type="dxa"/>
            <w:noWrap w:val="0"/>
            <w:vAlign w:val="center"/>
          </w:tcPr>
          <w:p w14:paraId="0E4F612C">
            <w:pPr>
              <w:rPr>
                <w:rFonts w:cs="Arial"/>
                <w:sz w:val="24"/>
                <w:szCs w:val="24"/>
              </w:rPr>
            </w:pPr>
            <w:r>
              <w:rPr>
                <w:rFonts w:hint="eastAsia" w:cs="Arial"/>
                <w:sz w:val="24"/>
                <w:szCs w:val="24"/>
              </w:rPr>
              <w:t>需</w:t>
            </w:r>
            <w:r>
              <w:rPr>
                <w:rFonts w:hint="eastAsia" w:cs="Arial"/>
                <w:bCs/>
                <w:sz w:val="24"/>
                <w:szCs w:val="24"/>
              </w:rPr>
              <w:t>提供相关材料复印件作为证明材料</w:t>
            </w:r>
            <w:r>
              <w:rPr>
                <w:rFonts w:hint="eastAsia" w:cs="Arial"/>
                <w:sz w:val="24"/>
                <w:szCs w:val="24"/>
              </w:rPr>
              <w:t>，不提供不得分。</w:t>
            </w:r>
          </w:p>
        </w:tc>
      </w:tr>
      <w:tr w14:paraId="5502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457" w:type="dxa"/>
            <w:vMerge w:val="restart"/>
            <w:noWrap w:val="0"/>
            <w:vAlign w:val="center"/>
          </w:tcPr>
          <w:p w14:paraId="65CD3A63">
            <w:pPr>
              <w:jc w:val="center"/>
              <w:rPr>
                <w:rFonts w:cs="Arial"/>
                <w:sz w:val="24"/>
                <w:szCs w:val="24"/>
              </w:rPr>
            </w:pPr>
            <w:r>
              <w:rPr>
                <w:rFonts w:cs="Arial"/>
                <w:sz w:val="24"/>
                <w:szCs w:val="24"/>
              </w:rPr>
              <w:t>2</w:t>
            </w:r>
          </w:p>
        </w:tc>
        <w:tc>
          <w:tcPr>
            <w:tcW w:w="712" w:type="dxa"/>
            <w:vMerge w:val="restart"/>
            <w:noWrap w:val="0"/>
            <w:vAlign w:val="center"/>
          </w:tcPr>
          <w:p w14:paraId="482D0865">
            <w:pPr>
              <w:jc w:val="center"/>
              <w:rPr>
                <w:rFonts w:cs="Arial"/>
                <w:sz w:val="24"/>
                <w:szCs w:val="24"/>
              </w:rPr>
            </w:pPr>
            <w:r>
              <w:rPr>
                <w:rFonts w:hint="eastAsia" w:cs="Arial"/>
                <w:sz w:val="24"/>
                <w:szCs w:val="24"/>
                <w:lang w:val="en-US" w:eastAsia="zh-CN"/>
              </w:rPr>
              <w:t>服务方案</w:t>
            </w:r>
            <w:r>
              <w:rPr>
                <w:rFonts w:cs="Arial"/>
                <w:sz w:val="24"/>
                <w:szCs w:val="24"/>
              </w:rPr>
              <w:t>（</w:t>
            </w:r>
            <w:r>
              <w:rPr>
                <w:rFonts w:hint="eastAsia" w:cs="Arial"/>
                <w:sz w:val="24"/>
                <w:szCs w:val="24"/>
              </w:rPr>
              <w:t>50</w:t>
            </w:r>
            <w:r>
              <w:rPr>
                <w:rFonts w:cs="Arial"/>
                <w:sz w:val="24"/>
                <w:szCs w:val="24"/>
              </w:rPr>
              <w:t>分）</w:t>
            </w:r>
          </w:p>
        </w:tc>
        <w:tc>
          <w:tcPr>
            <w:tcW w:w="925" w:type="dxa"/>
            <w:noWrap w:val="0"/>
            <w:vAlign w:val="center"/>
          </w:tcPr>
          <w:p w14:paraId="3EB0C3C5">
            <w:pPr>
              <w:jc w:val="center"/>
              <w:rPr>
                <w:rFonts w:cs="Arial"/>
                <w:sz w:val="24"/>
                <w:szCs w:val="24"/>
              </w:rPr>
            </w:pPr>
            <w:r>
              <w:rPr>
                <w:rFonts w:hint="eastAsia" w:cs="Arial"/>
                <w:sz w:val="24"/>
                <w:szCs w:val="24"/>
              </w:rPr>
              <w:t>服务内容（20分）</w:t>
            </w:r>
          </w:p>
        </w:tc>
        <w:tc>
          <w:tcPr>
            <w:tcW w:w="5390" w:type="dxa"/>
            <w:tcBorders>
              <w:top w:val="single" w:color="auto" w:sz="4" w:space="0"/>
              <w:right w:val="single" w:color="auto" w:sz="4" w:space="0"/>
            </w:tcBorders>
            <w:noWrap w:val="0"/>
            <w:vAlign w:val="center"/>
          </w:tcPr>
          <w:p w14:paraId="49C78EE6">
            <w:pPr>
              <w:adjustRightInd w:val="0"/>
              <w:snapToGrid w:val="0"/>
              <w:rPr>
                <w:rFonts w:hint="eastAsia" w:cs="Arial"/>
                <w:sz w:val="24"/>
                <w:szCs w:val="24"/>
              </w:rPr>
            </w:pPr>
            <w:r>
              <w:rPr>
                <w:rFonts w:hint="eastAsia" w:cs="Arial"/>
                <w:sz w:val="24"/>
                <w:szCs w:val="24"/>
              </w:rPr>
              <w:t>一档（20分）：对项目整体服务内容认识详细准确、有完善的服务框架及工作安排方案、条理清晰明确、可实施性强；</w:t>
            </w:r>
          </w:p>
          <w:p w14:paraId="51B19A73">
            <w:pPr>
              <w:adjustRightInd w:val="0"/>
              <w:snapToGrid w:val="0"/>
              <w:rPr>
                <w:rFonts w:hint="eastAsia" w:cs="Arial"/>
                <w:sz w:val="24"/>
                <w:szCs w:val="24"/>
              </w:rPr>
            </w:pPr>
            <w:r>
              <w:rPr>
                <w:rFonts w:hint="eastAsia" w:cs="Arial"/>
                <w:sz w:val="24"/>
                <w:szCs w:val="24"/>
              </w:rPr>
              <w:t>二档（15分）：对项目整体服务内容认识准确、有较完善的服务框架及工作安排方案、可实施性较强；</w:t>
            </w:r>
          </w:p>
          <w:p w14:paraId="7F5AEFD2">
            <w:pPr>
              <w:adjustRightInd w:val="0"/>
              <w:snapToGrid w:val="0"/>
              <w:rPr>
                <w:rFonts w:hint="eastAsia" w:cs="Arial"/>
                <w:sz w:val="24"/>
                <w:szCs w:val="24"/>
              </w:rPr>
            </w:pPr>
            <w:r>
              <w:rPr>
                <w:rFonts w:hint="eastAsia" w:cs="Arial"/>
                <w:sz w:val="24"/>
                <w:szCs w:val="24"/>
              </w:rPr>
              <w:t>三档（10分）：对项目整体服务内容有基本认识、有服务框架及工作安排方案；</w:t>
            </w:r>
          </w:p>
          <w:p w14:paraId="0CA40F41">
            <w:pPr>
              <w:rPr>
                <w:rFonts w:cs="Arial"/>
                <w:sz w:val="24"/>
                <w:szCs w:val="24"/>
              </w:rPr>
            </w:pPr>
            <w:r>
              <w:rPr>
                <w:rFonts w:hint="eastAsia" w:cs="Arial"/>
                <w:sz w:val="24"/>
                <w:szCs w:val="24"/>
              </w:rPr>
              <w:t>四档（5分）：对项目整体服务内容认识较差、服务框架及工作安排方案不具体。</w:t>
            </w:r>
          </w:p>
        </w:tc>
        <w:tc>
          <w:tcPr>
            <w:tcW w:w="2088" w:type="dxa"/>
            <w:vMerge w:val="restart"/>
            <w:tcBorders>
              <w:top w:val="single" w:color="auto" w:sz="4" w:space="0"/>
              <w:left w:val="single" w:color="auto" w:sz="4" w:space="0"/>
              <w:right w:val="single" w:color="auto" w:sz="4" w:space="0"/>
            </w:tcBorders>
            <w:noWrap w:val="0"/>
            <w:vAlign w:val="center"/>
          </w:tcPr>
          <w:p w14:paraId="1E54E09D">
            <w:pPr>
              <w:rPr>
                <w:rFonts w:cs="Arial"/>
                <w:sz w:val="24"/>
                <w:szCs w:val="24"/>
              </w:rPr>
            </w:pPr>
          </w:p>
        </w:tc>
      </w:tr>
      <w:tr w14:paraId="64C7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457" w:type="dxa"/>
            <w:vMerge w:val="continue"/>
            <w:noWrap w:val="0"/>
            <w:vAlign w:val="center"/>
          </w:tcPr>
          <w:p w14:paraId="64E4797C">
            <w:pPr>
              <w:jc w:val="center"/>
              <w:rPr>
                <w:rFonts w:cs="Arial"/>
                <w:sz w:val="24"/>
                <w:szCs w:val="24"/>
              </w:rPr>
            </w:pPr>
          </w:p>
        </w:tc>
        <w:tc>
          <w:tcPr>
            <w:tcW w:w="712" w:type="dxa"/>
            <w:vMerge w:val="continue"/>
            <w:noWrap w:val="0"/>
            <w:vAlign w:val="center"/>
          </w:tcPr>
          <w:p w14:paraId="6FC25767">
            <w:pPr>
              <w:jc w:val="center"/>
              <w:rPr>
                <w:rFonts w:cs="Arial"/>
                <w:sz w:val="24"/>
                <w:szCs w:val="24"/>
              </w:rPr>
            </w:pPr>
          </w:p>
        </w:tc>
        <w:tc>
          <w:tcPr>
            <w:tcW w:w="925" w:type="dxa"/>
            <w:noWrap w:val="0"/>
            <w:vAlign w:val="center"/>
          </w:tcPr>
          <w:p w14:paraId="6B267866">
            <w:pPr>
              <w:jc w:val="center"/>
              <w:rPr>
                <w:rFonts w:cs="Arial"/>
                <w:sz w:val="24"/>
                <w:szCs w:val="24"/>
              </w:rPr>
            </w:pPr>
            <w:r>
              <w:rPr>
                <w:rFonts w:cs="Arial"/>
                <w:sz w:val="24"/>
                <w:szCs w:val="24"/>
              </w:rPr>
              <w:t>工作重点、难点及解决方案（</w:t>
            </w:r>
            <w:r>
              <w:rPr>
                <w:rFonts w:hint="eastAsia" w:cs="Arial"/>
                <w:sz w:val="24"/>
                <w:szCs w:val="24"/>
              </w:rPr>
              <w:t>15</w:t>
            </w:r>
            <w:r>
              <w:rPr>
                <w:rFonts w:cs="Arial"/>
                <w:sz w:val="24"/>
                <w:szCs w:val="24"/>
              </w:rPr>
              <w:t>分）</w:t>
            </w:r>
          </w:p>
        </w:tc>
        <w:tc>
          <w:tcPr>
            <w:tcW w:w="5390" w:type="dxa"/>
            <w:tcBorders>
              <w:right w:val="single" w:color="auto" w:sz="4" w:space="0"/>
            </w:tcBorders>
            <w:noWrap w:val="0"/>
            <w:vAlign w:val="center"/>
          </w:tcPr>
          <w:p w14:paraId="5A095255">
            <w:pPr>
              <w:rPr>
                <w:rFonts w:cs="Arial"/>
                <w:sz w:val="24"/>
                <w:szCs w:val="24"/>
              </w:rPr>
            </w:pPr>
            <w:r>
              <w:rPr>
                <w:rFonts w:cs="Arial"/>
                <w:sz w:val="24"/>
                <w:szCs w:val="24"/>
              </w:rPr>
              <w:t>一档</w:t>
            </w:r>
            <w:r>
              <w:rPr>
                <w:rFonts w:hint="eastAsia" w:cs="Arial"/>
                <w:sz w:val="24"/>
                <w:szCs w:val="24"/>
              </w:rPr>
              <w:t>（15分）</w:t>
            </w:r>
            <w:r>
              <w:rPr>
                <w:rFonts w:cs="Arial"/>
                <w:sz w:val="24"/>
                <w:szCs w:val="24"/>
              </w:rPr>
              <w:t>：对工作的重点及难点理解深刻、分析准确、能够精准的描述出经常出现的各种问题及处理方案；</w:t>
            </w:r>
          </w:p>
          <w:p w14:paraId="26AD1969">
            <w:pPr>
              <w:rPr>
                <w:rFonts w:cs="Arial"/>
                <w:sz w:val="24"/>
                <w:szCs w:val="24"/>
              </w:rPr>
            </w:pPr>
            <w:r>
              <w:rPr>
                <w:rFonts w:cs="Arial"/>
                <w:sz w:val="24"/>
                <w:szCs w:val="24"/>
              </w:rPr>
              <w:t>二档</w:t>
            </w:r>
            <w:r>
              <w:rPr>
                <w:rFonts w:hint="eastAsia" w:cs="Arial"/>
                <w:sz w:val="24"/>
                <w:szCs w:val="24"/>
              </w:rPr>
              <w:t>（13分）</w:t>
            </w:r>
            <w:r>
              <w:rPr>
                <w:rFonts w:cs="Arial"/>
                <w:sz w:val="24"/>
                <w:szCs w:val="24"/>
              </w:rPr>
              <w:t>：对工作的重点及难点理解较深刻、分析较准确、能较详细的描述出经常出现的各种问题及处理方案；</w:t>
            </w:r>
          </w:p>
          <w:p w14:paraId="36356D8E">
            <w:pPr>
              <w:rPr>
                <w:rFonts w:cs="Arial"/>
                <w:sz w:val="24"/>
                <w:szCs w:val="24"/>
              </w:rPr>
            </w:pPr>
            <w:r>
              <w:rPr>
                <w:rFonts w:cs="Arial"/>
                <w:sz w:val="24"/>
                <w:szCs w:val="24"/>
              </w:rPr>
              <w:t>三档</w:t>
            </w:r>
            <w:r>
              <w:rPr>
                <w:rFonts w:hint="eastAsia" w:cs="Arial"/>
                <w:sz w:val="24"/>
                <w:szCs w:val="24"/>
              </w:rPr>
              <w:t>（11分）</w:t>
            </w:r>
            <w:r>
              <w:rPr>
                <w:rFonts w:cs="Arial"/>
                <w:sz w:val="24"/>
                <w:szCs w:val="24"/>
              </w:rPr>
              <w:t>：有对工作的重点及难点一定程度的理解与分析，对经常出现的各种问题及处理方案的描述较具体；</w:t>
            </w:r>
          </w:p>
          <w:p w14:paraId="36D297B4">
            <w:pPr>
              <w:rPr>
                <w:rFonts w:cs="Arial"/>
                <w:sz w:val="24"/>
                <w:szCs w:val="24"/>
              </w:rPr>
            </w:pPr>
            <w:r>
              <w:rPr>
                <w:rFonts w:cs="Arial"/>
                <w:sz w:val="24"/>
                <w:szCs w:val="24"/>
              </w:rPr>
              <w:t>四档</w:t>
            </w:r>
            <w:r>
              <w:rPr>
                <w:rFonts w:hint="eastAsia" w:cs="Arial"/>
                <w:sz w:val="24"/>
                <w:szCs w:val="24"/>
              </w:rPr>
              <w:t>（9分）</w:t>
            </w:r>
            <w:r>
              <w:rPr>
                <w:rFonts w:cs="Arial"/>
                <w:sz w:val="24"/>
                <w:szCs w:val="24"/>
              </w:rPr>
              <w:t>：对工作的重点及难点理解不足、分析不全面、对经常出现的各种问题及处理方案的描述不具体。</w:t>
            </w:r>
          </w:p>
        </w:tc>
        <w:tc>
          <w:tcPr>
            <w:tcW w:w="2088" w:type="dxa"/>
            <w:vMerge w:val="continue"/>
            <w:tcBorders>
              <w:left w:val="single" w:color="auto" w:sz="4" w:space="0"/>
              <w:right w:val="single" w:color="auto" w:sz="4" w:space="0"/>
            </w:tcBorders>
            <w:noWrap w:val="0"/>
            <w:vAlign w:val="center"/>
          </w:tcPr>
          <w:p w14:paraId="709D0C57">
            <w:pPr>
              <w:rPr>
                <w:rFonts w:cs="Arial"/>
                <w:sz w:val="24"/>
                <w:szCs w:val="24"/>
              </w:rPr>
            </w:pPr>
          </w:p>
        </w:tc>
      </w:tr>
      <w:tr w14:paraId="265F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457" w:type="dxa"/>
            <w:vMerge w:val="continue"/>
            <w:noWrap w:val="0"/>
            <w:vAlign w:val="center"/>
          </w:tcPr>
          <w:p w14:paraId="3A6EA03C">
            <w:pPr>
              <w:jc w:val="center"/>
              <w:rPr>
                <w:rFonts w:cs="Arial"/>
                <w:sz w:val="24"/>
                <w:szCs w:val="24"/>
              </w:rPr>
            </w:pPr>
          </w:p>
        </w:tc>
        <w:tc>
          <w:tcPr>
            <w:tcW w:w="712" w:type="dxa"/>
            <w:vMerge w:val="continue"/>
            <w:noWrap w:val="0"/>
            <w:vAlign w:val="center"/>
          </w:tcPr>
          <w:p w14:paraId="7F0D0DF4">
            <w:pPr>
              <w:jc w:val="center"/>
              <w:rPr>
                <w:rFonts w:cs="Arial"/>
                <w:sz w:val="24"/>
                <w:szCs w:val="24"/>
              </w:rPr>
            </w:pPr>
          </w:p>
        </w:tc>
        <w:tc>
          <w:tcPr>
            <w:tcW w:w="925" w:type="dxa"/>
            <w:noWrap w:val="0"/>
            <w:vAlign w:val="center"/>
          </w:tcPr>
          <w:p w14:paraId="02DA389E">
            <w:pPr>
              <w:pStyle w:val="23"/>
              <w:kinsoku w:val="0"/>
              <w:overflowPunct w:val="0"/>
              <w:jc w:val="center"/>
              <w:rPr>
                <w:rFonts w:ascii="Arial" w:hAnsi="Arial" w:cs="Arial"/>
                <w:sz w:val="24"/>
                <w:szCs w:val="24"/>
              </w:rPr>
            </w:pPr>
            <w:r>
              <w:rPr>
                <w:rFonts w:ascii="Arial" w:hAnsi="Arial" w:cs="Arial"/>
                <w:sz w:val="24"/>
                <w:szCs w:val="24"/>
              </w:rPr>
              <w:t>服务人员配备及培训方案</w:t>
            </w:r>
          </w:p>
          <w:p w14:paraId="4D310597">
            <w:pPr>
              <w:jc w:val="center"/>
              <w:rPr>
                <w:rFonts w:cs="Arial"/>
                <w:sz w:val="24"/>
                <w:szCs w:val="24"/>
              </w:rPr>
            </w:pPr>
            <w:r>
              <w:rPr>
                <w:rFonts w:cs="Arial"/>
                <w:sz w:val="24"/>
                <w:szCs w:val="24"/>
              </w:rPr>
              <w:t>（</w:t>
            </w:r>
            <w:r>
              <w:rPr>
                <w:rFonts w:hint="eastAsia" w:cs="Arial"/>
                <w:sz w:val="24"/>
                <w:szCs w:val="24"/>
              </w:rPr>
              <w:t>15</w:t>
            </w:r>
            <w:r>
              <w:rPr>
                <w:rFonts w:cs="Arial"/>
                <w:sz w:val="24"/>
                <w:szCs w:val="24"/>
              </w:rPr>
              <w:t>分）</w:t>
            </w:r>
          </w:p>
        </w:tc>
        <w:tc>
          <w:tcPr>
            <w:tcW w:w="5390" w:type="dxa"/>
            <w:tcBorders>
              <w:bottom w:val="single" w:color="auto" w:sz="4" w:space="0"/>
              <w:right w:val="single" w:color="auto" w:sz="4" w:space="0"/>
            </w:tcBorders>
            <w:noWrap w:val="0"/>
            <w:vAlign w:val="center"/>
          </w:tcPr>
          <w:p w14:paraId="444CA5D3">
            <w:pPr>
              <w:rPr>
                <w:rFonts w:hint="default" w:eastAsia="宋体" w:cs="Arial"/>
                <w:sz w:val="24"/>
                <w:szCs w:val="24"/>
                <w:lang w:val="en-US" w:eastAsia="zh-CN"/>
              </w:rPr>
            </w:pPr>
            <w:r>
              <w:rPr>
                <w:rFonts w:hint="eastAsia" w:cs="Arial"/>
                <w:sz w:val="24"/>
                <w:szCs w:val="24"/>
              </w:rPr>
              <w:t>1.投标人或投标产品企业拟派驻</w:t>
            </w:r>
            <w:r>
              <w:rPr>
                <w:rFonts w:hint="eastAsia" w:cs="Arial"/>
                <w:sz w:val="24"/>
                <w:szCs w:val="24"/>
                <w:lang w:val="en-US" w:eastAsia="zh-CN"/>
              </w:rPr>
              <w:t>的</w:t>
            </w:r>
            <w:r>
              <w:rPr>
                <w:rFonts w:cs="Arial"/>
                <w:sz w:val="24"/>
                <w:szCs w:val="24"/>
              </w:rPr>
              <w:t>项目团队（含项目经理、加工扫描人员、质检人员、交接人员、搬运工）人数不得低于 3人</w:t>
            </w:r>
            <w:r>
              <w:rPr>
                <w:rFonts w:hint="eastAsia" w:cs="Arial"/>
                <w:sz w:val="24"/>
                <w:szCs w:val="24"/>
                <w:lang w:eastAsia="zh-CN"/>
              </w:rPr>
              <w:t>，</w:t>
            </w:r>
            <w:r>
              <w:rPr>
                <w:rFonts w:hint="eastAsia" w:cs="Arial"/>
                <w:sz w:val="24"/>
                <w:szCs w:val="24"/>
              </w:rPr>
              <w:t>项目经理同时具有医院数字化病案服务项目经验</w:t>
            </w:r>
            <w:r>
              <w:rPr>
                <w:rFonts w:hint="eastAsia" w:cs="Arial"/>
                <w:sz w:val="24"/>
                <w:szCs w:val="24"/>
                <w:lang w:val="en-US" w:eastAsia="zh-CN"/>
              </w:rPr>
              <w:t>并持</w:t>
            </w:r>
            <w:r>
              <w:rPr>
                <w:rFonts w:hint="eastAsia" w:cs="Arial"/>
                <w:sz w:val="24"/>
                <w:szCs w:val="24"/>
              </w:rPr>
              <w:t>有信息系统项目管理师高级证书</w:t>
            </w:r>
            <w:r>
              <w:rPr>
                <w:rFonts w:hint="eastAsia" w:cs="Arial"/>
                <w:sz w:val="24"/>
                <w:szCs w:val="24"/>
                <w:lang w:eastAsia="zh-CN"/>
              </w:rPr>
              <w:t>，</w:t>
            </w:r>
            <w:r>
              <w:rPr>
                <w:rFonts w:hint="eastAsia" w:cs="Arial"/>
                <w:sz w:val="24"/>
                <w:szCs w:val="24"/>
              </w:rPr>
              <w:t>得6分</w:t>
            </w:r>
            <w:r>
              <w:rPr>
                <w:rFonts w:hint="eastAsia" w:cs="Arial"/>
                <w:sz w:val="24"/>
                <w:szCs w:val="24"/>
                <w:lang w:val="en-US" w:eastAsia="zh-CN"/>
              </w:rPr>
              <w:t>或</w:t>
            </w:r>
            <w:r>
              <w:rPr>
                <w:rFonts w:hint="eastAsia" w:cs="Arial"/>
                <w:sz w:val="24"/>
                <w:szCs w:val="24"/>
              </w:rPr>
              <w:t>项目经理同时具有医院数字化病案服务项目经验</w:t>
            </w:r>
            <w:r>
              <w:rPr>
                <w:rFonts w:hint="eastAsia" w:cs="Arial"/>
                <w:sz w:val="24"/>
                <w:szCs w:val="24"/>
                <w:lang w:val="en-US" w:eastAsia="zh-CN"/>
              </w:rPr>
              <w:t>并持</w:t>
            </w:r>
            <w:r>
              <w:rPr>
                <w:rFonts w:hint="eastAsia" w:cs="Arial"/>
                <w:sz w:val="24"/>
                <w:szCs w:val="24"/>
              </w:rPr>
              <w:t>有</w:t>
            </w:r>
            <w:r>
              <w:rPr>
                <w:rFonts w:hint="eastAsia" w:cs="Arial"/>
                <w:sz w:val="24"/>
                <w:szCs w:val="24"/>
                <w:lang w:val="en-US" w:eastAsia="zh-CN"/>
              </w:rPr>
              <w:t>系统集成项目管理工程师中级证书，得4分（满分6分）；</w:t>
            </w:r>
          </w:p>
          <w:p w14:paraId="25D486F1">
            <w:pPr>
              <w:rPr>
                <w:rFonts w:hint="eastAsia" w:cs="Arial"/>
                <w:sz w:val="24"/>
                <w:szCs w:val="24"/>
              </w:rPr>
            </w:pPr>
            <w:r>
              <w:rPr>
                <w:rFonts w:hint="eastAsia" w:cs="Arial"/>
                <w:sz w:val="24"/>
                <w:szCs w:val="24"/>
              </w:rPr>
              <w:t>2.项目</w:t>
            </w:r>
            <w:r>
              <w:rPr>
                <w:rFonts w:hint="eastAsia" w:cs="Arial"/>
                <w:sz w:val="24"/>
                <w:szCs w:val="24"/>
                <w:lang w:val="en-US" w:eastAsia="zh-CN"/>
              </w:rPr>
              <w:t>其他</w:t>
            </w:r>
            <w:r>
              <w:rPr>
                <w:rFonts w:hint="eastAsia" w:cs="Arial"/>
                <w:sz w:val="24"/>
                <w:szCs w:val="24"/>
              </w:rPr>
              <w:t>人员的资质</w:t>
            </w:r>
          </w:p>
          <w:p w14:paraId="24FFB25A">
            <w:pPr>
              <w:rPr>
                <w:rFonts w:hint="eastAsia" w:cs="Arial"/>
                <w:sz w:val="24"/>
                <w:szCs w:val="24"/>
              </w:rPr>
            </w:pPr>
            <w:r>
              <w:rPr>
                <w:rFonts w:hint="eastAsia" w:cs="Arial"/>
                <w:sz w:val="24"/>
                <w:szCs w:val="24"/>
              </w:rPr>
              <w:t>投标人或投标产品企业拟派项目团队人员均须为投标人正式聘用人员：</w:t>
            </w:r>
          </w:p>
          <w:p w14:paraId="6DE3CA08">
            <w:pPr>
              <w:rPr>
                <w:rFonts w:hint="eastAsia" w:cs="Arial"/>
                <w:sz w:val="24"/>
                <w:szCs w:val="24"/>
              </w:rPr>
            </w:pPr>
            <w:r>
              <w:rPr>
                <w:rFonts w:hint="eastAsia" w:cs="Arial"/>
                <w:sz w:val="24"/>
                <w:szCs w:val="24"/>
              </w:rPr>
              <w:t>（1）至少有1人具有计算机技术与软件专业技术资格（水平）考试信息系统项目管理师高级证书，得3分。</w:t>
            </w:r>
          </w:p>
          <w:p w14:paraId="3A19556E">
            <w:pPr>
              <w:rPr>
                <w:rFonts w:hint="eastAsia" w:cs="Arial"/>
                <w:sz w:val="24"/>
                <w:szCs w:val="24"/>
              </w:rPr>
            </w:pPr>
            <w:r>
              <w:rPr>
                <w:rFonts w:hint="eastAsia" w:cs="Arial"/>
                <w:sz w:val="24"/>
                <w:szCs w:val="24"/>
              </w:rPr>
              <w:t>（2）至少有1人具有计算机技术与软件专业技术资格（水平）考试数据库系统工程师证书，得3分。</w:t>
            </w:r>
          </w:p>
          <w:p w14:paraId="7A3EB6F7">
            <w:pPr>
              <w:rPr>
                <w:rFonts w:hint="eastAsia" w:cs="Arial"/>
                <w:sz w:val="24"/>
                <w:szCs w:val="24"/>
              </w:rPr>
            </w:pPr>
            <w:r>
              <w:rPr>
                <w:rFonts w:hint="eastAsia" w:cs="Arial"/>
                <w:sz w:val="24"/>
                <w:szCs w:val="24"/>
              </w:rPr>
              <w:t>（3）至少有1人具有计算机技术与软件专业技术资格（水平）软件设计师证书。得3分；</w:t>
            </w:r>
          </w:p>
          <w:p w14:paraId="118C0280">
            <w:pPr>
              <w:rPr>
                <w:rFonts w:hint="eastAsia" w:cs="Arial"/>
                <w:sz w:val="24"/>
                <w:szCs w:val="24"/>
              </w:rPr>
            </w:pPr>
            <w:r>
              <w:rPr>
                <w:rFonts w:hint="eastAsia" w:cs="Arial"/>
                <w:sz w:val="24"/>
                <w:szCs w:val="24"/>
              </w:rPr>
              <w:t>以上1-2项须提供证书扫描件，以及项目团队人员招标截止之日前</w:t>
            </w:r>
            <w:r>
              <w:rPr>
                <w:rFonts w:hint="eastAsia" w:cs="Arial"/>
                <w:sz w:val="24"/>
                <w:szCs w:val="24"/>
                <w:lang w:val="en-US" w:eastAsia="zh-CN"/>
              </w:rPr>
              <w:t>六个月以内至少1个月</w:t>
            </w:r>
            <w:r>
              <w:rPr>
                <w:rFonts w:hint="eastAsia" w:cs="Arial"/>
                <w:sz w:val="24"/>
                <w:szCs w:val="24"/>
              </w:rPr>
              <w:t>的社保证明</w:t>
            </w:r>
            <w:r>
              <w:rPr>
                <w:rFonts w:hint="eastAsia" w:cs="Arial"/>
                <w:sz w:val="24"/>
                <w:szCs w:val="24"/>
                <w:lang w:val="en-US" w:eastAsia="zh-CN"/>
              </w:rPr>
              <w:t>复印</w:t>
            </w:r>
            <w:r>
              <w:rPr>
                <w:rFonts w:hint="eastAsia" w:cs="Arial"/>
                <w:sz w:val="24"/>
                <w:szCs w:val="24"/>
              </w:rPr>
              <w:t>件。</w:t>
            </w:r>
          </w:p>
          <w:p w14:paraId="669D6FD3">
            <w:pPr>
              <w:rPr>
                <w:rFonts w:cs="Arial"/>
                <w:sz w:val="24"/>
                <w:szCs w:val="24"/>
              </w:rPr>
            </w:pPr>
            <w:r>
              <w:rPr>
                <w:rFonts w:hint="eastAsia" w:cs="Arial"/>
                <w:sz w:val="24"/>
                <w:szCs w:val="24"/>
              </w:rPr>
              <w:t>注：一人持多项证书不重复得分。</w:t>
            </w:r>
          </w:p>
        </w:tc>
        <w:tc>
          <w:tcPr>
            <w:tcW w:w="2088" w:type="dxa"/>
            <w:tcBorders>
              <w:left w:val="single" w:color="auto" w:sz="4" w:space="0"/>
              <w:bottom w:val="single" w:color="auto" w:sz="4" w:space="0"/>
              <w:right w:val="single" w:color="auto" w:sz="4" w:space="0"/>
            </w:tcBorders>
            <w:noWrap w:val="0"/>
            <w:vAlign w:val="center"/>
          </w:tcPr>
          <w:p w14:paraId="6A303EEA">
            <w:pPr>
              <w:rPr>
                <w:rFonts w:cs="Arial"/>
                <w:sz w:val="24"/>
                <w:szCs w:val="24"/>
              </w:rPr>
            </w:pPr>
            <w:r>
              <w:rPr>
                <w:rFonts w:cs="Arial"/>
                <w:sz w:val="24"/>
                <w:szCs w:val="24"/>
              </w:rPr>
              <w:t>提供以上人员在本公司任职的证明材料</w:t>
            </w:r>
            <w:r>
              <w:rPr>
                <w:rFonts w:hint="eastAsia"/>
                <w:sz w:val="24"/>
                <w:szCs w:val="24"/>
                <w:lang w:val="en-US" w:eastAsia="zh-CN"/>
              </w:rPr>
              <w:t>及</w:t>
            </w:r>
            <w:r>
              <w:rPr>
                <w:rFonts w:cs="Arial"/>
                <w:sz w:val="24"/>
                <w:szCs w:val="24"/>
              </w:rPr>
              <w:t>项目投标截止日之前六个月以内</w:t>
            </w:r>
            <w:r>
              <w:rPr>
                <w:rFonts w:hint="eastAsia" w:cs="Arial"/>
                <w:sz w:val="24"/>
                <w:szCs w:val="24"/>
                <w:lang w:val="en-US" w:eastAsia="zh-CN"/>
              </w:rPr>
              <w:t>至少1个月的</w:t>
            </w:r>
            <w:r>
              <w:rPr>
                <w:rFonts w:cs="Arial"/>
                <w:sz w:val="24"/>
                <w:szCs w:val="24"/>
              </w:rPr>
              <w:t>《社会保险参保人员证明》。</w:t>
            </w:r>
          </w:p>
        </w:tc>
      </w:tr>
      <w:tr w14:paraId="05B8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tcBorders>
              <w:top w:val="single" w:color="auto" w:sz="4" w:space="0"/>
              <w:left w:val="single" w:color="auto" w:sz="4" w:space="0"/>
              <w:bottom w:val="single" w:color="auto" w:sz="4" w:space="0"/>
              <w:right w:val="single" w:color="auto" w:sz="4" w:space="0"/>
            </w:tcBorders>
            <w:noWrap w:val="0"/>
            <w:vAlign w:val="center"/>
          </w:tcPr>
          <w:p w14:paraId="44BC51B3">
            <w:pPr>
              <w:jc w:val="center"/>
              <w:rPr>
                <w:rFonts w:cs="Arial"/>
                <w:sz w:val="24"/>
                <w:szCs w:val="24"/>
              </w:rPr>
            </w:pPr>
            <w:r>
              <w:rPr>
                <w:rFonts w:cs="Arial"/>
                <w:sz w:val="24"/>
                <w:szCs w:val="24"/>
              </w:rPr>
              <w:t>3</w:t>
            </w: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14:paraId="5DAB9B25">
            <w:pPr>
              <w:jc w:val="center"/>
              <w:rPr>
                <w:rFonts w:cs="Arial"/>
                <w:sz w:val="24"/>
                <w:szCs w:val="24"/>
              </w:rPr>
            </w:pPr>
            <w:r>
              <w:rPr>
                <w:rFonts w:cs="Arial"/>
                <w:sz w:val="24"/>
                <w:szCs w:val="24"/>
              </w:rPr>
              <w:t>投标报价</w:t>
            </w:r>
          </w:p>
          <w:p w14:paraId="7D603556">
            <w:pPr>
              <w:jc w:val="center"/>
              <w:rPr>
                <w:rFonts w:cs="Arial"/>
                <w:sz w:val="24"/>
                <w:szCs w:val="24"/>
              </w:rPr>
            </w:pPr>
            <w:r>
              <w:rPr>
                <w:rFonts w:cs="Arial"/>
                <w:sz w:val="24"/>
                <w:szCs w:val="24"/>
              </w:rPr>
              <w:t>（</w:t>
            </w:r>
            <w:r>
              <w:rPr>
                <w:rFonts w:hint="eastAsia" w:cs="Arial"/>
                <w:sz w:val="24"/>
                <w:szCs w:val="24"/>
              </w:rPr>
              <w:t>30</w:t>
            </w:r>
            <w:r>
              <w:rPr>
                <w:rFonts w:cs="Arial"/>
                <w:sz w:val="24"/>
                <w:szCs w:val="24"/>
              </w:rPr>
              <w:t>分）</w:t>
            </w:r>
          </w:p>
        </w:tc>
        <w:tc>
          <w:tcPr>
            <w:tcW w:w="5390" w:type="dxa"/>
            <w:tcBorders>
              <w:top w:val="single" w:color="auto" w:sz="4" w:space="0"/>
              <w:left w:val="single" w:color="auto" w:sz="4" w:space="0"/>
              <w:bottom w:val="single" w:color="auto" w:sz="4" w:space="0"/>
            </w:tcBorders>
            <w:noWrap w:val="0"/>
            <w:vAlign w:val="center"/>
          </w:tcPr>
          <w:p w14:paraId="6480E50A">
            <w:pPr>
              <w:rPr>
                <w:rFonts w:hint="eastAsia" w:cs="Arial"/>
                <w:sz w:val="24"/>
                <w:szCs w:val="24"/>
              </w:rPr>
            </w:pPr>
            <w:r>
              <w:rPr>
                <w:rFonts w:cs="Arial"/>
                <w:sz w:val="24"/>
                <w:szCs w:val="24"/>
              </w:rPr>
              <w:t>以满足招标文件要求且投标价格最低的投标报价</w:t>
            </w:r>
            <w:r>
              <w:rPr>
                <w:rFonts w:hint="eastAsia" w:cs="Arial"/>
                <w:sz w:val="24"/>
                <w:szCs w:val="24"/>
              </w:rPr>
              <w:t>单价</w:t>
            </w:r>
            <w:r>
              <w:rPr>
                <w:rFonts w:cs="Arial"/>
                <w:sz w:val="24"/>
                <w:szCs w:val="24"/>
              </w:rPr>
              <w:t>为评标基准价，其价格分为满分。其他供应商的价格分统一按照下列公式计算：投标报价得分=（评标基准价/投标报价</w:t>
            </w:r>
            <w:r>
              <w:rPr>
                <w:rFonts w:hint="eastAsia" w:cs="Arial"/>
                <w:sz w:val="24"/>
                <w:szCs w:val="24"/>
              </w:rPr>
              <w:t>单价</w:t>
            </w:r>
            <w:r>
              <w:rPr>
                <w:rFonts w:cs="Arial"/>
                <w:sz w:val="24"/>
                <w:szCs w:val="24"/>
              </w:rPr>
              <w:t>）×投标报价分满分分值。</w:t>
            </w:r>
          </w:p>
          <w:p w14:paraId="66FE7BE3">
            <w:pPr>
              <w:rPr>
                <w:rFonts w:cs="Arial"/>
                <w:sz w:val="24"/>
                <w:szCs w:val="24"/>
              </w:rPr>
            </w:pPr>
            <w:r>
              <w:rPr>
                <w:rFonts w:hint="eastAsia" w:cs="Arial"/>
                <w:sz w:val="24"/>
                <w:szCs w:val="24"/>
              </w:rPr>
              <w:t>报价为每页单价进行报价。</w:t>
            </w:r>
          </w:p>
        </w:tc>
        <w:tc>
          <w:tcPr>
            <w:tcW w:w="2088" w:type="dxa"/>
            <w:tcBorders>
              <w:top w:val="single" w:color="auto" w:sz="4" w:space="0"/>
              <w:left w:val="single" w:color="auto" w:sz="4" w:space="0"/>
              <w:bottom w:val="single" w:color="auto" w:sz="4" w:space="0"/>
            </w:tcBorders>
            <w:noWrap w:val="0"/>
            <w:vAlign w:val="center"/>
          </w:tcPr>
          <w:p w14:paraId="28D5FEAD">
            <w:pPr>
              <w:rPr>
                <w:rFonts w:cs="Arial"/>
                <w:sz w:val="24"/>
                <w:szCs w:val="24"/>
              </w:rPr>
            </w:pPr>
          </w:p>
        </w:tc>
      </w:tr>
      <w:tr w14:paraId="4910E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57" w:type="dxa"/>
            <w:tcBorders>
              <w:top w:val="single" w:color="auto" w:sz="4" w:space="0"/>
              <w:left w:val="single" w:color="auto" w:sz="4" w:space="0"/>
              <w:bottom w:val="single" w:color="auto" w:sz="4" w:space="0"/>
              <w:right w:val="single" w:color="auto" w:sz="4" w:space="0"/>
            </w:tcBorders>
            <w:noWrap w:val="0"/>
            <w:vAlign w:val="center"/>
          </w:tcPr>
          <w:p w14:paraId="7A126251">
            <w:pPr>
              <w:jc w:val="center"/>
              <w:rPr>
                <w:rFonts w:cs="Arial"/>
                <w:sz w:val="24"/>
                <w:szCs w:val="24"/>
              </w:rPr>
            </w:pPr>
            <w:r>
              <w:rPr>
                <w:rFonts w:cs="Arial"/>
                <w:sz w:val="24"/>
                <w:szCs w:val="24"/>
              </w:rPr>
              <w:t>4</w:t>
            </w: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14:paraId="65E4C27E">
            <w:pPr>
              <w:jc w:val="center"/>
              <w:rPr>
                <w:rFonts w:cs="Arial"/>
                <w:sz w:val="24"/>
                <w:szCs w:val="24"/>
              </w:rPr>
            </w:pPr>
            <w:r>
              <w:rPr>
                <w:rFonts w:cs="Arial"/>
                <w:sz w:val="24"/>
                <w:szCs w:val="24"/>
              </w:rPr>
              <w:t>综合得分</w:t>
            </w:r>
          </w:p>
        </w:tc>
        <w:tc>
          <w:tcPr>
            <w:tcW w:w="7478" w:type="dxa"/>
            <w:gridSpan w:val="2"/>
            <w:tcBorders>
              <w:top w:val="single" w:color="auto" w:sz="4" w:space="0"/>
              <w:left w:val="single" w:color="auto" w:sz="4" w:space="0"/>
              <w:bottom w:val="single" w:color="auto" w:sz="4" w:space="0"/>
            </w:tcBorders>
            <w:noWrap w:val="0"/>
            <w:vAlign w:val="center"/>
          </w:tcPr>
          <w:p w14:paraId="44C8DE88">
            <w:pPr>
              <w:rPr>
                <w:rFonts w:cs="Arial"/>
                <w:sz w:val="24"/>
                <w:szCs w:val="24"/>
              </w:rPr>
            </w:pPr>
            <w:r>
              <w:rPr>
                <w:rFonts w:cs="Arial"/>
                <w:sz w:val="24"/>
                <w:szCs w:val="24"/>
              </w:rPr>
              <w:t>=1+2+3 （各项评分分值计算保留小数点后两位，小数点后第三位“四舍五入”）</w:t>
            </w:r>
          </w:p>
        </w:tc>
      </w:tr>
    </w:tbl>
    <w:p w14:paraId="7E543DCF">
      <w:pPr>
        <w:rPr>
          <w:rFonts w:hint="eastAsia" w:ascii="宋体" w:hAnsi="宋体" w:eastAsia="宋体" w:cs="宋体"/>
          <w:b/>
          <w:bCs/>
          <w:i w:val="0"/>
          <w:iCs w:val="0"/>
          <w:caps w:val="0"/>
          <w:color w:val="000000"/>
          <w:spacing w:val="0"/>
          <w:sz w:val="32"/>
          <w:szCs w:val="32"/>
        </w:rPr>
      </w:pPr>
      <w:r>
        <w:rPr>
          <w:rFonts w:hint="eastAsia" w:ascii="宋体" w:hAnsi="宋体" w:eastAsia="宋体" w:cs="宋体"/>
          <w:b/>
          <w:bCs/>
          <w:i w:val="0"/>
          <w:iCs w:val="0"/>
          <w:caps w:val="0"/>
          <w:color w:val="000000"/>
          <w:spacing w:val="0"/>
          <w:sz w:val="32"/>
          <w:szCs w:val="32"/>
        </w:rPr>
        <w:br w:type="page"/>
      </w:r>
    </w:p>
    <w:p w14:paraId="3E6708A6">
      <w:pPr>
        <w:jc w:val="center"/>
        <w:rPr>
          <w:rFonts w:hint="default" w:ascii="宋体" w:hAnsi="宋体" w:eastAsia="宋体" w:cs="宋体"/>
          <w:b/>
          <w:sz w:val="32"/>
          <w:lang w:val="en-US" w:eastAsia="zh-CN"/>
        </w:rPr>
      </w:pPr>
      <w:r>
        <w:rPr>
          <w:rFonts w:hint="eastAsia" w:ascii="宋体" w:hAnsi="宋体" w:cs="宋体"/>
          <w:b/>
          <w:sz w:val="32"/>
          <w:lang w:val="en-US" w:eastAsia="zh-CN"/>
        </w:rPr>
        <w:t>第四章  招标文件格式</w:t>
      </w:r>
    </w:p>
    <w:p w14:paraId="44F69020">
      <w:pPr>
        <w:jc w:val="center"/>
        <w:rPr>
          <w:rFonts w:ascii="宋体" w:hAnsi="宋体" w:eastAsia="宋体" w:cs="宋体"/>
          <w:b/>
          <w:sz w:val="32"/>
        </w:rPr>
      </w:pPr>
      <w:r>
        <w:rPr>
          <w:rFonts w:hint="eastAsia" w:ascii="宋体" w:hAnsi="宋体" w:eastAsia="宋体" w:cs="宋体"/>
          <w:b/>
          <w:sz w:val="30"/>
          <w:szCs w:val="30"/>
        </w:rPr>
        <w:t>响 应 函 （格式）</w:t>
      </w:r>
    </w:p>
    <w:p w14:paraId="6ED3E98F">
      <w:pPr>
        <w:keepNext w:val="0"/>
        <w:keepLines w:val="0"/>
        <w:pageBreakBefore w:val="0"/>
        <w:kinsoku/>
        <w:wordWrap/>
        <w:overflowPunct/>
        <w:topLinePunct w:val="0"/>
        <w:autoSpaceDE/>
        <w:autoSpaceDN/>
        <w:bidi w:val="0"/>
        <w:adjustRightInd/>
        <w:snapToGrid/>
        <w:spacing w:line="400" w:lineRule="exact"/>
        <w:jc w:val="lef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：桂林市人民医院   </w:t>
      </w:r>
    </w:p>
    <w:p w14:paraId="1FF29C86">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ascii="宋体" w:hAnsi="宋体" w:eastAsia="宋体" w:cs="宋体"/>
          <w:sz w:val="24"/>
          <w:szCs w:val="24"/>
        </w:rPr>
      </w:pPr>
      <w:r>
        <w:rPr>
          <w:rFonts w:hint="eastAsia" w:ascii="宋体" w:hAnsi="宋体" w:eastAsia="宋体" w:cs="宋体"/>
          <w:sz w:val="24"/>
          <w:szCs w:val="24"/>
        </w:rPr>
        <w:t>根据贵方项目，项目</w:t>
      </w:r>
      <w:r>
        <w:rPr>
          <w:rFonts w:hint="eastAsia" w:ascii="宋体" w:hAnsi="宋体" w:cs="宋体"/>
          <w:sz w:val="24"/>
          <w:szCs w:val="24"/>
          <w:lang w:val="en-US" w:eastAsia="zh-CN"/>
        </w:rPr>
        <w:t>名称（</w:t>
      </w:r>
      <w:r>
        <w:rPr>
          <w:rFonts w:hint="eastAsia" w:ascii="宋体" w:hAnsi="宋体" w:eastAsia="宋体" w:cs="宋体"/>
          <w:sz w:val="24"/>
          <w:szCs w:val="24"/>
        </w:rPr>
        <w:t>编号</w:t>
      </w:r>
      <w:r>
        <w:rPr>
          <w:rFonts w:hint="eastAsia" w:ascii="宋体" w:hAnsi="宋体" w:cs="宋体"/>
          <w:sz w:val="24"/>
          <w:szCs w:val="24"/>
          <w:lang w:eastAsia="zh-CN"/>
        </w:rPr>
        <w:t>）</w:t>
      </w:r>
      <w:r>
        <w:rPr>
          <w:rFonts w:hint="eastAsia" w:ascii="宋体" w:hAnsi="宋体" w:eastAsia="宋体" w:cs="宋体"/>
          <w:sz w:val="24"/>
          <w:szCs w:val="24"/>
        </w:rPr>
        <w:t xml:space="preserve">##### ，签字代表（姓名）经正式授权并代表供应商 </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供应商单位名称），提交</w:t>
      </w:r>
      <w:r>
        <w:rPr>
          <w:rFonts w:hint="eastAsia" w:ascii="宋体" w:hAnsi="宋体" w:cs="宋体"/>
          <w:sz w:val="24"/>
          <w:szCs w:val="24"/>
          <w:lang w:val="en-US" w:eastAsia="zh-CN"/>
        </w:rPr>
        <w:t>报价</w:t>
      </w:r>
      <w:r>
        <w:rPr>
          <w:rFonts w:hint="eastAsia" w:ascii="宋体" w:hAnsi="宋体" w:eastAsia="宋体" w:cs="宋体"/>
          <w:sz w:val="24"/>
          <w:szCs w:val="24"/>
        </w:rPr>
        <w:t>文件正本</w:t>
      </w:r>
      <w:r>
        <w:rPr>
          <w:rFonts w:hint="eastAsia" w:ascii="宋体" w:hAnsi="宋体" w:eastAsia="宋体" w:cs="宋体"/>
          <w:color w:val="000000" w:themeColor="text1"/>
          <w:sz w:val="24"/>
          <w:szCs w:val="24"/>
          <w14:textFill>
            <w14:solidFill>
              <w14:schemeClr w14:val="tx1"/>
            </w14:solidFill>
          </w14:textFill>
        </w:rPr>
        <w:t>一份，副本</w:t>
      </w:r>
      <w:r>
        <w:rPr>
          <w:rFonts w:hint="eastAsia" w:ascii="宋体" w:hAnsi="宋体" w:cs="宋体"/>
          <w:color w:val="000000" w:themeColor="text1"/>
          <w:sz w:val="24"/>
          <w:szCs w:val="24"/>
          <w:lang w:val="en-US" w:eastAsia="zh-CN"/>
          <w14:textFill>
            <w14:solidFill>
              <w14:schemeClr w14:val="tx1"/>
            </w14:solidFill>
          </w14:textFill>
        </w:rPr>
        <w:t>五</w:t>
      </w:r>
      <w:r>
        <w:rPr>
          <w:rFonts w:hint="eastAsia" w:ascii="宋体" w:hAnsi="宋体" w:eastAsia="宋体" w:cs="宋体"/>
          <w:color w:val="000000" w:themeColor="text1"/>
          <w:sz w:val="24"/>
          <w:szCs w:val="24"/>
          <w14:textFill>
            <w14:solidFill>
              <w14:schemeClr w14:val="tx1"/>
            </w14:solidFill>
          </w14:textFill>
        </w:rPr>
        <w:t>份。</w:t>
      </w:r>
    </w:p>
    <w:p w14:paraId="3521DD68">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ascii="宋体" w:hAnsi="宋体" w:cs="宋体"/>
          <w:sz w:val="24"/>
          <w:szCs w:val="24"/>
        </w:rPr>
      </w:pPr>
      <w:r>
        <w:rPr>
          <w:rFonts w:hint="eastAsia" w:ascii="宋体" w:hAnsi="宋体" w:cs="宋体"/>
          <w:sz w:val="24"/>
          <w:szCs w:val="24"/>
        </w:rPr>
        <w:t>据此函，签字代表宣布同意如下：</w:t>
      </w:r>
    </w:p>
    <w:p w14:paraId="10BD90A2">
      <w:pPr>
        <w:keepNext w:val="0"/>
        <w:keepLines w:val="0"/>
        <w:pageBreakBefore w:val="0"/>
        <w:widowControl/>
        <w:numPr>
          <w:ilvl w:val="0"/>
          <w:numId w:val="4"/>
        </w:numPr>
        <w:kinsoku/>
        <w:wordWrap/>
        <w:overflowPunct/>
        <w:topLinePunct w:val="0"/>
        <w:autoSpaceDE/>
        <w:autoSpaceDN/>
        <w:bidi w:val="0"/>
        <w:adjustRightInd/>
        <w:snapToGrid/>
        <w:spacing w:line="400" w:lineRule="exact"/>
        <w:jc w:val="left"/>
        <w:textAlignment w:val="auto"/>
        <w:rPr>
          <w:rFonts w:hint="eastAsia" w:ascii="宋体" w:hAnsi="宋体" w:cs="宋体"/>
          <w:sz w:val="24"/>
          <w:szCs w:val="24"/>
        </w:rPr>
      </w:pPr>
      <w:r>
        <w:rPr>
          <w:rFonts w:ascii="宋体" w:hAnsi="宋体" w:cs="宋体"/>
          <w:sz w:val="24"/>
          <w:szCs w:val="24"/>
        </w:rPr>
        <w:t>1</w:t>
      </w:r>
      <w:r>
        <w:rPr>
          <w:rFonts w:hint="eastAsia" w:ascii="宋体" w:hAnsi="宋体" w:cs="宋体"/>
          <w:sz w:val="24"/>
          <w:szCs w:val="24"/>
        </w:rPr>
        <w:t>.报价</w:t>
      </w:r>
      <w:r>
        <w:rPr>
          <w:rFonts w:hint="eastAsia" w:ascii="宋体" w:hAnsi="宋体" w:cs="宋体"/>
          <w:color w:val="000000" w:themeColor="text1"/>
          <w:sz w:val="24"/>
          <w:lang w:val="en-US" w:eastAsia="zh-CN"/>
          <w14:textFill>
            <w14:solidFill>
              <w14:schemeClr w14:val="tx1"/>
            </w14:solidFill>
          </w14:textFill>
        </w:rPr>
        <w:t>（单位：人民币元）</w:t>
      </w:r>
    </w:p>
    <w:p w14:paraId="4D168546">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sz w:val="24"/>
          <w:szCs w:val="24"/>
        </w:rPr>
        <w:t>2.我方承诺已具备此次</w:t>
      </w:r>
      <w:r>
        <w:rPr>
          <w:rFonts w:hint="eastAsia" w:ascii="宋体" w:hAnsi="宋体" w:cs="宋体"/>
          <w:color w:val="000000" w:themeColor="text1"/>
          <w:sz w:val="24"/>
          <w:szCs w:val="24"/>
          <w:highlight w:val="none"/>
          <w14:textFill>
            <w14:solidFill>
              <w14:schemeClr w14:val="tx1"/>
            </w14:solidFill>
          </w14:textFill>
        </w:rPr>
        <w:t>议价供应商资格条件。</w:t>
      </w:r>
    </w:p>
    <w:p w14:paraId="0DB275C5">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3.我方已详细了解本项目，将自行承担因对本项目理解不正确或误解而产生的相应后果。</w:t>
      </w:r>
    </w:p>
    <w:p w14:paraId="1EEF8E06">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与本项目有关的正式通讯地址为：</w:t>
      </w:r>
    </w:p>
    <w:p w14:paraId="5FD6B8E0">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地址： </w:t>
      </w:r>
      <w:r>
        <w:rPr>
          <w:rFonts w:hAnsi="宋体" w:cs="宋体"/>
          <w:color w:val="000000" w:themeColor="text1"/>
          <w:sz w:val="24"/>
          <w:szCs w:val="24"/>
          <w:highlight w:val="none"/>
          <w14:textFill>
            <w14:solidFill>
              <w14:schemeClr w14:val="tx1"/>
            </w14:solidFill>
          </w14:textFill>
        </w:rPr>
        <w:t xml:space="preserve">  </w:t>
      </w:r>
    </w:p>
    <w:p w14:paraId="7C6A4ADF">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邮编：  </w:t>
      </w:r>
      <w:r>
        <w:rPr>
          <w:rFonts w:hAnsi="宋体" w:cs="宋体"/>
          <w:color w:val="000000" w:themeColor="text1"/>
          <w:sz w:val="24"/>
          <w:szCs w:val="24"/>
          <w:highlight w:val="non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邮箱：</w:t>
      </w:r>
    </w:p>
    <w:p w14:paraId="4F34B81E">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办公电话：   </w:t>
      </w:r>
      <w:r>
        <w:rPr>
          <w:rFonts w:hAnsi="宋体" w:cs="宋体"/>
          <w:color w:val="000000" w:themeColor="text1"/>
          <w:sz w:val="24"/>
          <w:szCs w:val="24"/>
          <w:highlight w:val="non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传真：</w:t>
      </w:r>
    </w:p>
    <w:p w14:paraId="04016682">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委托代理人联系电话：</w:t>
      </w:r>
    </w:p>
    <w:p w14:paraId="12A6661E">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供应商（公章）：</w:t>
      </w:r>
    </w:p>
    <w:p w14:paraId="794987D1">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法定代表人（负责人）或相应的委托代理人签字：</w:t>
      </w:r>
    </w:p>
    <w:p w14:paraId="0D507A8D">
      <w:pPr>
        <w:pStyle w:val="6"/>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日期：</w:t>
      </w:r>
    </w:p>
    <w:p w14:paraId="5E917D98">
      <w:pPr>
        <w:spacing w:line="440" w:lineRule="exact"/>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br w:type="page"/>
      </w:r>
    </w:p>
    <w:p w14:paraId="73020A8E">
      <w:pPr>
        <w:pStyle w:val="6"/>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Ansi="宋体" w:cs="宋体"/>
          <w:b/>
          <w:color w:val="000000" w:themeColor="text1"/>
          <w:sz w:val="30"/>
          <w:szCs w:val="30"/>
          <w:highlight w:val="none"/>
          <w14:textFill>
            <w14:solidFill>
              <w14:schemeClr w14:val="tx1"/>
            </w14:solidFill>
          </w14:textFill>
        </w:rPr>
      </w:pPr>
      <w:r>
        <w:rPr>
          <w:rFonts w:hint="eastAsia" w:hAnsi="宋体" w:cs="宋体"/>
          <w:b/>
          <w:color w:val="000000" w:themeColor="text1"/>
          <w:sz w:val="30"/>
          <w:szCs w:val="30"/>
          <w:highlight w:val="none"/>
          <w14:textFill>
            <w14:solidFill>
              <w14:schemeClr w14:val="tx1"/>
            </w14:solidFill>
          </w14:textFill>
        </w:rPr>
        <w:t>法人授权委托书（格式）</w:t>
      </w:r>
    </w:p>
    <w:p w14:paraId="32A410C4">
      <w:pPr>
        <w:keepNext w:val="0"/>
        <w:keepLines w:val="0"/>
        <w:pageBreakBefore w:val="0"/>
        <w:kinsoku/>
        <w:overflowPunct/>
        <w:topLinePunct w:val="0"/>
        <w:autoSpaceDE/>
        <w:autoSpaceDN/>
        <w:bidi w:val="0"/>
        <w:adjustRightInd/>
        <w:spacing w:line="440" w:lineRule="exact"/>
        <w:jc w:val="left"/>
        <w:textAlignment w:val="auto"/>
        <w:rPr>
          <w:rFonts w:ascii="宋体" w:hAnsi="宋体" w:eastAsia="宋体" w:cs="宋体"/>
          <w:color w:val="000000" w:themeColor="text1"/>
          <w:sz w:val="20"/>
          <w:highlight w:val="none"/>
          <w14:textFill>
            <w14:solidFill>
              <w14:schemeClr w14:val="tx1"/>
            </w14:solidFill>
          </w14:textFill>
        </w:rPr>
      </w:pPr>
    </w:p>
    <w:p w14:paraId="3B4B3D95">
      <w:pPr>
        <w:spacing w:line="500" w:lineRule="exact"/>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桂林市人民医院</w:t>
      </w:r>
    </w:p>
    <w:p w14:paraId="5ED09F82">
      <w:pPr>
        <w:spacing w:line="500" w:lineRule="exact"/>
        <w:ind w:firstLine="420"/>
        <w:jc w:val="left"/>
        <w:rPr>
          <w:rFonts w:ascii="宋体" w:hAnsi="宋体" w:cs="宋体"/>
          <w:sz w:val="24"/>
          <w:szCs w:val="24"/>
        </w:rPr>
      </w:pPr>
      <w:r>
        <w:rPr>
          <w:rFonts w:hint="eastAsia" w:ascii="宋体" w:hAnsi="宋体" w:cs="宋体"/>
          <w:color w:val="000000" w:themeColor="text1"/>
          <w:sz w:val="24"/>
          <w:szCs w:val="24"/>
          <w:highlight w:val="none"/>
          <w14:textFill>
            <w14:solidFill>
              <w14:schemeClr w14:val="tx1"/>
            </w14:solidFill>
          </w14:textFill>
        </w:rPr>
        <w:t>我（姓名）系（供应商名称）的法定代表人（负责人），现授权委托本单位在职职工（姓名）以我方名义参加</w:t>
      </w:r>
      <w:r>
        <w:rPr>
          <w:rFonts w:hint="eastAsia" w:ascii="宋体" w:hAnsi="宋体" w:cs="宋体"/>
          <w:color w:val="000000" w:themeColor="text1"/>
          <w:sz w:val="24"/>
          <w:szCs w:val="24"/>
          <w:highlight w:val="none"/>
          <w:u w:val="single"/>
          <w14:textFill>
            <w14:solidFill>
              <w14:schemeClr w14:val="tx1"/>
            </w14:solidFill>
          </w14:textFill>
        </w:rPr>
        <w:t xml:space="preserve">      （项目名称及项目编号）        </w:t>
      </w:r>
      <w:r>
        <w:rPr>
          <w:rFonts w:hint="eastAsia" w:ascii="宋体" w:hAnsi="宋体" w:cs="宋体"/>
          <w:color w:val="000000" w:themeColor="text1"/>
          <w:sz w:val="24"/>
          <w:szCs w:val="24"/>
          <w:highlight w:val="none"/>
          <w14:textFill>
            <w14:solidFill>
              <w14:schemeClr w14:val="tx1"/>
            </w14:solidFill>
          </w14:textFill>
        </w:rPr>
        <w:t>项目的议价采购活</w:t>
      </w:r>
      <w:r>
        <w:rPr>
          <w:rFonts w:hint="eastAsia" w:ascii="宋体" w:hAnsi="宋体" w:cs="宋体"/>
          <w:sz w:val="24"/>
          <w:szCs w:val="24"/>
        </w:rPr>
        <w:t>动，并代表我方全权办理针对上述项目的具体事务和签署相关文件。</w:t>
      </w:r>
    </w:p>
    <w:p w14:paraId="552E5161">
      <w:pPr>
        <w:spacing w:line="500" w:lineRule="exact"/>
        <w:ind w:firstLine="420"/>
        <w:jc w:val="left"/>
        <w:rPr>
          <w:rFonts w:ascii="宋体" w:hAnsi="宋体" w:cs="宋体"/>
          <w:sz w:val="24"/>
          <w:szCs w:val="24"/>
        </w:rPr>
      </w:pPr>
      <w:r>
        <w:rPr>
          <w:rFonts w:hint="eastAsia" w:ascii="宋体" w:hAnsi="宋体" w:cs="宋体"/>
          <w:sz w:val="24"/>
          <w:szCs w:val="24"/>
        </w:rPr>
        <w:t>我方对被授权人的签字事项负全部责任。</w:t>
      </w:r>
    </w:p>
    <w:p w14:paraId="6D326B25">
      <w:pPr>
        <w:spacing w:line="500" w:lineRule="exact"/>
        <w:ind w:firstLine="420"/>
        <w:jc w:val="left"/>
        <w:rPr>
          <w:rFonts w:ascii="宋体" w:hAnsi="宋体" w:cs="宋体"/>
          <w:sz w:val="24"/>
          <w:szCs w:val="24"/>
          <w:u w:val="single"/>
        </w:rPr>
      </w:pPr>
      <w:r>
        <w:rPr>
          <w:rFonts w:hint="eastAsia" w:ascii="宋体" w:hAnsi="宋体" w:cs="宋体"/>
          <w:sz w:val="24"/>
          <w:szCs w:val="24"/>
        </w:rPr>
        <w:t xml:space="preserve">授权委托代理期限：从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日起至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月 日止。</w:t>
      </w:r>
    </w:p>
    <w:p w14:paraId="18FA8AC3">
      <w:pPr>
        <w:spacing w:line="440" w:lineRule="exact"/>
        <w:jc w:val="left"/>
        <w:rPr>
          <w:rFonts w:ascii="宋体" w:hAnsi="宋体" w:cs="宋体"/>
          <w:sz w:val="24"/>
          <w:szCs w:val="24"/>
          <w:u w:val="single"/>
        </w:rPr>
      </w:pPr>
    </w:p>
    <w:p w14:paraId="56F4ABE4">
      <w:pPr>
        <w:spacing w:line="440" w:lineRule="exact"/>
        <w:ind w:firstLine="420"/>
        <w:jc w:val="left"/>
        <w:rPr>
          <w:rFonts w:ascii="宋体" w:hAnsi="宋体" w:cs="宋体"/>
          <w:sz w:val="24"/>
          <w:szCs w:val="24"/>
        </w:rPr>
      </w:pPr>
      <w:r>
        <w:rPr>
          <w:rFonts w:hint="eastAsia" w:ascii="宋体" w:hAnsi="宋体" w:cs="宋体"/>
          <w:sz w:val="24"/>
          <w:szCs w:val="24"/>
        </w:rPr>
        <w:t xml:space="preserve">代理人无转委托权,特此委托。 </w:t>
      </w:r>
    </w:p>
    <w:p w14:paraId="08070D33">
      <w:pPr>
        <w:snapToGrid w:val="0"/>
        <w:spacing w:line="440" w:lineRule="exact"/>
        <w:ind w:firstLine="525"/>
        <w:jc w:val="left"/>
        <w:rPr>
          <w:rFonts w:ascii="宋体" w:hAnsi="宋体" w:cs="宋体"/>
          <w:sz w:val="24"/>
          <w:szCs w:val="24"/>
        </w:rPr>
      </w:pPr>
    </w:p>
    <w:p w14:paraId="1806920B">
      <w:pPr>
        <w:snapToGrid w:val="0"/>
        <w:spacing w:line="440" w:lineRule="exact"/>
        <w:ind w:firstLine="420"/>
        <w:jc w:val="left"/>
        <w:rPr>
          <w:rFonts w:ascii="宋体" w:hAnsi="宋体" w:cs="宋体"/>
          <w:sz w:val="24"/>
          <w:szCs w:val="24"/>
        </w:rPr>
      </w:pPr>
      <w:r>
        <w:rPr>
          <w:rFonts w:hint="eastAsia" w:ascii="宋体" w:hAnsi="宋体" w:cs="宋体"/>
          <w:sz w:val="24"/>
          <w:szCs w:val="24"/>
        </w:rPr>
        <w:t>我已在下面签字，以资证明。</w:t>
      </w:r>
    </w:p>
    <w:p w14:paraId="325434A6">
      <w:pPr>
        <w:snapToGrid w:val="0"/>
        <w:spacing w:line="440" w:lineRule="exact"/>
        <w:ind w:firstLine="420"/>
        <w:jc w:val="left"/>
        <w:rPr>
          <w:rFonts w:ascii="宋体" w:hAnsi="宋体" w:cs="宋体"/>
          <w:sz w:val="24"/>
          <w:szCs w:val="24"/>
        </w:rPr>
      </w:pPr>
    </w:p>
    <w:p w14:paraId="0DB50118">
      <w:pPr>
        <w:snapToGrid w:val="0"/>
        <w:spacing w:line="440" w:lineRule="exact"/>
        <w:ind w:firstLine="420"/>
        <w:jc w:val="left"/>
        <w:rPr>
          <w:rFonts w:ascii="宋体" w:hAnsi="宋体" w:cs="宋体"/>
          <w:sz w:val="24"/>
          <w:szCs w:val="24"/>
        </w:rPr>
      </w:pPr>
    </w:p>
    <w:p w14:paraId="69613677">
      <w:pPr>
        <w:snapToGrid w:val="0"/>
        <w:spacing w:line="440" w:lineRule="exact"/>
        <w:ind w:firstLine="420"/>
        <w:jc w:val="left"/>
        <w:rPr>
          <w:rFonts w:ascii="宋体" w:hAnsi="宋体" w:cs="宋体"/>
          <w:sz w:val="24"/>
          <w:szCs w:val="24"/>
          <w:u w:val="single"/>
        </w:rPr>
      </w:pPr>
      <w:r>
        <w:rPr>
          <w:rFonts w:hint="eastAsia" w:ascii="宋体" w:hAnsi="宋体" w:cs="宋体"/>
          <w:sz w:val="24"/>
          <w:szCs w:val="24"/>
        </w:rPr>
        <w:t>供应商（公章）：</w:t>
      </w:r>
    </w:p>
    <w:p w14:paraId="1A5AAF62">
      <w:pPr>
        <w:snapToGrid w:val="0"/>
        <w:spacing w:line="440" w:lineRule="exact"/>
        <w:ind w:firstLine="420"/>
        <w:jc w:val="left"/>
        <w:rPr>
          <w:rFonts w:ascii="宋体" w:hAnsi="宋体" w:cs="宋体"/>
          <w:sz w:val="24"/>
          <w:szCs w:val="24"/>
        </w:rPr>
      </w:pPr>
    </w:p>
    <w:p w14:paraId="3984E237">
      <w:pPr>
        <w:snapToGrid w:val="0"/>
        <w:spacing w:line="440" w:lineRule="exact"/>
        <w:ind w:firstLine="420"/>
        <w:jc w:val="left"/>
        <w:rPr>
          <w:rFonts w:ascii="宋体" w:hAnsi="宋体" w:cs="宋体"/>
          <w:sz w:val="24"/>
          <w:szCs w:val="24"/>
        </w:rPr>
      </w:pPr>
      <w:r>
        <w:rPr>
          <w:rFonts w:hint="eastAsia" w:ascii="宋体" w:hAnsi="宋体" w:cs="宋体"/>
          <w:sz w:val="24"/>
          <w:szCs w:val="24"/>
        </w:rPr>
        <w:t xml:space="preserve">法定代表人（负责人）签字或盖章： </w:t>
      </w:r>
      <w:r>
        <w:rPr>
          <w:rFonts w:ascii="宋体" w:hAnsi="宋体" w:cs="宋体"/>
          <w:sz w:val="24"/>
          <w:szCs w:val="24"/>
        </w:rPr>
        <w:t xml:space="preserve"> </w:t>
      </w:r>
      <w:r>
        <w:rPr>
          <w:rFonts w:hint="eastAsia" w:ascii="宋体" w:hAnsi="宋体" w:cs="宋体"/>
          <w:sz w:val="24"/>
          <w:szCs w:val="24"/>
        </w:rPr>
        <w:t xml:space="preserve">年  月 </w:t>
      </w:r>
      <w:r>
        <w:rPr>
          <w:rFonts w:ascii="宋体" w:hAnsi="宋体" w:cs="宋体"/>
          <w:sz w:val="24"/>
          <w:szCs w:val="24"/>
        </w:rPr>
        <w:t xml:space="preserve"> </w:t>
      </w:r>
      <w:r>
        <w:rPr>
          <w:rFonts w:hint="eastAsia" w:ascii="宋体" w:hAnsi="宋体" w:cs="宋体"/>
          <w:sz w:val="24"/>
          <w:szCs w:val="24"/>
        </w:rPr>
        <w:t>日</w:t>
      </w:r>
    </w:p>
    <w:p w14:paraId="6A23C701">
      <w:pPr>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lang w:val="en-US" w:eastAsia="zh-CN"/>
        </w:rPr>
        <w:br w:type="page"/>
      </w:r>
    </w:p>
    <w:p w14:paraId="0454746D">
      <w:pPr>
        <w:pStyle w:val="6"/>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hAnsi="宋体" w:cs="宋体"/>
          <w:b/>
          <w:bCs/>
          <w:sz w:val="30"/>
          <w:szCs w:val="30"/>
          <w:lang w:val="en-US" w:eastAsia="zh-CN"/>
        </w:rPr>
      </w:pPr>
      <w:r>
        <w:rPr>
          <w:rFonts w:hint="eastAsia" w:hAnsi="宋体" w:cs="宋体"/>
          <w:b/>
          <w:bCs/>
          <w:sz w:val="30"/>
          <w:szCs w:val="30"/>
          <w:highlight w:val="none"/>
          <w:lang w:val="en-US" w:eastAsia="zh-CN"/>
        </w:rPr>
        <w:t>桂林市人民医院</w:t>
      </w:r>
      <w:r>
        <w:rPr>
          <w:rFonts w:hint="eastAsia" w:ascii="宋体" w:hAnsi="宋体" w:eastAsia="宋体" w:cs="宋体"/>
          <w:b/>
          <w:bCs/>
          <w:sz w:val="30"/>
          <w:szCs w:val="30"/>
        </w:rPr>
        <w:t>数字化病案管理系统服务</w:t>
      </w:r>
      <w:r>
        <w:rPr>
          <w:rFonts w:hint="eastAsia" w:hAnsi="宋体" w:cs="宋体"/>
          <w:b/>
          <w:bCs/>
          <w:sz w:val="30"/>
          <w:szCs w:val="30"/>
          <w:lang w:val="en-US" w:eastAsia="zh-CN"/>
        </w:rPr>
        <w:t>采购需求响应表</w:t>
      </w:r>
    </w:p>
    <w:p w14:paraId="080409D5">
      <w:pPr>
        <w:pStyle w:val="6"/>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default" w:hAnsi="宋体" w:cs="宋体"/>
          <w:b/>
          <w:bCs/>
          <w:sz w:val="30"/>
          <w:szCs w:val="30"/>
          <w:lang w:val="en-US" w:eastAsia="zh-CN"/>
        </w:rPr>
      </w:pPr>
    </w:p>
    <w:tbl>
      <w:tblPr>
        <w:tblStyle w:val="13"/>
        <w:tblW w:w="9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4"/>
        <w:gridCol w:w="2805"/>
        <w:gridCol w:w="1693"/>
      </w:tblGrid>
      <w:tr w14:paraId="761F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324" w:type="dxa"/>
            <w:vAlign w:val="center"/>
          </w:tcPr>
          <w:p w14:paraId="62A20A7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default" w:asciiTheme="minorEastAsia" w:hAnsiTheme="minorEastAsia" w:eastAsiaTheme="minorEastAsia" w:cstheme="minorEastAsia"/>
                <w:b/>
                <w:bCs/>
                <w:spacing w:val="1"/>
                <w:sz w:val="24"/>
                <w:szCs w:val="24"/>
                <w:lang w:val="en-US" w:eastAsia="zh-CN"/>
              </w:rPr>
            </w:pPr>
            <w:r>
              <w:rPr>
                <w:rFonts w:hint="eastAsia" w:asciiTheme="minorEastAsia" w:hAnsiTheme="minorEastAsia" w:eastAsiaTheme="minorEastAsia" w:cstheme="minorEastAsia"/>
                <w:b/>
                <w:bCs/>
                <w:spacing w:val="1"/>
                <w:sz w:val="24"/>
                <w:szCs w:val="24"/>
                <w:lang w:val="en-US" w:eastAsia="zh-CN"/>
              </w:rPr>
              <w:t>招标文件要求</w:t>
            </w:r>
          </w:p>
        </w:tc>
        <w:tc>
          <w:tcPr>
            <w:tcW w:w="2805" w:type="dxa"/>
            <w:vAlign w:val="center"/>
          </w:tcPr>
          <w:p w14:paraId="617B4BB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default" w:asciiTheme="minorEastAsia" w:hAnsiTheme="minorEastAsia" w:eastAsiaTheme="minorEastAsia" w:cstheme="minorEastAsia"/>
                <w:b/>
                <w:bCs/>
                <w:spacing w:val="1"/>
                <w:sz w:val="24"/>
                <w:szCs w:val="24"/>
                <w:lang w:val="en-US" w:eastAsia="zh-CN"/>
              </w:rPr>
            </w:pPr>
            <w:r>
              <w:rPr>
                <w:rFonts w:hint="eastAsia" w:asciiTheme="minorEastAsia" w:hAnsiTheme="minorEastAsia" w:eastAsiaTheme="minorEastAsia" w:cstheme="minorEastAsia"/>
                <w:b/>
                <w:bCs/>
                <w:spacing w:val="1"/>
                <w:sz w:val="24"/>
                <w:szCs w:val="24"/>
                <w:lang w:val="en-US" w:eastAsia="zh-CN"/>
              </w:rPr>
              <w:t>投标文件的响应内容</w:t>
            </w:r>
          </w:p>
        </w:tc>
        <w:tc>
          <w:tcPr>
            <w:tcW w:w="1693" w:type="dxa"/>
            <w:vAlign w:val="center"/>
          </w:tcPr>
          <w:p w14:paraId="459ED1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default" w:asciiTheme="minorEastAsia" w:hAnsiTheme="minorEastAsia" w:eastAsiaTheme="minorEastAsia" w:cstheme="minorEastAsia"/>
                <w:b/>
                <w:bCs/>
                <w:spacing w:val="1"/>
                <w:sz w:val="24"/>
                <w:szCs w:val="24"/>
                <w:lang w:val="en-US" w:eastAsia="zh-CN"/>
              </w:rPr>
            </w:pPr>
            <w:r>
              <w:rPr>
                <w:rFonts w:hint="eastAsia" w:asciiTheme="minorEastAsia" w:hAnsiTheme="minorEastAsia" w:eastAsiaTheme="minorEastAsia" w:cstheme="minorEastAsia"/>
                <w:b/>
                <w:bCs/>
                <w:spacing w:val="1"/>
                <w:sz w:val="24"/>
                <w:szCs w:val="24"/>
                <w:lang w:val="en-US" w:eastAsia="zh-CN"/>
              </w:rPr>
              <w:t>响应情况</w:t>
            </w:r>
          </w:p>
        </w:tc>
      </w:tr>
      <w:tr w14:paraId="611D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324" w:type="dxa"/>
            <w:vAlign w:val="center"/>
          </w:tcPr>
          <w:p w14:paraId="4E3E9E7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Theme="minorEastAsia" w:hAnsiTheme="minorEastAsia" w:eastAsiaTheme="minorEastAsia" w:cstheme="minorEastAsia"/>
                <w:b/>
                <w:bCs/>
                <w:spacing w:val="1"/>
                <w:sz w:val="24"/>
                <w:szCs w:val="24"/>
                <w:lang w:val="en-US" w:eastAsia="zh-CN"/>
              </w:rPr>
            </w:pPr>
            <w:r>
              <w:rPr>
                <w:rFonts w:hint="eastAsia" w:asciiTheme="minorEastAsia" w:hAnsiTheme="minorEastAsia" w:eastAsiaTheme="minorEastAsia" w:cstheme="minorEastAsia"/>
                <w:b/>
                <w:bCs/>
                <w:spacing w:val="1"/>
                <w:sz w:val="24"/>
                <w:szCs w:val="24"/>
                <w:lang w:val="en-US" w:eastAsia="zh-CN"/>
              </w:rPr>
              <w:t>一、</w:t>
            </w:r>
            <w:r>
              <w:rPr>
                <w:rFonts w:hint="eastAsia" w:asciiTheme="minorEastAsia" w:hAnsiTheme="minorEastAsia" w:eastAsiaTheme="minorEastAsia" w:cstheme="minorEastAsia"/>
                <w:b/>
                <w:bCs/>
                <w:spacing w:val="1"/>
                <w:sz w:val="24"/>
                <w:szCs w:val="24"/>
              </w:rPr>
              <w:t>软件技术要求</w:t>
            </w:r>
          </w:p>
        </w:tc>
        <w:tc>
          <w:tcPr>
            <w:tcW w:w="2805" w:type="dxa"/>
            <w:vAlign w:val="center"/>
          </w:tcPr>
          <w:p w14:paraId="6A696B6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Theme="minorEastAsia" w:hAnsiTheme="minorEastAsia" w:eastAsiaTheme="minorEastAsia" w:cstheme="minorEastAsia"/>
                <w:b/>
                <w:bCs/>
                <w:spacing w:val="1"/>
                <w:sz w:val="24"/>
                <w:szCs w:val="24"/>
                <w:lang w:val="en-US" w:eastAsia="zh-CN"/>
              </w:rPr>
            </w:pPr>
          </w:p>
        </w:tc>
        <w:tc>
          <w:tcPr>
            <w:tcW w:w="1693" w:type="dxa"/>
            <w:vAlign w:val="center"/>
          </w:tcPr>
          <w:p w14:paraId="3569777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Theme="minorEastAsia" w:hAnsiTheme="minorEastAsia" w:eastAsiaTheme="minorEastAsia" w:cstheme="minorEastAsia"/>
                <w:b/>
                <w:bCs/>
                <w:spacing w:val="1"/>
                <w:sz w:val="24"/>
                <w:szCs w:val="24"/>
                <w:lang w:val="en-US" w:eastAsia="zh-CN"/>
              </w:rPr>
            </w:pPr>
          </w:p>
        </w:tc>
      </w:tr>
      <w:tr w14:paraId="7775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41114E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要求采用C/S和B/S架构相结合的模式，病案加工处理采用C/S架构，浏览要采用B/S架构，无需安装客户端，方便病案的查询浏览；</w:t>
            </w:r>
          </w:p>
        </w:tc>
        <w:tc>
          <w:tcPr>
            <w:tcW w:w="2805" w:type="dxa"/>
          </w:tcPr>
          <w:p w14:paraId="34418B7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84B80E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Theme="minorEastAsia" w:hAnsiTheme="minorEastAsia" w:eastAsiaTheme="minorEastAsia" w:cstheme="minorEastAsia"/>
                <w:kern w:val="0"/>
                <w:sz w:val="24"/>
                <w:szCs w:val="24"/>
                <w:lang w:val="en-US" w:eastAsia="zh-CN"/>
              </w:rPr>
            </w:pPr>
          </w:p>
        </w:tc>
      </w:tr>
      <w:tr w14:paraId="1E71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3A2A0D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2.要求可以整合历史病案数字化数据，可以无缝对接现有病案数字化系统，系统对接费用由中标方负责；</w:t>
            </w:r>
          </w:p>
        </w:tc>
        <w:tc>
          <w:tcPr>
            <w:tcW w:w="2805" w:type="dxa"/>
          </w:tcPr>
          <w:p w14:paraId="36AB6DA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BF87C5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B09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D02B1A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执行标准：按《纸质档案数字化技术规范（ DA/T31-20</w:t>
            </w:r>
            <w:r>
              <w:rPr>
                <w:rFonts w:hint="eastAsia" w:asciiTheme="minorEastAsia" w:hAnsiTheme="minorEastAsia" w:eastAsiaTheme="minorEastAsia" w:cstheme="minorEastAsia"/>
                <w:kern w:val="0"/>
                <w:sz w:val="24"/>
                <w:szCs w:val="24"/>
                <w:lang w:val="en-US" w:eastAsia="zh-CN"/>
              </w:rPr>
              <w:t>17</w:t>
            </w:r>
            <w:r>
              <w:rPr>
                <w:rFonts w:hint="eastAsia" w:asciiTheme="minorEastAsia" w:hAnsiTheme="minorEastAsia" w:eastAsiaTheme="minorEastAsia" w:cstheme="minorEastAsia"/>
                <w:kern w:val="0"/>
                <w:sz w:val="24"/>
                <w:szCs w:val="24"/>
              </w:rPr>
              <w:t>）》执行</w:t>
            </w:r>
            <w:r>
              <w:rPr>
                <w:rFonts w:hint="eastAsia" w:asciiTheme="minorEastAsia" w:hAnsiTheme="minorEastAsia" w:eastAsiaTheme="minorEastAsia" w:cstheme="minorEastAsia"/>
                <w:kern w:val="0"/>
                <w:sz w:val="24"/>
                <w:szCs w:val="24"/>
                <w:lang w:eastAsia="zh-CN"/>
              </w:rPr>
              <w:t>；</w:t>
            </w:r>
          </w:p>
        </w:tc>
        <w:tc>
          <w:tcPr>
            <w:tcW w:w="2805" w:type="dxa"/>
          </w:tcPr>
          <w:p w14:paraId="5B2DB78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19659F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A6C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7A1636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扫描或拍照的数字影像分辨率≥200DPI，图像完整，不丢失细节</w:t>
            </w:r>
            <w:r>
              <w:rPr>
                <w:rFonts w:hint="eastAsia" w:asciiTheme="minorEastAsia" w:hAnsiTheme="minorEastAsia" w:eastAsiaTheme="minorEastAsia" w:cstheme="minorEastAsia"/>
                <w:kern w:val="0"/>
                <w:sz w:val="24"/>
                <w:szCs w:val="24"/>
                <w:lang w:eastAsia="zh-CN"/>
              </w:rPr>
              <w:t>；</w:t>
            </w:r>
          </w:p>
        </w:tc>
        <w:tc>
          <w:tcPr>
            <w:tcW w:w="2805" w:type="dxa"/>
          </w:tcPr>
          <w:p w14:paraId="6592972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6B8949D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EB3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935BC9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数字病案采用通用的图像文件格式存储图像</w:t>
            </w:r>
            <w:r>
              <w:rPr>
                <w:rFonts w:hint="eastAsia" w:asciiTheme="minorEastAsia" w:hAnsiTheme="minorEastAsia" w:eastAsiaTheme="minorEastAsia" w:cstheme="minorEastAsia"/>
                <w:kern w:val="0"/>
                <w:sz w:val="24"/>
                <w:szCs w:val="24"/>
                <w:lang w:eastAsia="zh-CN"/>
              </w:rPr>
              <w:t>；</w:t>
            </w:r>
          </w:p>
        </w:tc>
        <w:tc>
          <w:tcPr>
            <w:tcW w:w="2805" w:type="dxa"/>
          </w:tcPr>
          <w:p w14:paraId="4B626AF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384F7E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B5D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DFA040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对每页电子病案的属性的按要求进行分类</w:t>
            </w:r>
            <w:r>
              <w:rPr>
                <w:rFonts w:hint="eastAsia" w:asciiTheme="minorEastAsia" w:hAnsiTheme="minorEastAsia" w:eastAsiaTheme="minorEastAsia" w:cstheme="minorEastAsia"/>
                <w:kern w:val="0"/>
                <w:sz w:val="24"/>
                <w:szCs w:val="24"/>
                <w:lang w:eastAsia="zh-CN"/>
              </w:rPr>
              <w:t>；</w:t>
            </w:r>
          </w:p>
        </w:tc>
        <w:tc>
          <w:tcPr>
            <w:tcW w:w="2805" w:type="dxa"/>
          </w:tcPr>
          <w:p w14:paraId="15C2AC9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DBB27F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016C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5AC69D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7.</w:t>
            </w:r>
            <w:r>
              <w:rPr>
                <w:rFonts w:hint="eastAsia" w:asciiTheme="minorEastAsia" w:hAnsiTheme="minorEastAsia" w:eastAsiaTheme="minorEastAsia" w:cstheme="minorEastAsia"/>
                <w:kern w:val="0"/>
                <w:sz w:val="24"/>
                <w:szCs w:val="24"/>
              </w:rPr>
              <w:t>病案首页信息录入格式要求按国家卫计委现行的标准格式。</w:t>
            </w:r>
          </w:p>
        </w:tc>
        <w:tc>
          <w:tcPr>
            <w:tcW w:w="2805" w:type="dxa"/>
          </w:tcPr>
          <w:p w14:paraId="0F113E7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26D2FB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C3C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843EB9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w:t>
            </w:r>
            <w:r>
              <w:rPr>
                <w:rFonts w:hint="eastAsia" w:asciiTheme="minorEastAsia" w:hAnsiTheme="minorEastAsia" w:eastAsiaTheme="minorEastAsia" w:cstheme="minorEastAsia"/>
                <w:kern w:val="0"/>
                <w:sz w:val="24"/>
                <w:szCs w:val="24"/>
              </w:rPr>
              <w:t>病案数字化处理模块包括病案加工、病案处理、系统管理三大部分；</w:t>
            </w:r>
          </w:p>
        </w:tc>
        <w:tc>
          <w:tcPr>
            <w:tcW w:w="2805" w:type="dxa"/>
          </w:tcPr>
          <w:p w14:paraId="1F8A283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A7A9AB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AA0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C8CCBE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9.</w:t>
            </w:r>
            <w:r>
              <w:rPr>
                <w:rFonts w:hint="eastAsia" w:asciiTheme="minorEastAsia" w:hAnsiTheme="minorEastAsia" w:eastAsiaTheme="minorEastAsia" w:cstheme="minorEastAsia"/>
                <w:kern w:val="0"/>
                <w:sz w:val="24"/>
                <w:szCs w:val="24"/>
              </w:rPr>
              <w:t>病案加工部分应包括拍摄、补拍、自动扫描、图片分类等功能；</w:t>
            </w:r>
          </w:p>
        </w:tc>
        <w:tc>
          <w:tcPr>
            <w:tcW w:w="2805" w:type="dxa"/>
          </w:tcPr>
          <w:p w14:paraId="516C235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C445E0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5DE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C9CD81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10.</w:t>
            </w:r>
            <w:r>
              <w:rPr>
                <w:rFonts w:hint="eastAsia" w:asciiTheme="minorEastAsia" w:hAnsiTheme="minorEastAsia" w:eastAsiaTheme="minorEastAsia" w:cstheme="minorEastAsia"/>
                <w:kern w:val="0"/>
                <w:sz w:val="24"/>
                <w:szCs w:val="24"/>
              </w:rPr>
              <w:t>病案管理部分应包括审核、处理审核未通过、病案质控记录、病案删除、错误检查、未扫描病案查询、病案浏览、病案上架检索、打印、打印查询及修改、条码打印、病案上架管理、工作统计等功能；</w:t>
            </w:r>
          </w:p>
        </w:tc>
        <w:tc>
          <w:tcPr>
            <w:tcW w:w="2805" w:type="dxa"/>
          </w:tcPr>
          <w:p w14:paraId="63B9C43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67E37D9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501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A1D044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11.</w:t>
            </w:r>
            <w:r>
              <w:rPr>
                <w:rFonts w:hint="eastAsia" w:asciiTheme="minorEastAsia" w:hAnsiTheme="minorEastAsia" w:eastAsiaTheme="minorEastAsia" w:cstheme="minorEastAsia"/>
                <w:kern w:val="0"/>
                <w:sz w:val="24"/>
                <w:szCs w:val="24"/>
              </w:rPr>
              <w:t>病案数字化处理模块要包括图片参数配置、参数配置、打印套餐维护、用户管理、病人信息替换、条码替换、模块设置等功能；</w:t>
            </w:r>
          </w:p>
        </w:tc>
        <w:tc>
          <w:tcPr>
            <w:tcW w:w="2805" w:type="dxa"/>
          </w:tcPr>
          <w:p w14:paraId="7E08B08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BF5A9D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A32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E7EECF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12.</w:t>
            </w:r>
            <w:r>
              <w:rPr>
                <w:rFonts w:hint="eastAsia" w:asciiTheme="minorEastAsia" w:hAnsiTheme="minorEastAsia" w:eastAsiaTheme="minorEastAsia" w:cstheme="minorEastAsia"/>
                <w:kern w:val="0"/>
                <w:sz w:val="24"/>
                <w:szCs w:val="24"/>
              </w:rPr>
              <w:t>启动界面先进便捷，具有病案拍摄，审核，打印，统计，病案上架，退出快捷功能；</w:t>
            </w:r>
          </w:p>
        </w:tc>
        <w:tc>
          <w:tcPr>
            <w:tcW w:w="2805" w:type="dxa"/>
          </w:tcPr>
          <w:p w14:paraId="78C995C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FAE553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375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BEAA6D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13.</w:t>
            </w:r>
            <w:r>
              <w:rPr>
                <w:rFonts w:hint="eastAsia" w:asciiTheme="minorEastAsia" w:hAnsiTheme="minorEastAsia" w:eastAsiaTheme="minorEastAsia" w:cstheme="minorEastAsia"/>
                <w:kern w:val="0"/>
                <w:sz w:val="24"/>
                <w:szCs w:val="24"/>
              </w:rPr>
              <w:t>支持数字化图片采用WEB SERVICE 接口上传数据，保证数据安全；</w:t>
            </w:r>
          </w:p>
        </w:tc>
        <w:tc>
          <w:tcPr>
            <w:tcW w:w="2805" w:type="dxa"/>
          </w:tcPr>
          <w:p w14:paraId="160D937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6D93FAB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F32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DE053B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14.</w:t>
            </w:r>
            <w:r>
              <w:rPr>
                <w:rFonts w:hint="eastAsia" w:asciiTheme="minorEastAsia" w:hAnsiTheme="minorEastAsia" w:eastAsiaTheme="minorEastAsia" w:cstheme="minorEastAsia"/>
                <w:kern w:val="0"/>
                <w:sz w:val="24"/>
                <w:szCs w:val="24"/>
              </w:rPr>
              <w:t>支持使用APP系统，自动根据医疗小组，离线最新的数字化病案资料，可利用平板APP进行分析查看病案图片；</w:t>
            </w:r>
          </w:p>
        </w:tc>
        <w:tc>
          <w:tcPr>
            <w:tcW w:w="2805" w:type="dxa"/>
          </w:tcPr>
          <w:p w14:paraId="71B7C14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A64318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04E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A34383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15.</w:t>
            </w:r>
            <w:r>
              <w:rPr>
                <w:rFonts w:hint="eastAsia" w:asciiTheme="minorEastAsia" w:hAnsiTheme="minorEastAsia" w:eastAsiaTheme="minorEastAsia" w:cstheme="minorEastAsia"/>
                <w:kern w:val="0"/>
                <w:sz w:val="24"/>
                <w:szCs w:val="24"/>
              </w:rPr>
              <w:t>支持医院信息系统、OA对接形成单点登陆功能，方便相互数据的交互共享；</w:t>
            </w:r>
          </w:p>
        </w:tc>
        <w:tc>
          <w:tcPr>
            <w:tcW w:w="2805" w:type="dxa"/>
          </w:tcPr>
          <w:p w14:paraId="02144B7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3CB19E8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492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A698DD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w:t>
            </w:r>
            <w:r>
              <w:rPr>
                <w:rFonts w:hint="eastAsia" w:asciiTheme="minorEastAsia" w:hAnsiTheme="minorEastAsia" w:eastAsiaTheme="minorEastAsia" w:cstheme="minorEastAsia"/>
                <w:kern w:val="0"/>
                <w:sz w:val="24"/>
                <w:szCs w:val="24"/>
              </w:rPr>
              <w:t>支持调用</w:t>
            </w:r>
            <w:r>
              <w:rPr>
                <w:rFonts w:hint="eastAsia" w:asciiTheme="minorEastAsia" w:hAnsiTheme="minorEastAsia" w:eastAsiaTheme="minorEastAsia" w:cstheme="minorEastAsia"/>
                <w:kern w:val="0"/>
                <w:sz w:val="24"/>
                <w:szCs w:val="24"/>
                <w:lang w:val="en-US" w:eastAsia="zh-CN"/>
              </w:rPr>
              <w:t>病案统计管理系统首页数据，实现病案信息的接口传输，保证数据安全，接口对接费用由中标方负责</w:t>
            </w:r>
            <w:r>
              <w:rPr>
                <w:rFonts w:hint="eastAsia" w:asciiTheme="minorEastAsia" w:hAnsiTheme="minorEastAsia" w:eastAsiaTheme="minorEastAsia" w:cstheme="minorEastAsia"/>
                <w:kern w:val="0"/>
                <w:sz w:val="24"/>
                <w:szCs w:val="24"/>
              </w:rPr>
              <w:t>；</w:t>
            </w:r>
          </w:p>
        </w:tc>
        <w:tc>
          <w:tcPr>
            <w:tcW w:w="2805" w:type="dxa"/>
          </w:tcPr>
          <w:p w14:paraId="1A6279F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F08BE4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DA0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7998EC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17.</w:t>
            </w:r>
            <w:r>
              <w:rPr>
                <w:rFonts w:hint="eastAsia" w:asciiTheme="minorEastAsia" w:hAnsiTheme="minorEastAsia" w:eastAsiaTheme="minorEastAsia" w:cstheme="minorEastAsia"/>
                <w:kern w:val="0"/>
                <w:sz w:val="24"/>
                <w:szCs w:val="24"/>
              </w:rPr>
              <w:t>在病案处理加工环节支持大屏幕显示器，支持分辨率1920*1080以上；</w:t>
            </w:r>
          </w:p>
        </w:tc>
        <w:tc>
          <w:tcPr>
            <w:tcW w:w="2805" w:type="dxa"/>
          </w:tcPr>
          <w:p w14:paraId="31A2CF6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3E4D9B5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0D9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DB5D71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18.</w:t>
            </w:r>
            <w:r>
              <w:rPr>
                <w:rFonts w:hint="eastAsia" w:asciiTheme="minorEastAsia" w:hAnsiTheme="minorEastAsia" w:eastAsiaTheme="minorEastAsia" w:cstheme="minorEastAsia"/>
                <w:kern w:val="0"/>
                <w:sz w:val="24"/>
                <w:szCs w:val="24"/>
              </w:rPr>
              <w:t>数字化处理支持高速扫描模式，速度要求每分钟≥60张；</w:t>
            </w:r>
          </w:p>
        </w:tc>
        <w:tc>
          <w:tcPr>
            <w:tcW w:w="2805" w:type="dxa"/>
          </w:tcPr>
          <w:p w14:paraId="3A60A80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3C734E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744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F11775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19.</w:t>
            </w:r>
            <w:r>
              <w:rPr>
                <w:rFonts w:hint="eastAsia" w:asciiTheme="minorEastAsia" w:hAnsiTheme="minorEastAsia" w:eastAsiaTheme="minorEastAsia" w:cstheme="minorEastAsia"/>
                <w:kern w:val="0"/>
                <w:sz w:val="24"/>
                <w:szCs w:val="24"/>
              </w:rPr>
              <w:t>系统要具备病案条码自动识别功能，能够自动识别分类条码，实现扫描后的自动分类</w:t>
            </w:r>
          </w:p>
        </w:tc>
        <w:tc>
          <w:tcPr>
            <w:tcW w:w="2805" w:type="dxa"/>
          </w:tcPr>
          <w:p w14:paraId="4BF1D6B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06C5CB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3B4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22C87E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20.</w:t>
            </w:r>
            <w:r>
              <w:rPr>
                <w:rFonts w:hint="eastAsia" w:asciiTheme="minorEastAsia" w:hAnsiTheme="minorEastAsia" w:eastAsiaTheme="minorEastAsia" w:cstheme="minorEastAsia"/>
                <w:kern w:val="0"/>
                <w:sz w:val="24"/>
                <w:szCs w:val="24"/>
              </w:rPr>
              <w:t>支持加工端暂存一定天数数据，防止数据出现丢失，要求具备临时保存功能；</w:t>
            </w:r>
          </w:p>
        </w:tc>
        <w:tc>
          <w:tcPr>
            <w:tcW w:w="2805" w:type="dxa"/>
          </w:tcPr>
          <w:p w14:paraId="3FD8848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52FEC1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F5F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C69B68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21.</w:t>
            </w:r>
            <w:r>
              <w:rPr>
                <w:rFonts w:hint="eastAsia" w:asciiTheme="minorEastAsia" w:hAnsiTheme="minorEastAsia" w:eastAsiaTheme="minorEastAsia" w:cstheme="minorEastAsia"/>
                <w:kern w:val="0"/>
                <w:sz w:val="24"/>
                <w:szCs w:val="24"/>
              </w:rPr>
              <w:t>数字化存储应为加密格式。防止被复制后出现信息泄露；</w:t>
            </w:r>
          </w:p>
        </w:tc>
        <w:tc>
          <w:tcPr>
            <w:tcW w:w="2805" w:type="dxa"/>
          </w:tcPr>
          <w:p w14:paraId="2454103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088F56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C74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D2CFC3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22.</w:t>
            </w:r>
            <w:r>
              <w:rPr>
                <w:rFonts w:hint="eastAsia" w:asciiTheme="minorEastAsia" w:hAnsiTheme="minorEastAsia" w:eastAsiaTheme="minorEastAsia" w:cstheme="minorEastAsia"/>
                <w:kern w:val="0"/>
                <w:sz w:val="24"/>
                <w:szCs w:val="24"/>
              </w:rPr>
              <w:t>要求系统具有病案质控功能，质控患者病案信息的完整性，能够检查病案的类别以及病案页码漏扫的情况；</w:t>
            </w:r>
          </w:p>
        </w:tc>
        <w:tc>
          <w:tcPr>
            <w:tcW w:w="2805" w:type="dxa"/>
          </w:tcPr>
          <w:p w14:paraId="77F209C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1CBFCB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C22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40502D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23.</w:t>
            </w:r>
            <w:r>
              <w:rPr>
                <w:rFonts w:hint="eastAsia" w:asciiTheme="minorEastAsia" w:hAnsiTheme="minorEastAsia" w:eastAsiaTheme="minorEastAsia" w:cstheme="minorEastAsia"/>
                <w:kern w:val="0"/>
                <w:sz w:val="24"/>
                <w:szCs w:val="24"/>
              </w:rPr>
              <w:t>系统要能够自动记录用户在系统内所有操作的详细日志，并可形成报表，便于回溯追踪；</w:t>
            </w:r>
          </w:p>
        </w:tc>
        <w:tc>
          <w:tcPr>
            <w:tcW w:w="2805" w:type="dxa"/>
          </w:tcPr>
          <w:p w14:paraId="663AA37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E0A7B8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B8C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63C86B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24.</w:t>
            </w:r>
            <w:r>
              <w:rPr>
                <w:rFonts w:hint="eastAsia" w:asciiTheme="minorEastAsia" w:hAnsiTheme="minorEastAsia" w:eastAsiaTheme="minorEastAsia" w:cstheme="minorEastAsia"/>
                <w:kern w:val="0"/>
                <w:sz w:val="24"/>
                <w:szCs w:val="24"/>
              </w:rPr>
              <w:t>病案申请浏览模块中，支持逐份、批量、按科室审核；</w:t>
            </w:r>
          </w:p>
        </w:tc>
        <w:tc>
          <w:tcPr>
            <w:tcW w:w="2805" w:type="dxa"/>
          </w:tcPr>
          <w:p w14:paraId="4CB65F7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89CF85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0A2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083C20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25.</w:t>
            </w:r>
            <w:r>
              <w:rPr>
                <w:rFonts w:hint="eastAsia" w:asciiTheme="minorEastAsia" w:hAnsiTheme="minorEastAsia" w:eastAsiaTheme="minorEastAsia" w:cstheme="minorEastAsia"/>
                <w:kern w:val="0"/>
                <w:sz w:val="24"/>
                <w:szCs w:val="24"/>
              </w:rPr>
              <w:t>在审核权限控制中，可以控制到科室、人员，支持按时间范围（永久、年、月、日、小时）授权；</w:t>
            </w:r>
          </w:p>
        </w:tc>
        <w:tc>
          <w:tcPr>
            <w:tcW w:w="2805" w:type="dxa"/>
          </w:tcPr>
          <w:p w14:paraId="6E45E23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021545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05BC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0F1A3B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26.</w:t>
            </w:r>
            <w:r>
              <w:rPr>
                <w:rFonts w:hint="eastAsia" w:asciiTheme="minorEastAsia" w:hAnsiTheme="minorEastAsia" w:eastAsiaTheme="minorEastAsia" w:cstheme="minorEastAsia"/>
                <w:kern w:val="0"/>
                <w:sz w:val="24"/>
                <w:szCs w:val="24"/>
              </w:rPr>
              <w:t>要求病案浏览时具备多条件复合查询功能，实现首页快捷检索，快速查找病案信息；</w:t>
            </w:r>
          </w:p>
        </w:tc>
        <w:tc>
          <w:tcPr>
            <w:tcW w:w="2805" w:type="dxa"/>
          </w:tcPr>
          <w:p w14:paraId="2C58B95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74C54A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3BA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594A3B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w:t>
            </w:r>
            <w:r>
              <w:rPr>
                <w:rFonts w:hint="eastAsia" w:asciiTheme="minorEastAsia" w:hAnsiTheme="minorEastAsia" w:eastAsiaTheme="minorEastAsia" w:cstheme="minorEastAsia"/>
                <w:kern w:val="0"/>
                <w:sz w:val="24"/>
                <w:szCs w:val="24"/>
              </w:rPr>
              <w:t>要能够实现病案的对比查询，例如同一患者多次住院历史病案的对比浏览，科研病案的对比查询浏览；</w:t>
            </w:r>
          </w:p>
        </w:tc>
        <w:tc>
          <w:tcPr>
            <w:tcW w:w="2805" w:type="dxa"/>
          </w:tcPr>
          <w:p w14:paraId="59EDB00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F66168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648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C604AF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28.</w:t>
            </w:r>
            <w:r>
              <w:rPr>
                <w:rFonts w:hint="eastAsia" w:asciiTheme="minorEastAsia" w:hAnsiTheme="minorEastAsia" w:eastAsiaTheme="minorEastAsia" w:cstheme="minorEastAsia"/>
                <w:kern w:val="0"/>
                <w:sz w:val="24"/>
                <w:szCs w:val="24"/>
              </w:rPr>
              <w:t>要求首页具有病案申请状态、以时间轴形式显示（病案当前处理状态、当前位置、历史操作）；</w:t>
            </w:r>
          </w:p>
        </w:tc>
        <w:tc>
          <w:tcPr>
            <w:tcW w:w="2805" w:type="dxa"/>
          </w:tcPr>
          <w:p w14:paraId="138B745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AC76B4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075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AF64D4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29.</w:t>
            </w:r>
            <w:r>
              <w:rPr>
                <w:rFonts w:hint="eastAsia" w:asciiTheme="minorEastAsia" w:hAnsiTheme="minorEastAsia" w:eastAsiaTheme="minorEastAsia" w:cstheme="minorEastAsia"/>
                <w:kern w:val="0"/>
                <w:sz w:val="24"/>
                <w:szCs w:val="24"/>
              </w:rPr>
              <w:t>在申请过程中具备提醒、催办等功能；</w:t>
            </w:r>
          </w:p>
        </w:tc>
        <w:tc>
          <w:tcPr>
            <w:tcW w:w="2805" w:type="dxa"/>
          </w:tcPr>
          <w:p w14:paraId="2D113E0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59875F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00F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C6D5BA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30.</w:t>
            </w:r>
            <w:r>
              <w:rPr>
                <w:rFonts w:hint="eastAsia" w:asciiTheme="minorEastAsia" w:hAnsiTheme="minorEastAsia" w:eastAsiaTheme="minorEastAsia" w:cstheme="minorEastAsia"/>
                <w:kern w:val="0"/>
                <w:sz w:val="24"/>
                <w:szCs w:val="24"/>
              </w:rPr>
              <w:t>要能够支持病案图片的科研讨论、在线讨论，能够查询到病案当前的位置以浏览的历史记录，支持滚轮的放大缩小以及拖放；</w:t>
            </w:r>
          </w:p>
        </w:tc>
        <w:tc>
          <w:tcPr>
            <w:tcW w:w="2805" w:type="dxa"/>
          </w:tcPr>
          <w:p w14:paraId="52483DD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AE8216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4AA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77BAA7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31.</w:t>
            </w:r>
            <w:r>
              <w:rPr>
                <w:rFonts w:hint="eastAsia" w:asciiTheme="minorEastAsia" w:hAnsiTheme="minorEastAsia" w:eastAsiaTheme="minorEastAsia" w:cstheme="minorEastAsia"/>
                <w:kern w:val="0"/>
                <w:sz w:val="24"/>
                <w:szCs w:val="24"/>
              </w:rPr>
              <w:t>病案在查询浏览时显示的病案图像具有水印，防止非法拍摄，屏蔽非法拷贝；</w:t>
            </w:r>
          </w:p>
        </w:tc>
        <w:tc>
          <w:tcPr>
            <w:tcW w:w="2805" w:type="dxa"/>
          </w:tcPr>
          <w:p w14:paraId="6755B5D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12C8F9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BAED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829D35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32.</w:t>
            </w:r>
            <w:r>
              <w:rPr>
                <w:rFonts w:hint="eastAsia" w:asciiTheme="minorEastAsia" w:hAnsiTheme="minorEastAsia" w:eastAsiaTheme="minorEastAsia" w:cstheme="minorEastAsia"/>
                <w:kern w:val="0"/>
                <w:sz w:val="24"/>
                <w:szCs w:val="24"/>
              </w:rPr>
              <w:t>支持一键打印，及自定义配置水印；</w:t>
            </w:r>
          </w:p>
        </w:tc>
        <w:tc>
          <w:tcPr>
            <w:tcW w:w="2805" w:type="dxa"/>
          </w:tcPr>
          <w:p w14:paraId="0E84096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6BE96B0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8D0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CE8806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33.</w:t>
            </w:r>
            <w:r>
              <w:rPr>
                <w:rFonts w:hint="eastAsia" w:asciiTheme="minorEastAsia" w:hAnsiTheme="minorEastAsia" w:eastAsiaTheme="minorEastAsia" w:cstheme="minorEastAsia"/>
                <w:kern w:val="0"/>
                <w:sz w:val="24"/>
                <w:szCs w:val="24"/>
              </w:rPr>
              <w:t>要求数字化软件具有病历质控功能，要能质控出处理后患者病历信息的完整性，能够检查病历的类别以及病历页码漏扫的情况；</w:t>
            </w:r>
          </w:p>
        </w:tc>
        <w:tc>
          <w:tcPr>
            <w:tcW w:w="2805" w:type="dxa"/>
          </w:tcPr>
          <w:p w14:paraId="0798977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E7A8A0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E2B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4B1D98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34.</w:t>
            </w:r>
            <w:r>
              <w:rPr>
                <w:rFonts w:hint="eastAsia" w:asciiTheme="minorEastAsia" w:hAnsiTheme="minorEastAsia" w:eastAsiaTheme="minorEastAsia" w:cstheme="minorEastAsia"/>
                <w:kern w:val="0"/>
                <w:sz w:val="24"/>
                <w:szCs w:val="24"/>
              </w:rPr>
              <w:t>数字化病案的打印具有色彩选择和打印套餐选择，打印套餐可进行维护；</w:t>
            </w:r>
          </w:p>
        </w:tc>
        <w:tc>
          <w:tcPr>
            <w:tcW w:w="2805" w:type="dxa"/>
          </w:tcPr>
          <w:p w14:paraId="7DB3BC1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C7F7DC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F8B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340F59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35.</w:t>
            </w:r>
            <w:r>
              <w:rPr>
                <w:rFonts w:hint="eastAsia" w:asciiTheme="minorEastAsia" w:hAnsiTheme="minorEastAsia" w:eastAsiaTheme="minorEastAsia" w:cstheme="minorEastAsia"/>
                <w:kern w:val="0"/>
                <w:sz w:val="24"/>
                <w:szCs w:val="24"/>
              </w:rPr>
              <w:t>能够自动分析出病案加工的工作量，以及申请、复印的工作量；</w:t>
            </w:r>
          </w:p>
        </w:tc>
        <w:tc>
          <w:tcPr>
            <w:tcW w:w="2805" w:type="dxa"/>
          </w:tcPr>
          <w:p w14:paraId="6934C8A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8937F7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FA9A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EE003E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36.</w:t>
            </w:r>
            <w:r>
              <w:rPr>
                <w:rFonts w:hint="eastAsia" w:asciiTheme="minorEastAsia" w:hAnsiTheme="minorEastAsia" w:eastAsiaTheme="minorEastAsia" w:cstheme="minorEastAsia"/>
                <w:kern w:val="0"/>
                <w:sz w:val="24"/>
                <w:szCs w:val="24"/>
              </w:rPr>
              <w:t>病案打印时支持二代身份证读卡器，可以直接扫描患者及代理人的身份证并进行记录，记录内容包含但不仅限于打印操作人员、申请打印人员、申请日期、打印日期等等；</w:t>
            </w:r>
          </w:p>
        </w:tc>
        <w:tc>
          <w:tcPr>
            <w:tcW w:w="2805" w:type="dxa"/>
          </w:tcPr>
          <w:p w14:paraId="55C6497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3D64813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3112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3357E2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37.</w:t>
            </w:r>
            <w:r>
              <w:rPr>
                <w:rFonts w:hint="eastAsia" w:asciiTheme="minorEastAsia" w:hAnsiTheme="minorEastAsia" w:eastAsiaTheme="minorEastAsia" w:cstheme="minorEastAsia"/>
                <w:kern w:val="0"/>
                <w:sz w:val="24"/>
                <w:szCs w:val="24"/>
              </w:rPr>
              <w:t>病案打印支持遮盖打印、截取打印</w:t>
            </w:r>
          </w:p>
        </w:tc>
        <w:tc>
          <w:tcPr>
            <w:tcW w:w="2805" w:type="dxa"/>
          </w:tcPr>
          <w:p w14:paraId="50AF3BE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35FB0C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CDC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D0B2BA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38.</w:t>
            </w:r>
            <w:r>
              <w:rPr>
                <w:rFonts w:hint="eastAsia" w:asciiTheme="minorEastAsia" w:hAnsiTheme="minorEastAsia" w:eastAsiaTheme="minorEastAsia" w:cstheme="minorEastAsia"/>
                <w:kern w:val="0"/>
                <w:sz w:val="24"/>
                <w:szCs w:val="24"/>
              </w:rPr>
              <w:t>要具有打印记录，能够记录病案打印过程的所有操作，包括所打印病案的病案号、患者姓名、打印时间、打印页码等等；</w:t>
            </w:r>
          </w:p>
        </w:tc>
        <w:tc>
          <w:tcPr>
            <w:tcW w:w="2805" w:type="dxa"/>
          </w:tcPr>
          <w:p w14:paraId="1160486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461BC4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A36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0D0A80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39.</w:t>
            </w:r>
            <w:r>
              <w:rPr>
                <w:rFonts w:hint="eastAsia" w:asciiTheme="minorEastAsia" w:hAnsiTheme="minorEastAsia" w:eastAsiaTheme="minorEastAsia" w:cstheme="minorEastAsia"/>
                <w:kern w:val="0"/>
                <w:sz w:val="24"/>
                <w:szCs w:val="24"/>
              </w:rPr>
              <w:t>支持邮寄信息记录，可以按时间段、申请人及邮寄状态统计邮寄的明细记录；</w:t>
            </w:r>
          </w:p>
        </w:tc>
        <w:tc>
          <w:tcPr>
            <w:tcW w:w="2805" w:type="dxa"/>
          </w:tcPr>
          <w:p w14:paraId="57BB5CD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7F8AD4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38F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D60A47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40.</w:t>
            </w:r>
            <w:r>
              <w:rPr>
                <w:rFonts w:hint="eastAsia" w:asciiTheme="minorEastAsia" w:hAnsiTheme="minorEastAsia" w:eastAsiaTheme="minorEastAsia" w:cstheme="minorEastAsia"/>
                <w:kern w:val="0"/>
                <w:sz w:val="24"/>
                <w:szCs w:val="24"/>
              </w:rPr>
              <w:t>系统要具有开放性，能够根据医院的实际需求进行应用系统的重组以及系统的二次开发；</w:t>
            </w:r>
          </w:p>
        </w:tc>
        <w:tc>
          <w:tcPr>
            <w:tcW w:w="2805" w:type="dxa"/>
          </w:tcPr>
          <w:p w14:paraId="4ECF5B4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3684A8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A4D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FBAB5C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41.</w:t>
            </w:r>
            <w:r>
              <w:rPr>
                <w:rFonts w:hint="eastAsia" w:asciiTheme="minorEastAsia" w:hAnsiTheme="minorEastAsia" w:eastAsiaTheme="minorEastAsia" w:cstheme="minorEastAsia"/>
                <w:kern w:val="0"/>
                <w:sz w:val="24"/>
                <w:szCs w:val="24"/>
              </w:rPr>
              <w:t>数字化病案浏览模块要包含病案查询、记录管理、申请单管理、系统设置四大主要部分；</w:t>
            </w:r>
          </w:p>
        </w:tc>
        <w:tc>
          <w:tcPr>
            <w:tcW w:w="2805" w:type="dxa"/>
          </w:tcPr>
          <w:p w14:paraId="7E738A4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57EB66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9FE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2A2EC9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42.</w:t>
            </w:r>
            <w:r>
              <w:rPr>
                <w:rFonts w:hint="eastAsia" w:asciiTheme="minorEastAsia" w:hAnsiTheme="minorEastAsia" w:eastAsiaTheme="minorEastAsia" w:cstheme="minorEastAsia"/>
                <w:kern w:val="0"/>
                <w:sz w:val="24"/>
                <w:szCs w:val="24"/>
              </w:rPr>
              <w:t>数字化病案图片的查询要支持模糊查询和精确查询、病案的保密查询、科研查询和对比查询等；</w:t>
            </w:r>
          </w:p>
        </w:tc>
        <w:tc>
          <w:tcPr>
            <w:tcW w:w="2805" w:type="dxa"/>
          </w:tcPr>
          <w:p w14:paraId="6B7FCF8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2D9684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1D2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6B92E9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43.</w:t>
            </w:r>
            <w:r>
              <w:rPr>
                <w:rFonts w:hint="eastAsia" w:asciiTheme="minorEastAsia" w:hAnsiTheme="minorEastAsia" w:eastAsiaTheme="minorEastAsia" w:cstheme="minorEastAsia"/>
                <w:kern w:val="0"/>
                <w:sz w:val="24"/>
                <w:szCs w:val="24"/>
              </w:rPr>
              <w:t>病案浏览查询的条件支持住院号、病案号、住院次数、患者姓名、手术名称、麻醉方式、切口等级、诊断名称、入院科室、主治医师、住院医师、手术时间、住院时间、性别等进行查询；</w:t>
            </w:r>
          </w:p>
        </w:tc>
        <w:tc>
          <w:tcPr>
            <w:tcW w:w="2805" w:type="dxa"/>
          </w:tcPr>
          <w:p w14:paraId="36F8F37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BADCD7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170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5B39BA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44.</w:t>
            </w:r>
            <w:r>
              <w:rPr>
                <w:rFonts w:hint="eastAsia" w:asciiTheme="minorEastAsia" w:hAnsiTheme="minorEastAsia" w:eastAsiaTheme="minorEastAsia" w:cstheme="minorEastAsia"/>
                <w:kern w:val="0"/>
                <w:sz w:val="24"/>
                <w:szCs w:val="24"/>
              </w:rPr>
              <w:t>要具有数字化病案图片的保密管理，保密要分为三个级别，保密的图片不能随意查询浏览；</w:t>
            </w:r>
          </w:p>
        </w:tc>
        <w:tc>
          <w:tcPr>
            <w:tcW w:w="2805" w:type="dxa"/>
          </w:tcPr>
          <w:p w14:paraId="707DA39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A7A6B3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BFB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4BC184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45.</w:t>
            </w:r>
            <w:r>
              <w:rPr>
                <w:rFonts w:hint="eastAsia" w:asciiTheme="minorEastAsia" w:hAnsiTheme="minorEastAsia" w:eastAsiaTheme="minorEastAsia" w:cstheme="minorEastAsia"/>
                <w:kern w:val="0"/>
                <w:sz w:val="24"/>
                <w:szCs w:val="24"/>
              </w:rPr>
              <w:t>要能够实现病案的对比查询，例如同一患者多次住院历史病案的对比浏览，科研病案的对比查询浏览；</w:t>
            </w:r>
          </w:p>
        </w:tc>
        <w:tc>
          <w:tcPr>
            <w:tcW w:w="2805" w:type="dxa"/>
          </w:tcPr>
          <w:p w14:paraId="1919349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78F6A7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8F6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A85B85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46.</w:t>
            </w:r>
            <w:r>
              <w:rPr>
                <w:rFonts w:hint="eastAsia" w:asciiTheme="minorEastAsia" w:hAnsiTheme="minorEastAsia" w:eastAsiaTheme="minorEastAsia" w:cstheme="minorEastAsia"/>
                <w:kern w:val="0"/>
                <w:sz w:val="24"/>
                <w:szCs w:val="24"/>
              </w:rPr>
              <w:t>对查询到的病案要能够支持病案图片的科研讨论、在线讨论，能够查询到病案当前的位置以浏览的历史记录，支持鼠标滚轮的放大缩小以及拖放；</w:t>
            </w:r>
          </w:p>
        </w:tc>
        <w:tc>
          <w:tcPr>
            <w:tcW w:w="2805" w:type="dxa"/>
          </w:tcPr>
          <w:p w14:paraId="300B501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1F198A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8D3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79C706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47.</w:t>
            </w:r>
            <w:r>
              <w:rPr>
                <w:rFonts w:hint="eastAsia" w:asciiTheme="minorEastAsia" w:hAnsiTheme="minorEastAsia" w:eastAsiaTheme="minorEastAsia" w:cstheme="minorEastAsia"/>
                <w:kern w:val="0"/>
                <w:sz w:val="24"/>
                <w:szCs w:val="24"/>
              </w:rPr>
              <w:t>要具有对数字化图片借阅浏览的申请单，病案申请浏览模块中，支持逐份、批量、按科室审核；</w:t>
            </w:r>
          </w:p>
        </w:tc>
        <w:tc>
          <w:tcPr>
            <w:tcW w:w="2805" w:type="dxa"/>
          </w:tcPr>
          <w:p w14:paraId="2A619FE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0920B9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A46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F40423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48.系统支持死亡和非医嘱离院病历上报国家或广西平台；</w:t>
            </w:r>
          </w:p>
        </w:tc>
        <w:tc>
          <w:tcPr>
            <w:tcW w:w="2805" w:type="dxa"/>
          </w:tcPr>
          <w:p w14:paraId="74C65A5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68A3A7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7DD9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4A44EA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49.</w:t>
            </w:r>
            <w:r>
              <w:rPr>
                <w:rFonts w:hint="eastAsia" w:asciiTheme="minorEastAsia" w:hAnsiTheme="minorEastAsia" w:eastAsiaTheme="minorEastAsia" w:cstheme="minorEastAsia"/>
                <w:kern w:val="0"/>
                <w:sz w:val="24"/>
                <w:szCs w:val="24"/>
              </w:rPr>
              <w:t>系统要能够对系统用户的所有操作以及病案的打印具有日志记录功能；</w:t>
            </w:r>
          </w:p>
        </w:tc>
        <w:tc>
          <w:tcPr>
            <w:tcW w:w="2805" w:type="dxa"/>
          </w:tcPr>
          <w:p w14:paraId="39CFFA1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103951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1ED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710B90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50.</w:t>
            </w:r>
            <w:r>
              <w:rPr>
                <w:rFonts w:hint="eastAsia" w:asciiTheme="minorEastAsia" w:hAnsiTheme="minorEastAsia" w:eastAsiaTheme="minorEastAsia" w:cstheme="minorEastAsia"/>
                <w:kern w:val="0"/>
                <w:sz w:val="24"/>
                <w:szCs w:val="24"/>
              </w:rPr>
              <w:t>用户管理：管理数字化客户端用户信息及B/S浏览用户信息，可以对用户信息进行查询/添加/修改/删除操作， 可以配合病案设置保密等级权限， 可以限定用户查看及申请科室权限；</w:t>
            </w:r>
          </w:p>
        </w:tc>
        <w:tc>
          <w:tcPr>
            <w:tcW w:w="2805" w:type="dxa"/>
          </w:tcPr>
          <w:p w14:paraId="6371F42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A969B4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0C9B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749989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51.</w:t>
            </w:r>
            <w:r>
              <w:rPr>
                <w:rFonts w:hint="eastAsia" w:asciiTheme="minorEastAsia" w:hAnsiTheme="minorEastAsia" w:eastAsiaTheme="minorEastAsia" w:cstheme="minorEastAsia"/>
                <w:kern w:val="0"/>
                <w:sz w:val="24"/>
                <w:szCs w:val="24"/>
              </w:rPr>
              <w:t>用户组管理：对用户进行分组， 可对分组进行查询/添加/修改/删除操作；</w:t>
            </w:r>
          </w:p>
        </w:tc>
        <w:tc>
          <w:tcPr>
            <w:tcW w:w="2805" w:type="dxa"/>
          </w:tcPr>
          <w:p w14:paraId="2966C5B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D9568D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28A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E9C2FB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52.</w:t>
            </w:r>
            <w:r>
              <w:rPr>
                <w:rFonts w:hint="eastAsia" w:asciiTheme="minorEastAsia" w:hAnsiTheme="minorEastAsia" w:eastAsiaTheme="minorEastAsia" w:cstheme="minorEastAsia"/>
                <w:kern w:val="0"/>
                <w:sz w:val="24"/>
                <w:szCs w:val="24"/>
              </w:rPr>
              <w:t>权限组管理：对用户所拥有的系统功能进行设置， 并可限制该权限组所对应的相关科室；</w:t>
            </w:r>
          </w:p>
        </w:tc>
        <w:tc>
          <w:tcPr>
            <w:tcW w:w="2805" w:type="dxa"/>
          </w:tcPr>
          <w:p w14:paraId="5BDFC61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AE343F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2FC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78FC65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53.</w:t>
            </w:r>
            <w:r>
              <w:rPr>
                <w:rFonts w:hint="eastAsia" w:asciiTheme="minorEastAsia" w:hAnsiTheme="minorEastAsia" w:eastAsiaTheme="minorEastAsia" w:cstheme="minorEastAsia"/>
                <w:kern w:val="0"/>
                <w:sz w:val="24"/>
                <w:szCs w:val="24"/>
              </w:rPr>
              <w:t>数字化病案软件包含以下模块：数字化病案应用系统、数字化病案浏览器、数字化病案管理工作站、数字化病案打印工作站、数字化病案科研工作站、数字化病案随访工作站、数字化病案B/S浏览器</w:t>
            </w:r>
          </w:p>
        </w:tc>
        <w:tc>
          <w:tcPr>
            <w:tcW w:w="2805" w:type="dxa"/>
          </w:tcPr>
          <w:p w14:paraId="3232776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811708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74E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4DB98E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54.支持对接医院无纸化病案管理系统，实现数据的整合，保证病案数据的完整性，接口对接费用由中标方负责。</w:t>
            </w:r>
          </w:p>
        </w:tc>
        <w:tc>
          <w:tcPr>
            <w:tcW w:w="2805" w:type="dxa"/>
          </w:tcPr>
          <w:p w14:paraId="724FFAD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169279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678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DF865F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b/>
                <w:bCs/>
                <w:spacing w:val="1"/>
                <w:sz w:val="24"/>
                <w:szCs w:val="24"/>
              </w:rPr>
            </w:pPr>
            <w:r>
              <w:rPr>
                <w:rFonts w:hint="eastAsia" w:asciiTheme="minorEastAsia" w:hAnsiTheme="minorEastAsia" w:eastAsiaTheme="minorEastAsia" w:cstheme="minorEastAsia"/>
                <w:b/>
                <w:bCs/>
                <w:spacing w:val="1"/>
                <w:sz w:val="24"/>
                <w:szCs w:val="24"/>
                <w:lang w:val="en-US" w:eastAsia="zh-CN"/>
              </w:rPr>
              <w:t>二、</w:t>
            </w:r>
            <w:r>
              <w:rPr>
                <w:rFonts w:hint="eastAsia" w:asciiTheme="minorEastAsia" w:hAnsiTheme="minorEastAsia" w:eastAsiaTheme="minorEastAsia" w:cstheme="minorEastAsia"/>
                <w:b/>
                <w:bCs/>
                <w:spacing w:val="1"/>
                <w:sz w:val="24"/>
                <w:szCs w:val="24"/>
              </w:rPr>
              <w:t>数字化服务要求</w:t>
            </w:r>
            <w:r>
              <w:rPr>
                <w:rFonts w:hint="eastAsia" w:asciiTheme="minorEastAsia" w:hAnsiTheme="minorEastAsia" w:eastAsiaTheme="minorEastAsia" w:cstheme="minorEastAsia"/>
                <w:b/>
                <w:bCs/>
                <w:sz w:val="24"/>
                <w:szCs w:val="24"/>
              </w:rPr>
              <w:t>：</w:t>
            </w:r>
          </w:p>
        </w:tc>
        <w:tc>
          <w:tcPr>
            <w:tcW w:w="2805" w:type="dxa"/>
          </w:tcPr>
          <w:p w14:paraId="7F12BA8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b/>
                <w:bCs/>
                <w:spacing w:val="1"/>
                <w:sz w:val="24"/>
                <w:szCs w:val="24"/>
                <w:lang w:val="en-US" w:eastAsia="zh-CN"/>
              </w:rPr>
            </w:pPr>
          </w:p>
        </w:tc>
        <w:tc>
          <w:tcPr>
            <w:tcW w:w="1693" w:type="dxa"/>
          </w:tcPr>
          <w:p w14:paraId="21A4A32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b/>
                <w:bCs/>
                <w:spacing w:val="1"/>
                <w:sz w:val="24"/>
                <w:szCs w:val="24"/>
                <w:lang w:val="en-US" w:eastAsia="zh-CN"/>
              </w:rPr>
            </w:pPr>
          </w:p>
        </w:tc>
      </w:tr>
      <w:tr w14:paraId="55E2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55FA47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服务内容包含但不限于病案数字化交接、病案数字化加工、病案数字化审核、病案条码装箱打包、病案数字化上架、病案首页信息数据库转换、病案首页基本信息录入；</w:t>
            </w:r>
          </w:p>
        </w:tc>
        <w:tc>
          <w:tcPr>
            <w:tcW w:w="2805" w:type="dxa"/>
          </w:tcPr>
          <w:p w14:paraId="08948B37">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542285B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F9A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E3555B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w:t>
            </w:r>
            <w:r>
              <w:rPr>
                <w:rFonts w:hint="eastAsia" w:asciiTheme="minorEastAsia" w:hAnsiTheme="minorEastAsia" w:eastAsiaTheme="minorEastAsia" w:cstheme="minorEastAsia"/>
                <w:kern w:val="0"/>
                <w:sz w:val="24"/>
                <w:szCs w:val="24"/>
              </w:rPr>
              <w:t>病案数字化涉及医院病案安全性，病案数字化场所除医院工作人员数字化服务人员进入，其他人员严禁进入，并签订保密协议；</w:t>
            </w:r>
          </w:p>
        </w:tc>
        <w:tc>
          <w:tcPr>
            <w:tcW w:w="2805" w:type="dxa"/>
          </w:tcPr>
          <w:p w14:paraId="0E59344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360496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20C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F71DDA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数字化服务现场配有项目经理，负责数字化质量的审核，复核，抽查，需提供现场项目经理的联系方式及既往成功案例；</w:t>
            </w:r>
          </w:p>
        </w:tc>
        <w:tc>
          <w:tcPr>
            <w:tcW w:w="2805" w:type="dxa"/>
          </w:tcPr>
          <w:p w14:paraId="3929A63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A0E724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999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710B49E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数字化服务包含提供所需病历周转箱，病历周转箱要按医院要求定制；</w:t>
            </w:r>
          </w:p>
        </w:tc>
        <w:tc>
          <w:tcPr>
            <w:tcW w:w="2805" w:type="dxa"/>
          </w:tcPr>
          <w:p w14:paraId="1294DC3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500228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679D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981584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数字化服务要有专人翻拍，专人打包封箱，专人上架，每个病历周转箱都要有唯一条码等，要有详细的说明并提供工作人员分配表；</w:t>
            </w:r>
          </w:p>
        </w:tc>
        <w:tc>
          <w:tcPr>
            <w:tcW w:w="2805" w:type="dxa"/>
          </w:tcPr>
          <w:p w14:paraId="14114F3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77B7B6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5A9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0E02EE7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数字化服务要求提供数字化加工服务的项目计划表；</w:t>
            </w:r>
          </w:p>
        </w:tc>
        <w:tc>
          <w:tcPr>
            <w:tcW w:w="2805" w:type="dxa"/>
          </w:tcPr>
          <w:p w14:paraId="677E33D5">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F68C07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D04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2D4DA3F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7.</w:t>
            </w:r>
            <w:r>
              <w:rPr>
                <w:rFonts w:hint="eastAsia" w:asciiTheme="minorEastAsia" w:hAnsiTheme="minorEastAsia" w:eastAsiaTheme="minorEastAsia" w:cstheme="minorEastAsia"/>
                <w:kern w:val="0"/>
                <w:sz w:val="24"/>
                <w:szCs w:val="24"/>
              </w:rPr>
              <w:t>数字化服务应包含数字化所需耗材及硬件设备</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高拍仪、电脑、条码枪、条码打印机</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费用</w:t>
            </w:r>
            <w:r>
              <w:rPr>
                <w:rFonts w:hint="eastAsia" w:asciiTheme="minorEastAsia" w:hAnsiTheme="minorEastAsia" w:eastAsiaTheme="minorEastAsia" w:cstheme="minorEastAsia"/>
                <w:kern w:val="0"/>
                <w:sz w:val="24"/>
                <w:szCs w:val="24"/>
              </w:rPr>
              <w:t>，并提供耗材以及硬件设备一览表；</w:t>
            </w:r>
          </w:p>
        </w:tc>
        <w:tc>
          <w:tcPr>
            <w:tcW w:w="2805" w:type="dxa"/>
          </w:tcPr>
          <w:p w14:paraId="60387CC3">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2064F0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290C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F61C01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w:t>
            </w:r>
            <w:r>
              <w:rPr>
                <w:rFonts w:hint="eastAsia" w:asciiTheme="minorEastAsia" w:hAnsiTheme="minorEastAsia" w:eastAsiaTheme="minorEastAsia" w:cstheme="minorEastAsia"/>
                <w:kern w:val="0"/>
                <w:sz w:val="24"/>
                <w:szCs w:val="24"/>
              </w:rPr>
              <w:t>数字化加工服务现场必须划分：拍摄区、审核区、病案存放区、拆钉装箱区，办公用品存放区，公告区，更衣区等区域；</w:t>
            </w:r>
          </w:p>
        </w:tc>
        <w:tc>
          <w:tcPr>
            <w:tcW w:w="2805" w:type="dxa"/>
          </w:tcPr>
          <w:p w14:paraId="02F159E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367247AC">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0C68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FA0DAC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9.</w:t>
            </w:r>
            <w:r>
              <w:rPr>
                <w:rFonts w:hint="eastAsia" w:asciiTheme="minorEastAsia" w:hAnsiTheme="minorEastAsia" w:eastAsiaTheme="minorEastAsia" w:cstheme="minorEastAsia"/>
                <w:kern w:val="0"/>
                <w:sz w:val="24"/>
                <w:szCs w:val="24"/>
              </w:rPr>
              <w:t>数字化加工人员要根据医院的病历要求进行病历分类；</w:t>
            </w:r>
          </w:p>
        </w:tc>
        <w:tc>
          <w:tcPr>
            <w:tcW w:w="2805" w:type="dxa"/>
          </w:tcPr>
          <w:p w14:paraId="6C87CB41">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1C3204F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360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61F9412">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10.</w:t>
            </w:r>
            <w:r>
              <w:rPr>
                <w:rFonts w:hint="eastAsia" w:asciiTheme="minorEastAsia" w:hAnsiTheme="minorEastAsia" w:eastAsiaTheme="minorEastAsia" w:cstheme="minorEastAsia"/>
                <w:kern w:val="0"/>
                <w:sz w:val="24"/>
                <w:szCs w:val="24"/>
              </w:rPr>
              <w:t>数字化加工要有交接流程，交接流程要保证病历数量无误，并对病历绑码处理。</w:t>
            </w:r>
          </w:p>
        </w:tc>
        <w:tc>
          <w:tcPr>
            <w:tcW w:w="2805" w:type="dxa"/>
          </w:tcPr>
          <w:p w14:paraId="12D6E53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29116D2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5665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1A23231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11.</w:t>
            </w:r>
            <w:r>
              <w:rPr>
                <w:rFonts w:hint="eastAsia" w:asciiTheme="minorEastAsia" w:hAnsiTheme="minorEastAsia" w:eastAsiaTheme="minorEastAsia" w:cstheme="minorEastAsia"/>
                <w:kern w:val="0"/>
                <w:sz w:val="24"/>
                <w:szCs w:val="24"/>
              </w:rPr>
              <w:t>加工要求清晰，无阴影，手影等，并要求审核人员对加工的病历逐页审核，不允许部分审核</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未审核的病历不允许打印、借阅</w:t>
            </w:r>
            <w:r>
              <w:rPr>
                <w:rFonts w:hint="eastAsia" w:asciiTheme="minorEastAsia" w:hAnsiTheme="minorEastAsia" w:eastAsiaTheme="minorEastAsia" w:cstheme="minorEastAsia"/>
                <w:kern w:val="0"/>
                <w:sz w:val="24"/>
                <w:szCs w:val="24"/>
              </w:rPr>
              <w:t>；</w:t>
            </w:r>
          </w:p>
        </w:tc>
        <w:tc>
          <w:tcPr>
            <w:tcW w:w="2805" w:type="dxa"/>
          </w:tcPr>
          <w:p w14:paraId="7D6E6CB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7790849F">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05A4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3AD669C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12.</w:t>
            </w:r>
            <w:r>
              <w:rPr>
                <w:rFonts w:hint="eastAsia" w:asciiTheme="minorEastAsia" w:hAnsiTheme="minorEastAsia" w:eastAsiaTheme="minorEastAsia" w:cstheme="minorEastAsia"/>
                <w:kern w:val="0"/>
                <w:sz w:val="24"/>
                <w:szCs w:val="24"/>
              </w:rPr>
              <w:t>数字化服务包含售后服务，售后响应时间要求上班时间</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小时内响应，</w:t>
            </w: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小时内到达现场。</w:t>
            </w:r>
          </w:p>
        </w:tc>
        <w:tc>
          <w:tcPr>
            <w:tcW w:w="2805" w:type="dxa"/>
          </w:tcPr>
          <w:p w14:paraId="6BB5C628">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BE9BAD9">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6B0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507364CA">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13.每年应提供2次现场巡检服务，并出具巡检报告。当出现短时间不能解决的系统重大事故时，乙方相应技术支持人员应当在12小时内进行现场处理。</w:t>
            </w:r>
          </w:p>
        </w:tc>
        <w:tc>
          <w:tcPr>
            <w:tcW w:w="2805" w:type="dxa"/>
          </w:tcPr>
          <w:p w14:paraId="16D1240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p>
        </w:tc>
        <w:tc>
          <w:tcPr>
            <w:tcW w:w="1693" w:type="dxa"/>
          </w:tcPr>
          <w:p w14:paraId="0032522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p>
        </w:tc>
      </w:tr>
      <w:tr w14:paraId="493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CE40376">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14.乙方承诺在项目维护期间，故障问题响应时间不超过 2小时，一般软件问题处理时长不超过6小时，重大故障问题处理时长不超过12小时。</w:t>
            </w:r>
          </w:p>
        </w:tc>
        <w:tc>
          <w:tcPr>
            <w:tcW w:w="2805" w:type="dxa"/>
          </w:tcPr>
          <w:p w14:paraId="67BF591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p>
        </w:tc>
        <w:tc>
          <w:tcPr>
            <w:tcW w:w="1693" w:type="dxa"/>
          </w:tcPr>
          <w:p w14:paraId="5486B0C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pPr>
          </w:p>
        </w:tc>
      </w:tr>
      <w:tr w14:paraId="7561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33D8760">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15.数字化服务包含对软件使用的培训、维护、需求处理等费用，数字化加工服务期内免费提供所需接口。</w:t>
            </w:r>
          </w:p>
        </w:tc>
        <w:tc>
          <w:tcPr>
            <w:tcW w:w="2805" w:type="dxa"/>
          </w:tcPr>
          <w:p w14:paraId="7A842424">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4A31781E">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46D8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62EBA18B">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16.数字化服务要求必须闭环管理，交接、领用、加工、审核、装箱、上架等流程全部处于闭环管理。</w:t>
            </w:r>
          </w:p>
        </w:tc>
        <w:tc>
          <w:tcPr>
            <w:tcW w:w="2805" w:type="dxa"/>
          </w:tcPr>
          <w:p w14:paraId="4F31462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c>
          <w:tcPr>
            <w:tcW w:w="1693" w:type="dxa"/>
          </w:tcPr>
          <w:p w14:paraId="09FFC67D">
            <w:pPr>
              <w:pStyle w:val="2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Theme="minorEastAsia" w:hAnsiTheme="minorEastAsia" w:eastAsiaTheme="minorEastAsia" w:cstheme="minorEastAsia"/>
                <w:kern w:val="0"/>
                <w:sz w:val="24"/>
                <w:szCs w:val="24"/>
                <w:lang w:val="en-US" w:eastAsia="zh-CN"/>
              </w:rPr>
            </w:pPr>
          </w:p>
        </w:tc>
      </w:tr>
      <w:tr w14:paraId="1CBD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4" w:type="dxa"/>
          </w:tcPr>
          <w:p w14:paraId="4AB973E7">
            <w:pPr>
              <w:keepNext w:val="0"/>
              <w:keepLines w:val="0"/>
              <w:pageBreakBefore w:val="0"/>
              <w:widowControl w:val="0"/>
              <w:kinsoku/>
              <w:wordWrap/>
              <w:overflowPunct/>
              <w:topLinePunct w:val="0"/>
              <w:bidi w:val="0"/>
              <w:adjustRightInd/>
              <w:spacing w:line="440" w:lineRule="exact"/>
              <w:ind w:left="0" w:right="0" w:rightChars="0"/>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 xml:space="preserve">17.数字化服务要求支持病历智能审核，审核有问题的病历人工逐一核对。  </w:t>
            </w:r>
          </w:p>
        </w:tc>
        <w:tc>
          <w:tcPr>
            <w:tcW w:w="2805" w:type="dxa"/>
          </w:tcPr>
          <w:p w14:paraId="592FC11A">
            <w:pPr>
              <w:keepNext w:val="0"/>
              <w:keepLines w:val="0"/>
              <w:pageBreakBefore w:val="0"/>
              <w:widowControl w:val="0"/>
              <w:kinsoku/>
              <w:wordWrap/>
              <w:overflowPunct/>
              <w:topLinePunct w:val="0"/>
              <w:bidi w:val="0"/>
              <w:adjustRightInd/>
              <w:spacing w:line="440" w:lineRule="exact"/>
              <w:ind w:left="0" w:right="0" w:rightChars="0"/>
              <w:rPr>
                <w:rFonts w:hint="eastAsia" w:asciiTheme="minorEastAsia" w:hAnsiTheme="minorEastAsia" w:eastAsiaTheme="minorEastAsia" w:cstheme="minorEastAsia"/>
                <w:kern w:val="0"/>
                <w:sz w:val="24"/>
                <w:szCs w:val="24"/>
                <w:lang w:val="en-US" w:eastAsia="zh-CN"/>
              </w:rPr>
            </w:pPr>
          </w:p>
        </w:tc>
        <w:tc>
          <w:tcPr>
            <w:tcW w:w="1693" w:type="dxa"/>
          </w:tcPr>
          <w:p w14:paraId="427DFE57">
            <w:pPr>
              <w:keepNext w:val="0"/>
              <w:keepLines w:val="0"/>
              <w:pageBreakBefore w:val="0"/>
              <w:widowControl w:val="0"/>
              <w:kinsoku/>
              <w:wordWrap/>
              <w:overflowPunct/>
              <w:topLinePunct w:val="0"/>
              <w:bidi w:val="0"/>
              <w:adjustRightInd/>
              <w:spacing w:line="440" w:lineRule="exact"/>
              <w:ind w:left="0" w:right="0" w:rightChars="0"/>
              <w:rPr>
                <w:rFonts w:hint="eastAsia" w:asciiTheme="minorEastAsia" w:hAnsiTheme="minorEastAsia" w:eastAsiaTheme="minorEastAsia" w:cstheme="minorEastAsia"/>
                <w:kern w:val="0"/>
                <w:sz w:val="24"/>
                <w:szCs w:val="24"/>
                <w:lang w:val="en-US" w:eastAsia="zh-CN"/>
              </w:rPr>
            </w:pPr>
          </w:p>
        </w:tc>
      </w:tr>
    </w:tbl>
    <w:p w14:paraId="5B6C4894">
      <w:pPr>
        <w:keepNext w:val="0"/>
        <w:keepLines w:val="0"/>
        <w:pageBreakBefore w:val="0"/>
        <w:widowControl w:val="0"/>
        <w:kinsoku/>
        <w:wordWrap/>
        <w:overflowPunct/>
        <w:topLinePunct w:val="0"/>
        <w:bidi w:val="0"/>
        <w:adjustRightInd/>
        <w:spacing w:line="440" w:lineRule="exact"/>
        <w:ind w:left="0" w:right="0" w:rightChars="0"/>
        <w:rPr>
          <w:rFonts w:hint="eastAsia" w:asciiTheme="minorEastAsia" w:hAnsiTheme="minorEastAsia" w:eastAsiaTheme="minorEastAsia" w:cstheme="minorEastAsia"/>
          <w:kern w:val="0"/>
          <w:sz w:val="24"/>
          <w:szCs w:val="24"/>
          <w:lang w:val="en-US" w:eastAsia="zh-CN"/>
        </w:rPr>
      </w:pPr>
    </w:p>
    <w:sectPr>
      <w:footerReference r:id="rId3" w:type="default"/>
      <w:pgSz w:w="11906" w:h="16838"/>
      <w:pgMar w:top="1440" w:right="1463" w:bottom="1440" w:left="131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88390">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A39077">
                          <w:pPr>
                            <w:pStyle w:val="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DA39077">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999243"/>
    <w:multiLevelType w:val="singleLevel"/>
    <w:tmpl w:val="F7999243"/>
    <w:lvl w:ilvl="0" w:tentative="0">
      <w:start w:val="9"/>
      <w:numFmt w:val="chineseCounting"/>
      <w:suff w:val="nothing"/>
      <w:lvlText w:val="%1、"/>
      <w:lvlJc w:val="left"/>
      <w:rPr>
        <w:rFonts w:hint="eastAsia"/>
      </w:rPr>
    </w:lvl>
  </w:abstractNum>
  <w:abstractNum w:abstractNumId="1">
    <w:nsid w:val="47C22E8F"/>
    <w:multiLevelType w:val="multilevel"/>
    <w:tmpl w:val="47C22E8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E523DD"/>
    <w:multiLevelType w:val="multilevel"/>
    <w:tmpl w:val="49E523DD"/>
    <w:lvl w:ilvl="0" w:tentative="0">
      <w:start w:val="1"/>
      <w:numFmt w:val="bullet"/>
      <w:lvlText w:val=""/>
      <w:lvlJc w:val="left"/>
      <w:pPr>
        <w:ind w:left="1042" w:hanging="420"/>
      </w:pPr>
      <w:rPr>
        <w:rFonts w:hint="default" w:ascii="Wingdings" w:hAnsi="Wingdings" w:cs="Wingdings"/>
      </w:rPr>
    </w:lvl>
    <w:lvl w:ilvl="1" w:tentative="0">
      <w:start w:val="1"/>
      <w:numFmt w:val="bullet"/>
      <w:lvlText w:val=""/>
      <w:lvlJc w:val="left"/>
      <w:pPr>
        <w:ind w:left="1462" w:hanging="420"/>
      </w:pPr>
      <w:rPr>
        <w:rFonts w:hint="default" w:ascii="Wingdings" w:hAnsi="Wingdings"/>
      </w:rPr>
    </w:lvl>
    <w:lvl w:ilvl="2" w:tentative="0">
      <w:start w:val="1"/>
      <w:numFmt w:val="bullet"/>
      <w:lvlText w:val=""/>
      <w:lvlJc w:val="left"/>
      <w:pPr>
        <w:ind w:left="1882" w:hanging="420"/>
      </w:pPr>
      <w:rPr>
        <w:rFonts w:hint="default" w:ascii="Wingdings" w:hAnsi="Wingdings"/>
      </w:rPr>
    </w:lvl>
    <w:lvl w:ilvl="3" w:tentative="0">
      <w:start w:val="1"/>
      <w:numFmt w:val="bullet"/>
      <w:lvlText w:val=""/>
      <w:lvlJc w:val="left"/>
      <w:pPr>
        <w:ind w:left="2302" w:hanging="420"/>
      </w:pPr>
      <w:rPr>
        <w:rFonts w:hint="default" w:ascii="Wingdings" w:hAnsi="Wingdings"/>
      </w:rPr>
    </w:lvl>
    <w:lvl w:ilvl="4" w:tentative="0">
      <w:start w:val="1"/>
      <w:numFmt w:val="bullet"/>
      <w:lvlText w:val=""/>
      <w:lvlJc w:val="left"/>
      <w:pPr>
        <w:ind w:left="2722" w:hanging="420"/>
      </w:pPr>
      <w:rPr>
        <w:rFonts w:hint="default" w:ascii="Wingdings" w:hAnsi="Wingdings"/>
      </w:rPr>
    </w:lvl>
    <w:lvl w:ilvl="5" w:tentative="0">
      <w:start w:val="1"/>
      <w:numFmt w:val="bullet"/>
      <w:lvlText w:val=""/>
      <w:lvlJc w:val="left"/>
      <w:pPr>
        <w:ind w:left="3142" w:hanging="420"/>
      </w:pPr>
      <w:rPr>
        <w:rFonts w:hint="default" w:ascii="Wingdings" w:hAnsi="Wingdings"/>
      </w:rPr>
    </w:lvl>
    <w:lvl w:ilvl="6" w:tentative="0">
      <w:start w:val="1"/>
      <w:numFmt w:val="bullet"/>
      <w:lvlText w:val=""/>
      <w:lvlJc w:val="left"/>
      <w:pPr>
        <w:ind w:left="3562" w:hanging="420"/>
      </w:pPr>
      <w:rPr>
        <w:rFonts w:hint="default" w:ascii="Wingdings" w:hAnsi="Wingdings"/>
      </w:rPr>
    </w:lvl>
    <w:lvl w:ilvl="7" w:tentative="0">
      <w:start w:val="1"/>
      <w:numFmt w:val="bullet"/>
      <w:lvlText w:val=""/>
      <w:lvlJc w:val="left"/>
      <w:pPr>
        <w:ind w:left="3982" w:hanging="420"/>
      </w:pPr>
      <w:rPr>
        <w:rFonts w:hint="default" w:ascii="Wingdings" w:hAnsi="Wingdings"/>
      </w:rPr>
    </w:lvl>
    <w:lvl w:ilvl="8" w:tentative="0">
      <w:start w:val="1"/>
      <w:numFmt w:val="bullet"/>
      <w:lvlText w:val=""/>
      <w:lvlJc w:val="left"/>
      <w:pPr>
        <w:ind w:left="4402" w:hanging="420"/>
      </w:pPr>
      <w:rPr>
        <w:rFonts w:hint="default" w:ascii="Wingdings" w:hAnsi="Wingdings"/>
      </w:rPr>
    </w:lvl>
  </w:abstractNum>
  <w:abstractNum w:abstractNumId="3">
    <w:nsid w:val="5C946299"/>
    <w:multiLevelType w:val="singleLevel"/>
    <w:tmpl w:val="5C946299"/>
    <w:lvl w:ilvl="0" w:tentative="0">
      <w:start w:val="0"/>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1382169D"/>
    <w:rsid w:val="00454CE0"/>
    <w:rsid w:val="09D26538"/>
    <w:rsid w:val="0CBB0F91"/>
    <w:rsid w:val="0DA37AF0"/>
    <w:rsid w:val="0E1F47C3"/>
    <w:rsid w:val="0F307AB2"/>
    <w:rsid w:val="0F8D7EF3"/>
    <w:rsid w:val="114F21D0"/>
    <w:rsid w:val="13195B80"/>
    <w:rsid w:val="1382169D"/>
    <w:rsid w:val="176E5B42"/>
    <w:rsid w:val="19692D39"/>
    <w:rsid w:val="197D7C42"/>
    <w:rsid w:val="228856AB"/>
    <w:rsid w:val="2D2C4FA8"/>
    <w:rsid w:val="2F8070B6"/>
    <w:rsid w:val="324673DF"/>
    <w:rsid w:val="34535CBE"/>
    <w:rsid w:val="39E373A4"/>
    <w:rsid w:val="3AC743FB"/>
    <w:rsid w:val="3E3A59A8"/>
    <w:rsid w:val="42E21359"/>
    <w:rsid w:val="479B2F0C"/>
    <w:rsid w:val="48FA4C52"/>
    <w:rsid w:val="4A312547"/>
    <w:rsid w:val="4C651AA9"/>
    <w:rsid w:val="4CBC303B"/>
    <w:rsid w:val="4D9667F9"/>
    <w:rsid w:val="4F71630F"/>
    <w:rsid w:val="503E4BB7"/>
    <w:rsid w:val="50B13D19"/>
    <w:rsid w:val="55FE26A7"/>
    <w:rsid w:val="57AC32CF"/>
    <w:rsid w:val="59FF38D6"/>
    <w:rsid w:val="5C1761A2"/>
    <w:rsid w:val="606B0631"/>
    <w:rsid w:val="67A82BE8"/>
    <w:rsid w:val="702131CC"/>
    <w:rsid w:val="79F846E4"/>
    <w:rsid w:val="7C660AAA"/>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161"/>
      <w:ind w:left="218"/>
      <w:outlineLvl w:val="1"/>
    </w:pPr>
    <w:rPr>
      <w:rFonts w:ascii="宋体" w:hAnsi="宋体" w:eastAsia="宋体" w:cs="宋体"/>
      <w:b/>
      <w:bCs/>
      <w:sz w:val="24"/>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eastAsia="宋体"/>
      <w:sz w:val="21"/>
    </w:rPr>
  </w:style>
  <w:style w:type="paragraph" w:styleId="5">
    <w:name w:val="toc 3"/>
    <w:basedOn w:val="1"/>
    <w:next w:val="1"/>
    <w:unhideWhenUsed/>
    <w:qFormat/>
    <w:uiPriority w:val="39"/>
    <w:pPr>
      <w:ind w:left="840" w:leftChars="400"/>
    </w:pPr>
  </w:style>
  <w:style w:type="paragraph" w:styleId="6">
    <w:name w:val="Plain Text"/>
    <w:basedOn w:val="1"/>
    <w:qFormat/>
    <w:uiPriority w:val="0"/>
    <w:rPr>
      <w:rFonts w:ascii="宋体" w:hAnsi="Courier New"/>
      <w:kern w:val="0"/>
      <w:sz w:val="20"/>
      <w:szCs w:val="20"/>
    </w:rPr>
  </w:style>
  <w:style w:type="paragraph" w:styleId="7">
    <w:name w:val="footer"/>
    <w:basedOn w:val="1"/>
    <w:qFormat/>
    <w:uiPriority w:val="0"/>
    <w:pPr>
      <w:tabs>
        <w:tab w:val="center" w:pos="4153"/>
        <w:tab w:val="right" w:pos="8306"/>
      </w:tabs>
      <w:snapToGrid w:val="0"/>
      <w:jc w:val="left"/>
    </w:pPr>
    <w:rPr>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footnote text"/>
    <w:basedOn w:val="1"/>
    <w:unhideWhenUsed/>
    <w:qFormat/>
    <w:uiPriority w:val="99"/>
    <w:pPr>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Title"/>
    <w:basedOn w:val="1"/>
    <w:qFormat/>
    <w:uiPriority w:val="1"/>
    <w:pPr>
      <w:spacing w:before="171"/>
      <w:ind w:left="2520" w:right="2556"/>
      <w:jc w:val="center"/>
    </w:pPr>
    <w:rPr>
      <w:rFonts w:ascii="宋体" w:hAnsi="宋体" w:eastAsia="宋体" w:cs="宋体"/>
      <w:sz w:val="44"/>
      <w:szCs w:val="44"/>
      <w:lang w:val="en-US" w:eastAsia="zh-CN"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customStyle="1" w:styleId="17">
    <w:name w:val="font11"/>
    <w:basedOn w:val="14"/>
    <w:qFormat/>
    <w:uiPriority w:val="0"/>
    <w:rPr>
      <w:rFonts w:hint="eastAsia" w:ascii="宋体" w:hAnsi="宋体" w:eastAsia="宋体" w:cs="宋体"/>
      <w:color w:val="000000"/>
      <w:sz w:val="20"/>
      <w:szCs w:val="20"/>
      <w:u w:val="none"/>
    </w:rPr>
  </w:style>
  <w:style w:type="character" w:customStyle="1" w:styleId="18">
    <w:name w:val="font01"/>
    <w:basedOn w:val="14"/>
    <w:qFormat/>
    <w:uiPriority w:val="0"/>
    <w:rPr>
      <w:rFonts w:hint="default" w:ascii="Arial" w:hAnsi="Arial" w:cs="Arial"/>
      <w:color w:val="000000"/>
      <w:sz w:val="20"/>
      <w:szCs w:val="20"/>
      <w:u w:val="none"/>
    </w:rPr>
  </w:style>
  <w:style w:type="paragraph" w:styleId="19">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0">
    <w:name w:val="正文1"/>
    <w:qFormat/>
    <w:uiPriority w:val="0"/>
    <w:pPr>
      <w:jc w:val="both"/>
    </w:pPr>
    <w:rPr>
      <w:rFonts w:ascii="Times New Roman" w:hAnsi="Times New Roman" w:eastAsia="宋体" w:cs="Times New Roman"/>
      <w:sz w:val="21"/>
      <w:szCs w:val="24"/>
      <w:lang w:val="en-US" w:eastAsia="zh-CN" w:bidi="ar-SA"/>
    </w:rPr>
  </w:style>
  <w:style w:type="paragraph" w:customStyle="1" w:styleId="21">
    <w:name w:val="_Style 7"/>
    <w:basedOn w:val="2"/>
    <w:next w:val="1"/>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2">
    <w:name w:val="List Paragraph_40b67d30-6b8b-4697-8f49-97c11e174001"/>
    <w:basedOn w:val="1"/>
    <w:qFormat/>
    <w:uiPriority w:val="0"/>
    <w:pPr>
      <w:widowControl w:val="0"/>
      <w:spacing w:line="240" w:lineRule="auto"/>
      <w:ind w:firstLine="420" w:firstLineChars="200"/>
    </w:pPr>
    <w:rPr>
      <w:rFonts w:ascii="Calibri" w:hAnsi="Calibri" w:eastAsia="宋体" w:cs="宋体"/>
      <w:kern w:val="2"/>
      <w:szCs w:val="22"/>
    </w:rPr>
  </w:style>
  <w:style w:type="paragraph" w:customStyle="1" w:styleId="23">
    <w:name w:val="Table Paragraph"/>
    <w:basedOn w:val="1"/>
    <w:qFormat/>
    <w:uiPriority w:val="0"/>
    <w:pPr>
      <w:widowControl w:val="0"/>
      <w:spacing w:line="240" w:lineRule="auto"/>
    </w:pPr>
    <w:rPr>
      <w:rFonts w:ascii="Calibri" w:hAnsi="Calibri" w:eastAsia="宋体" w:cs="宋体"/>
      <w:kern w:val="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8750</Words>
  <Characters>9326</Characters>
  <Lines>0</Lines>
  <Paragraphs>0</Paragraphs>
  <TotalTime>216</TotalTime>
  <ScaleCrop>false</ScaleCrop>
  <LinksUpToDate>false</LinksUpToDate>
  <CharactersWithSpaces>9582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2024-11-18T09:10:03Z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5A810408238B4EA1BDD53AB4733D52A3_13</vt:lpwstr>
  </property>
</Properties>
</file>