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10"/>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10"/>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10"/>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10"/>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10"/>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10"/>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10"/>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桂林市人民医院网络设备与安全运维服务</w:t>
      </w:r>
      <w:r>
        <w:rPr>
          <w:rFonts w:hint="eastAsia" w:hAnsi="宋体" w:cs="宋体"/>
          <w:b/>
          <w:bCs/>
          <w:sz w:val="48"/>
          <w:szCs w:val="48"/>
          <w:lang w:val="en-US" w:eastAsia="zh-CN"/>
        </w:rPr>
        <w:t>项目</w:t>
      </w:r>
    </w:p>
    <w:p w14:paraId="593EAC42">
      <w:pPr>
        <w:pStyle w:val="10"/>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2ADD2F62">
      <w:pPr>
        <w:pStyle w:val="10"/>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10"/>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10"/>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10"/>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10"/>
        <w:pageBreakBefore w:val="0"/>
        <w:kinsoku/>
        <w:wordWrap/>
        <w:overflowPunct/>
        <w:topLinePunct w:val="0"/>
        <w:bidi w:val="0"/>
        <w:spacing w:line="440" w:lineRule="exact"/>
        <w:ind w:firstLine="2695"/>
        <w:textAlignment w:val="auto"/>
        <w:rPr>
          <w:rFonts w:ascii="Arial" w:hAnsi="Arial" w:cs="Arial"/>
          <w:sz w:val="28"/>
        </w:rPr>
      </w:pPr>
    </w:p>
    <w:p w14:paraId="5A07BB12">
      <w:pPr>
        <w:pStyle w:val="10"/>
        <w:pageBreakBefore w:val="0"/>
        <w:kinsoku/>
        <w:wordWrap/>
        <w:overflowPunct/>
        <w:topLinePunct w:val="0"/>
        <w:bidi w:val="0"/>
        <w:spacing w:line="440" w:lineRule="exact"/>
        <w:ind w:firstLine="2695"/>
        <w:textAlignment w:val="auto"/>
        <w:rPr>
          <w:rFonts w:ascii="Arial" w:hAnsi="Arial" w:cs="Arial"/>
          <w:sz w:val="28"/>
        </w:rPr>
      </w:pPr>
    </w:p>
    <w:p w14:paraId="62FED25E">
      <w:pPr>
        <w:pStyle w:val="10"/>
        <w:pageBreakBefore w:val="0"/>
        <w:kinsoku/>
        <w:wordWrap/>
        <w:overflowPunct/>
        <w:topLinePunct w:val="0"/>
        <w:bidi w:val="0"/>
        <w:spacing w:line="440" w:lineRule="exact"/>
        <w:ind w:firstLine="2695"/>
        <w:textAlignment w:val="auto"/>
        <w:rPr>
          <w:rFonts w:ascii="Arial" w:hAnsi="Arial" w:cs="Arial"/>
          <w:sz w:val="28"/>
        </w:rPr>
      </w:pPr>
    </w:p>
    <w:p w14:paraId="443AF259">
      <w:pPr>
        <w:pStyle w:val="10"/>
        <w:pageBreakBefore w:val="0"/>
        <w:kinsoku/>
        <w:wordWrap/>
        <w:overflowPunct/>
        <w:topLinePunct w:val="0"/>
        <w:bidi w:val="0"/>
        <w:spacing w:line="440" w:lineRule="exact"/>
        <w:ind w:firstLine="2695"/>
        <w:textAlignment w:val="auto"/>
        <w:rPr>
          <w:rFonts w:ascii="Arial" w:hAnsi="Arial" w:cs="Arial"/>
          <w:sz w:val="28"/>
        </w:rPr>
      </w:pPr>
    </w:p>
    <w:p w14:paraId="66F99C5A">
      <w:pPr>
        <w:pStyle w:val="10"/>
        <w:pageBreakBefore w:val="0"/>
        <w:kinsoku/>
        <w:wordWrap/>
        <w:overflowPunct/>
        <w:topLinePunct w:val="0"/>
        <w:bidi w:val="0"/>
        <w:spacing w:line="440" w:lineRule="exact"/>
        <w:textAlignment w:val="auto"/>
        <w:rPr>
          <w:rFonts w:ascii="Arial" w:hAnsi="Arial" w:cs="Arial"/>
          <w:sz w:val="28"/>
        </w:rPr>
      </w:pPr>
    </w:p>
    <w:p w14:paraId="4CF2AB8E">
      <w:pPr>
        <w:pStyle w:val="10"/>
        <w:pageBreakBefore w:val="0"/>
        <w:kinsoku/>
        <w:wordWrap/>
        <w:overflowPunct/>
        <w:topLinePunct w:val="0"/>
        <w:bidi w:val="0"/>
        <w:spacing w:line="440" w:lineRule="exact"/>
        <w:textAlignment w:val="auto"/>
        <w:rPr>
          <w:rFonts w:ascii="Arial" w:hAnsi="Arial" w:cs="Arial"/>
          <w:sz w:val="28"/>
        </w:rPr>
      </w:pPr>
    </w:p>
    <w:p w14:paraId="4BF9B335">
      <w:pPr>
        <w:pStyle w:val="10"/>
        <w:pageBreakBefore w:val="0"/>
        <w:kinsoku/>
        <w:wordWrap/>
        <w:overflowPunct/>
        <w:topLinePunct w:val="0"/>
        <w:bidi w:val="0"/>
        <w:spacing w:line="440" w:lineRule="exact"/>
        <w:textAlignment w:val="auto"/>
        <w:rPr>
          <w:rFonts w:ascii="Arial" w:hAnsi="Arial" w:cs="Arial"/>
          <w:sz w:val="28"/>
        </w:rPr>
      </w:pPr>
    </w:p>
    <w:p w14:paraId="1136FD6C">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2</w:t>
      </w:r>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  </w:t>
      </w:r>
      <w:r>
        <w:rPr>
          <w:rFonts w:hint="eastAsia" w:ascii="宋体" w:hAnsi="宋体" w:eastAsia="宋体" w:cs="宋体"/>
          <w:b/>
          <w:bCs/>
          <w:sz w:val="36"/>
          <w:szCs w:val="36"/>
          <w:highlight w:val="none"/>
          <w:lang w:val="en-US" w:eastAsia="zh-CN"/>
        </w:rPr>
        <w:t>日</w:t>
      </w:r>
    </w:p>
    <w:p w14:paraId="401C2573">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10"/>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27"/>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9"/>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22"/>
          <w:rFonts w:ascii="Arial" w:hAnsi="Arial" w:cs="Arial"/>
          <w:color w:val="auto"/>
          <w:sz w:val="24"/>
        </w:rPr>
        <w:instrText xml:space="preserve"> </w:instrText>
      </w:r>
      <w:r>
        <w:rPr>
          <w:rFonts w:ascii="Arial" w:hAnsi="Arial" w:cs="Arial"/>
          <w:sz w:val="24"/>
        </w:rPr>
        <w:instrText xml:space="preserve">HYPERLINK \l "_Toc33820534"</w:instrText>
      </w:r>
      <w:r>
        <w:rPr>
          <w:rStyle w:val="22"/>
          <w:rFonts w:ascii="Arial" w:hAnsi="Arial" w:cs="Arial"/>
          <w:color w:val="auto"/>
          <w:sz w:val="24"/>
        </w:rPr>
        <w:instrText xml:space="preserve"> </w:instrText>
      </w:r>
      <w:r>
        <w:rPr>
          <w:rFonts w:ascii="Arial" w:hAnsi="Arial" w:cs="Arial"/>
          <w:sz w:val="24"/>
        </w:rPr>
        <w:fldChar w:fldCharType="separate"/>
      </w:r>
      <w:r>
        <w:rPr>
          <w:rStyle w:val="22"/>
          <w:rFonts w:ascii="Arial" w:cs="Arial"/>
          <w:color w:val="auto"/>
          <w:sz w:val="24"/>
        </w:rPr>
        <w:t>第一章</w:t>
      </w:r>
      <w:r>
        <w:rPr>
          <w:rStyle w:val="22"/>
          <w:rFonts w:ascii="Arial" w:hAnsi="Arial" w:cs="Arial"/>
          <w:color w:val="auto"/>
          <w:sz w:val="24"/>
        </w:rPr>
        <w:t xml:space="preserve">  </w:t>
      </w:r>
      <w:r>
        <w:rPr>
          <w:rStyle w:val="22"/>
          <w:rFonts w:hint="eastAsia" w:ascii="Arial" w:cs="Arial"/>
          <w:color w:val="auto"/>
          <w:sz w:val="24"/>
          <w:lang w:val="en-US" w:eastAsia="zh-CN"/>
        </w:rPr>
        <w:t>议价</w:t>
      </w:r>
      <w:r>
        <w:rPr>
          <w:rStyle w:val="22"/>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1A70B04C">
      <w:pPr>
        <w:pStyle w:val="9"/>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22"/>
          <w:rFonts w:ascii="Arial" w:hAnsi="Arial" w:cs="Arial"/>
          <w:color w:val="auto"/>
          <w:sz w:val="24"/>
        </w:rPr>
        <w:instrText xml:space="preserve"> </w:instrText>
      </w:r>
      <w:r>
        <w:rPr>
          <w:rFonts w:ascii="Arial" w:hAnsi="Arial" w:cs="Arial"/>
          <w:sz w:val="24"/>
        </w:rPr>
        <w:instrText xml:space="preserve">HYPERLINK \l "_Toc33820536"</w:instrText>
      </w:r>
      <w:r>
        <w:rPr>
          <w:rStyle w:val="22"/>
          <w:rFonts w:ascii="Arial" w:hAnsi="Arial" w:cs="Arial"/>
          <w:color w:val="auto"/>
          <w:sz w:val="24"/>
        </w:rPr>
        <w:instrText xml:space="preserve"> </w:instrText>
      </w:r>
      <w:r>
        <w:rPr>
          <w:rFonts w:ascii="Arial" w:hAnsi="Arial" w:cs="Arial"/>
          <w:sz w:val="24"/>
        </w:rPr>
        <w:fldChar w:fldCharType="separate"/>
      </w:r>
      <w:r>
        <w:rPr>
          <w:rStyle w:val="22"/>
          <w:rFonts w:ascii="Arial" w:cs="Arial"/>
          <w:color w:val="auto"/>
          <w:sz w:val="24"/>
        </w:rPr>
        <w:t>第</w:t>
      </w:r>
      <w:r>
        <w:rPr>
          <w:rStyle w:val="22"/>
          <w:rFonts w:hint="eastAsia" w:ascii="Arial" w:cs="Arial"/>
          <w:color w:val="auto"/>
          <w:sz w:val="24"/>
          <w:lang w:val="en-US" w:eastAsia="zh-CN"/>
        </w:rPr>
        <w:t>二</w:t>
      </w:r>
      <w:r>
        <w:rPr>
          <w:rStyle w:val="22"/>
          <w:rFonts w:ascii="Arial" w:cs="Arial"/>
          <w:color w:val="auto"/>
          <w:sz w:val="24"/>
        </w:rPr>
        <w:t>章</w:t>
      </w:r>
      <w:r>
        <w:rPr>
          <w:rStyle w:val="22"/>
          <w:rFonts w:ascii="Arial" w:hAnsi="Arial" w:cs="Arial"/>
          <w:color w:val="auto"/>
          <w:sz w:val="24"/>
        </w:rPr>
        <w:t xml:space="preserve">  </w:t>
      </w:r>
      <w:r>
        <w:rPr>
          <w:rStyle w:val="22"/>
          <w:rFonts w:ascii="Arial" w:cs="Arial"/>
          <w:color w:val="auto"/>
          <w:sz w:val="24"/>
        </w:rPr>
        <w:t>项目需求和说明</w:t>
      </w:r>
      <w:r>
        <w:rPr>
          <w:rFonts w:ascii="Arial" w:hAnsi="Arial" w:cs="Arial"/>
          <w:sz w:val="24"/>
        </w:rPr>
        <w:tab/>
      </w:r>
      <w:r>
        <w:rPr>
          <w:rFonts w:hint="eastAsia" w:ascii="Arial" w:hAnsi="Arial" w:cs="Arial"/>
          <w:sz w:val="24"/>
          <w:lang w:val="en-US" w:eastAsia="zh-CN"/>
        </w:rPr>
        <w:t>5</w:t>
      </w:r>
      <w:r>
        <w:rPr>
          <w:rFonts w:ascii="Arial" w:hAnsi="Arial" w:cs="Arial"/>
          <w:sz w:val="24"/>
        </w:rPr>
        <w:fldChar w:fldCharType="end"/>
      </w:r>
    </w:p>
    <w:p w14:paraId="17C0D9A4">
      <w:pPr>
        <w:pStyle w:val="9"/>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第三章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23</w:t>
      </w:r>
      <w:bookmarkStart w:id="0" w:name="_GoBack"/>
      <w:bookmarkEnd w:id="0"/>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688055F9">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现有桂林市人民医院网络设备与安全运维服务</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2368940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一</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w:t>
      </w:r>
      <w:r>
        <w:rPr>
          <w:rFonts w:hint="eastAsia" w:ascii="宋体" w:hAnsi="宋体" w:eastAsia="宋体" w:cs="宋体"/>
          <w:color w:val="auto"/>
          <w:sz w:val="24"/>
          <w:szCs w:val="24"/>
        </w:rPr>
        <w:t>网络设备与安全运维服务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lang w:eastAsia="zh-CN"/>
        </w:rPr>
        <w:t>）</w:t>
      </w:r>
      <w:r>
        <w:rPr>
          <w:rFonts w:hint="eastAsia" w:ascii="宋体" w:hAnsi="宋体" w:eastAsia="宋体" w:cs="宋体"/>
          <w:b/>
          <w:bCs/>
          <w:color w:val="auto"/>
          <w:sz w:val="24"/>
          <w:szCs w:val="24"/>
        </w:rPr>
        <w:t>项目编号：</w:t>
      </w:r>
      <w:r>
        <w:rPr>
          <w:rFonts w:hint="eastAsia" w:ascii="宋体" w:hAnsi="宋体" w:cs="宋体"/>
          <w:color w:val="auto"/>
          <w:sz w:val="24"/>
          <w:szCs w:val="24"/>
          <w:lang w:val="en-US" w:eastAsia="zh-CN"/>
        </w:rPr>
        <w:t>XXK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4</w:t>
      </w:r>
    </w:p>
    <w:p w14:paraId="4A9F6A7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480" w:leftChars="0"/>
        <w:textAlignment w:val="auto"/>
        <w:rPr>
          <w:rFonts w:hint="eastAsia" w:ascii="宋体" w:hAnsi="宋体" w:cs="宋体"/>
          <w:color w:val="auto"/>
          <w:sz w:val="24"/>
          <w:szCs w:val="24"/>
          <w:lang w:val="en-US" w:eastAsia="zh-CN"/>
        </w:rPr>
      </w:pP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lang w:eastAsia="zh-CN"/>
        </w:rPr>
        <w:t>）</w:t>
      </w:r>
      <w:r>
        <w:rPr>
          <w:rFonts w:hint="eastAsia" w:ascii="宋体" w:hAnsi="宋体" w:cs="宋体"/>
          <w:b/>
          <w:bCs/>
          <w:color w:val="auto"/>
          <w:sz w:val="24"/>
          <w:szCs w:val="24"/>
          <w:lang w:val="en-US" w:eastAsia="zh-CN"/>
        </w:rPr>
        <w:t>项目概况：</w:t>
      </w:r>
    </w:p>
    <w:p w14:paraId="26FF692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b w:val="0"/>
          <w:bCs w:val="0"/>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通过</w:t>
      </w:r>
      <w:r>
        <w:rPr>
          <w:rFonts w:hint="eastAsia" w:ascii="宋体" w:hAnsi="宋体" w:cs="宋体"/>
          <w:color w:val="auto"/>
          <w:sz w:val="24"/>
          <w:szCs w:val="24"/>
          <w:lang w:val="en-US" w:eastAsia="zh-CN"/>
        </w:rPr>
        <w:t>院内询价确定桂林市人民医院</w:t>
      </w:r>
      <w:r>
        <w:rPr>
          <w:rFonts w:hint="eastAsia" w:ascii="宋体" w:hAnsi="宋体" w:eastAsia="宋体" w:cs="宋体"/>
          <w:b w:val="0"/>
          <w:bCs w:val="0"/>
          <w:color w:val="000000" w:themeColor="text1"/>
          <w:kern w:val="0"/>
          <w:sz w:val="24"/>
          <w:szCs w:val="24"/>
          <w:lang w:val="en-US" w:eastAsia="zh-CN" w:bidi="ar"/>
          <w14:textFill>
            <w14:solidFill>
              <w14:schemeClr w14:val="tx1"/>
            </w14:solidFill>
          </w14:textFill>
        </w:rPr>
        <w:t>2025年网络设备与安全运维服务</w:t>
      </w:r>
      <w:r>
        <w:rPr>
          <w:rFonts w:hint="eastAsia" w:ascii="宋体" w:hAnsi="宋体" w:cs="宋体"/>
          <w:b w:val="0"/>
          <w:bCs w:val="0"/>
          <w:color w:val="000000" w:themeColor="text1"/>
          <w:kern w:val="0"/>
          <w:sz w:val="24"/>
          <w:szCs w:val="24"/>
          <w:lang w:val="en-US" w:eastAsia="zh-CN" w:bidi="ar"/>
          <w14:textFill>
            <w14:solidFill>
              <w14:schemeClr w14:val="tx1"/>
            </w14:solidFill>
          </w14:textFill>
        </w:rPr>
        <w:t>供应商</w:t>
      </w:r>
    </w:p>
    <w:p w14:paraId="76DE910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服务地点：</w:t>
      </w:r>
      <w:r>
        <w:rPr>
          <w:rFonts w:hint="eastAsia" w:ascii="宋体" w:hAnsi="宋体" w:eastAsia="宋体" w:cs="宋体"/>
          <w:color w:val="auto"/>
          <w:sz w:val="24"/>
          <w:szCs w:val="24"/>
          <w:lang w:val="en-US" w:eastAsia="zh-CN"/>
        </w:rPr>
        <w:t>桂林</w:t>
      </w:r>
      <w:r>
        <w:rPr>
          <w:rFonts w:hint="eastAsia" w:ascii="宋体" w:hAnsi="宋体" w:eastAsia="宋体" w:cs="宋体"/>
          <w:color w:val="auto"/>
          <w:sz w:val="24"/>
          <w:szCs w:val="24"/>
          <w:lang w:eastAsia="zh-CN"/>
        </w:rPr>
        <w:t>市人民医院</w:t>
      </w:r>
    </w:p>
    <w:p w14:paraId="5ED5D7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.合同期限：1年</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四</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资金来源：</w:t>
      </w:r>
      <w:r>
        <w:rPr>
          <w:rFonts w:hint="eastAsia" w:ascii="宋体" w:hAnsi="宋体" w:eastAsia="宋体" w:cs="宋体"/>
          <w:color w:val="auto"/>
          <w:sz w:val="24"/>
          <w:szCs w:val="24"/>
        </w:rPr>
        <w:t>自筹资金</w:t>
      </w:r>
    </w:p>
    <w:p w14:paraId="53DD123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（五）预算金额：</w:t>
      </w:r>
      <w:r>
        <w:rPr>
          <w:rFonts w:hint="eastAsia" w:ascii="宋体" w:hAnsi="宋体" w:cs="宋体"/>
          <w:color w:val="auto"/>
          <w:sz w:val="24"/>
          <w:szCs w:val="24"/>
          <w:highlight w:val="none"/>
          <w:lang w:val="en-US" w:eastAsia="zh-CN"/>
        </w:rPr>
        <w:t>27.3</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w:t>
      </w:r>
    </w:p>
    <w:p w14:paraId="49A8ADE8">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lang w:val="en-US"/>
        </w:rPr>
      </w:pPr>
      <w:r>
        <w:rPr>
          <w:rFonts w:hint="eastAsia" w:ascii="宋体" w:hAnsi="宋体" w:cs="宋体"/>
          <w:b/>
          <w:bCs/>
          <w:color w:val="auto"/>
          <w:sz w:val="24"/>
          <w:szCs w:val="24"/>
          <w:lang w:val="en-US" w:eastAsia="zh-CN"/>
        </w:rPr>
        <w:t>（六）最高限价</w:t>
      </w:r>
      <w:r>
        <w:rPr>
          <w:rFonts w:hint="eastAsia" w:ascii="宋体" w:hAnsi="宋体" w:eastAsia="宋体" w:cs="宋体"/>
          <w:b/>
          <w:bCs/>
          <w:color w:val="auto"/>
          <w:sz w:val="24"/>
          <w:szCs w:val="24"/>
          <w:lang w:val="en-US" w:eastAsia="zh-CN"/>
        </w:rPr>
        <w:t>：</w:t>
      </w:r>
      <w:r>
        <w:rPr>
          <w:rFonts w:hint="eastAsia" w:ascii="宋体" w:hAnsi="宋体" w:eastAsia="宋体" w:cs="宋体"/>
          <w:spacing w:val="-2"/>
          <w:sz w:val="24"/>
          <w:szCs w:val="24"/>
        </w:rPr>
        <w:t>本项目预算金额为</w:t>
      </w:r>
      <w:r>
        <w:rPr>
          <w:rFonts w:hint="eastAsia" w:ascii="宋体" w:hAnsi="宋体" w:eastAsia="宋体" w:cs="宋体"/>
          <w:sz w:val="24"/>
          <w:szCs w:val="24"/>
        </w:rPr>
        <w:t>人民币</w:t>
      </w:r>
      <w:r>
        <w:rPr>
          <w:rFonts w:hint="eastAsia" w:ascii="宋体" w:hAnsi="宋体" w:eastAsia="宋体" w:cs="宋体"/>
          <w:sz w:val="24"/>
          <w:szCs w:val="24"/>
          <w:lang w:val="en-US" w:eastAsia="zh-CN"/>
        </w:rPr>
        <w:t>贰拾柒万叁仟元</w:t>
      </w:r>
      <w:r>
        <w:rPr>
          <w:rFonts w:hint="eastAsia" w:ascii="宋体" w:hAnsi="宋体" w:eastAsia="宋体" w:cs="宋体"/>
          <w:sz w:val="24"/>
          <w:szCs w:val="24"/>
        </w:rPr>
        <w:t>整（¥</w:t>
      </w:r>
      <w:r>
        <w:rPr>
          <w:rFonts w:hint="eastAsia" w:ascii="宋体" w:hAnsi="宋体" w:eastAsia="宋体" w:cs="宋体"/>
          <w:sz w:val="24"/>
          <w:szCs w:val="24"/>
          <w:lang w:val="en-US" w:eastAsia="zh-CN"/>
        </w:rPr>
        <w:t>273000</w:t>
      </w:r>
      <w:r>
        <w:rPr>
          <w:rFonts w:hint="eastAsia" w:ascii="宋体" w:hAnsi="宋体" w:eastAsia="宋体" w:cs="宋体"/>
          <w:sz w:val="24"/>
          <w:szCs w:val="24"/>
        </w:rPr>
        <w:t>.00元）</w:t>
      </w:r>
      <w:r>
        <w:rPr>
          <w:rFonts w:hint="eastAsia" w:ascii="宋体" w:hAnsi="宋体" w:eastAsia="宋体" w:cs="宋体"/>
          <w:spacing w:val="-2"/>
          <w:sz w:val="24"/>
          <w:szCs w:val="24"/>
        </w:rPr>
        <w:t>，供应商报价超出参考预算金额的，按无效处理。</w:t>
      </w:r>
      <w:r>
        <w:rPr>
          <w:rFonts w:hint="eastAsia" w:eastAsia="方正大标宋简体"/>
          <w:b w:val="0"/>
          <w:sz w:val="30"/>
          <w:szCs w:val="30"/>
          <w:lang w:val="en-US" w:eastAsia="zh-CN"/>
        </w:rPr>
        <w:t xml:space="preserve">                   </w:t>
      </w:r>
    </w:p>
    <w:p w14:paraId="798984E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lang w:val="en-US" w:eastAsia="zh-CN"/>
        </w:rPr>
        <w:t>资质条件要求</w:t>
      </w:r>
    </w:p>
    <w:p w14:paraId="40DEB7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国内注册【依法在市场监督管理部门（或行政审批部门）登记注册】的，具</w:t>
      </w:r>
      <w:r>
        <w:rPr>
          <w:rFonts w:hint="eastAsia" w:ascii="宋体" w:hAnsi="宋体" w:eastAsia="宋体" w:cs="宋体"/>
          <w:color w:val="auto"/>
          <w:sz w:val="24"/>
          <w:szCs w:val="24"/>
          <w:lang w:val="en-US" w:eastAsia="zh-CN"/>
        </w:rPr>
        <w:t>备合法</w:t>
      </w:r>
      <w:r>
        <w:rPr>
          <w:rFonts w:hint="eastAsia" w:ascii="宋体" w:hAnsi="宋体" w:eastAsia="宋体" w:cs="宋体"/>
          <w:color w:val="auto"/>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具</w:t>
      </w:r>
      <w:r>
        <w:rPr>
          <w:rFonts w:hint="eastAsia" w:ascii="宋体" w:hAnsi="宋体" w:eastAsia="宋体" w:cs="宋体"/>
          <w:color w:val="auto"/>
          <w:sz w:val="24"/>
          <w:szCs w:val="24"/>
          <w:lang w:eastAsia="zh-CN"/>
        </w:rPr>
        <w:t>备</w:t>
      </w:r>
      <w:r>
        <w:rPr>
          <w:rFonts w:hint="eastAsia" w:ascii="宋体" w:hAnsi="宋体" w:eastAsia="宋体" w:cs="宋体"/>
          <w:color w:val="auto"/>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参加本</w:t>
      </w:r>
      <w:r>
        <w:rPr>
          <w:rFonts w:hint="eastAsia" w:ascii="宋体" w:hAnsi="宋体" w:eastAsia="宋体" w:cs="宋体"/>
          <w:color w:val="auto"/>
          <w:sz w:val="24"/>
          <w:szCs w:val="24"/>
          <w:lang w:eastAsia="zh-CN"/>
        </w:rPr>
        <w:t>议价采购</w:t>
      </w:r>
      <w:r>
        <w:rPr>
          <w:rFonts w:hint="eastAsia" w:ascii="宋体" w:hAnsi="宋体" w:eastAsia="宋体" w:cs="宋体"/>
          <w:color w:val="auto"/>
          <w:sz w:val="24"/>
          <w:szCs w:val="24"/>
        </w:rPr>
        <w:t>活动前三年内，在经营活动中没有重大违法记录</w:t>
      </w:r>
      <w:r>
        <w:rPr>
          <w:rFonts w:hint="eastAsia" w:ascii="宋体" w:hAnsi="宋体" w:eastAsia="宋体" w:cs="宋体"/>
          <w:color w:val="auto"/>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三</w:t>
      </w:r>
      <w:r>
        <w:rPr>
          <w:rFonts w:hint="eastAsia" w:ascii="宋体" w:hAnsi="宋体" w:eastAsia="宋体" w:cs="宋体"/>
          <w:b/>
          <w:bCs/>
          <w:color w:val="auto"/>
          <w:sz w:val="24"/>
          <w:szCs w:val="24"/>
          <w:lang w:val="en-US" w:eastAsia="zh-CN"/>
        </w:rPr>
        <w:t>、报名时间、方式及获取议价文件方式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报名</w:t>
      </w:r>
      <w:r>
        <w:rPr>
          <w:rFonts w:hint="eastAsia" w:ascii="宋体" w:hAnsi="宋体" w:eastAsia="宋体" w:cs="宋体"/>
          <w:color w:val="auto"/>
          <w:sz w:val="24"/>
          <w:szCs w:val="24"/>
          <w:lang w:eastAsia="zh-CN"/>
        </w:rPr>
        <w:t>时间：20</w:t>
      </w:r>
      <w:r>
        <w:rPr>
          <w:rFonts w:hint="eastAsia" w:ascii="宋体" w:hAnsi="宋体" w:eastAsia="宋体" w:cs="宋体"/>
          <w:color w:val="auto"/>
          <w:sz w:val="24"/>
          <w:szCs w:val="24"/>
          <w:lang w:val="en-US" w:eastAsia="zh-CN"/>
        </w:rPr>
        <w:t>24</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月XX日至</w:t>
      </w:r>
      <w:r>
        <w:rPr>
          <w:rFonts w:hint="eastAsia" w:ascii="宋体" w:hAnsi="宋体" w:eastAsia="宋体" w:cs="宋体"/>
          <w:color w:val="auto"/>
          <w:sz w:val="24"/>
          <w:szCs w:val="24"/>
          <w:lang w:val="en-US" w:eastAsia="zh-CN"/>
        </w:rPr>
        <w:t>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eastAsia="zh-CN"/>
        </w:rPr>
        <w:t>月XX日</w:t>
      </w:r>
      <w:r>
        <w:rPr>
          <w:rFonts w:hint="eastAsia" w:ascii="宋体" w:hAnsi="宋体" w:eastAsia="宋体" w:cs="宋体"/>
          <w:color w:val="auto"/>
          <w:sz w:val="24"/>
          <w:szCs w:val="24"/>
          <w:lang w:val="en-US" w:eastAsia="zh-CN"/>
        </w:rPr>
        <w:t>17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0</w:t>
      </w:r>
      <w:r>
        <w:rPr>
          <w:rFonts w:hint="eastAsia" w:ascii="宋体" w:hAnsi="宋体" w:eastAsia="宋体" w:cs="宋体"/>
          <w:color w:val="auto"/>
          <w:sz w:val="24"/>
          <w:szCs w:val="24"/>
          <w:lang w:val="en-US" w:eastAsia="zh-CN"/>
        </w:rPr>
        <w:t>时止</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报名方式</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网上报名。请潜在供应商自行下载附件《</w:t>
      </w:r>
      <w:r>
        <w:rPr>
          <w:rFonts w:hint="eastAsia" w:ascii="宋体" w:hAnsi="宋体" w:eastAsia="宋体" w:cs="宋体"/>
          <w:color w:val="auto"/>
          <w:sz w:val="24"/>
          <w:szCs w:val="24"/>
          <w:lang w:eastAsia="zh-CN"/>
        </w:rPr>
        <w:t>报名表》，</w:t>
      </w:r>
      <w:r>
        <w:rPr>
          <w:rFonts w:hint="eastAsia" w:ascii="宋体" w:hAnsi="宋体" w:eastAsia="宋体" w:cs="宋体"/>
          <w:color w:val="auto"/>
          <w:sz w:val="24"/>
          <w:szCs w:val="24"/>
          <w:lang w:val="en-US" w:eastAsia="zh-CN"/>
        </w:rPr>
        <w:t>并</w:t>
      </w:r>
      <w:r>
        <w:rPr>
          <w:rFonts w:hint="eastAsia" w:ascii="宋体" w:hAnsi="宋体" w:eastAsia="宋体" w:cs="宋体"/>
          <w:color w:val="auto"/>
          <w:sz w:val="24"/>
          <w:szCs w:val="24"/>
          <w:lang w:eastAsia="zh-CN"/>
        </w:rPr>
        <w:t>按《</w:t>
      </w:r>
      <w:r>
        <w:rPr>
          <w:rFonts w:hint="eastAsia" w:ascii="宋体" w:hAnsi="宋体" w:eastAsia="宋体" w:cs="宋体"/>
          <w:color w:val="auto"/>
          <w:sz w:val="24"/>
          <w:szCs w:val="24"/>
          <w:lang w:val="en-US" w:eastAsia="zh-CN"/>
        </w:rPr>
        <w:t>报名表》的格式内容</w:t>
      </w:r>
      <w:r>
        <w:rPr>
          <w:rFonts w:hint="eastAsia" w:ascii="宋体" w:hAnsi="宋体" w:eastAsia="宋体" w:cs="宋体"/>
          <w:color w:val="auto"/>
          <w:sz w:val="24"/>
          <w:szCs w:val="24"/>
          <w:lang w:eastAsia="zh-CN"/>
        </w:rPr>
        <w:t>填写</w:t>
      </w:r>
      <w:r>
        <w:rPr>
          <w:rFonts w:hint="eastAsia" w:ascii="宋体" w:hAnsi="宋体" w:eastAsia="宋体" w:cs="宋体"/>
          <w:color w:val="auto"/>
          <w:sz w:val="24"/>
          <w:szCs w:val="24"/>
          <w:lang w:val="en-US" w:eastAsia="zh-CN"/>
        </w:rPr>
        <w:t>相关信息，同时</w:t>
      </w:r>
      <w:r>
        <w:rPr>
          <w:rFonts w:hint="eastAsia" w:ascii="宋体" w:hAnsi="宋体" w:eastAsia="宋体" w:cs="宋体"/>
          <w:color w:val="auto"/>
          <w:sz w:val="24"/>
          <w:szCs w:val="24"/>
          <w:lang w:eastAsia="zh-CN"/>
        </w:rPr>
        <w:t>附上</w:t>
      </w:r>
      <w:r>
        <w:rPr>
          <w:rFonts w:hint="eastAsia" w:ascii="宋体" w:hAnsi="宋体" w:cs="宋体"/>
          <w:color w:val="auto"/>
          <w:sz w:val="24"/>
          <w:szCs w:val="24"/>
          <w:lang w:val="en-US" w:eastAsia="zh-CN"/>
        </w:rPr>
        <w:t>营业执照、</w:t>
      </w:r>
      <w:r>
        <w:rPr>
          <w:rFonts w:hint="eastAsia" w:ascii="宋体" w:hAnsi="宋体" w:eastAsia="宋体" w:cs="宋体"/>
          <w:color w:val="auto"/>
          <w:sz w:val="24"/>
          <w:szCs w:val="24"/>
          <w:lang w:eastAsia="zh-CN"/>
        </w:rPr>
        <w:t>“信用中国(www.creditchina.gov.cn)”</w:t>
      </w:r>
      <w:r>
        <w:rPr>
          <w:rFonts w:hint="eastAsia" w:ascii="宋体" w:hAnsi="宋体" w:eastAsia="宋体" w:cs="宋体"/>
          <w:color w:val="auto"/>
          <w:sz w:val="24"/>
          <w:szCs w:val="24"/>
          <w:lang w:val="en-US" w:eastAsia="zh-CN"/>
        </w:rPr>
        <w:t>上打印的信用查询记录，</w:t>
      </w:r>
      <w:r>
        <w:rPr>
          <w:rFonts w:hint="eastAsia" w:ascii="宋体" w:hAnsi="宋体" w:eastAsia="宋体" w:cs="宋体"/>
          <w:color w:val="auto"/>
          <w:sz w:val="24"/>
          <w:szCs w:val="24"/>
          <w:lang w:eastAsia="zh-CN"/>
        </w:rPr>
        <w:t>以及中国政府采购网(www.ccgp.gov.cn)相关信息。</w:t>
      </w:r>
      <w:r>
        <w:rPr>
          <w:rFonts w:hint="eastAsia" w:ascii="宋体" w:hAnsi="宋体" w:eastAsia="宋体" w:cs="宋体"/>
          <w:color w:val="auto"/>
          <w:sz w:val="24"/>
          <w:szCs w:val="24"/>
          <w:lang w:val="en-US" w:eastAsia="zh-CN"/>
        </w:rPr>
        <w:t>供应商将上述材料填写准备好后</w:t>
      </w:r>
      <w:r>
        <w:rPr>
          <w:rFonts w:hint="eastAsia" w:ascii="宋体" w:hAnsi="宋体" w:eastAsia="宋体" w:cs="宋体"/>
          <w:color w:val="auto"/>
          <w:sz w:val="24"/>
          <w:szCs w:val="24"/>
          <w:lang w:eastAsia="zh-CN"/>
        </w:rPr>
        <w:t>发</w:t>
      </w:r>
      <w:r>
        <w:rPr>
          <w:rFonts w:hint="eastAsia" w:ascii="宋体" w:hAnsi="宋体" w:eastAsia="宋体" w:cs="宋体"/>
          <w:color w:val="auto"/>
          <w:sz w:val="24"/>
          <w:szCs w:val="24"/>
          <w:lang w:val="en-US" w:eastAsia="zh-CN"/>
        </w:rPr>
        <w:t>至</w:t>
      </w:r>
      <w:r>
        <w:rPr>
          <w:rFonts w:hint="eastAsia" w:ascii="宋体" w:hAnsi="宋体" w:eastAsia="宋体" w:cs="宋体"/>
          <w:color w:val="auto"/>
          <w:sz w:val="24"/>
          <w:szCs w:val="24"/>
          <w:lang w:eastAsia="zh-CN"/>
        </w:rPr>
        <w:t>邮箱（</w:t>
      </w:r>
      <w:r>
        <w:rPr>
          <w:rFonts w:hint="eastAsia" w:ascii="宋体" w:hAnsi="宋体" w:eastAsia="宋体" w:cs="宋体"/>
          <w:color w:val="auto"/>
          <w:sz w:val="24"/>
          <w:szCs w:val="24"/>
          <w:lang w:val="en-US" w:eastAsia="zh-CN"/>
        </w:rPr>
        <w:fldChar w:fldCharType="begin"/>
      </w:r>
      <w:r>
        <w:rPr>
          <w:rFonts w:hint="eastAsia" w:ascii="宋体" w:hAnsi="宋体" w:eastAsia="宋体" w:cs="宋体"/>
          <w:color w:val="auto"/>
          <w:sz w:val="24"/>
          <w:szCs w:val="24"/>
          <w:lang w:val="en-US" w:eastAsia="zh-CN"/>
        </w:rPr>
        <w:instrText xml:space="preserve"> HYPERLINK "mailto:glsrmyyzbb@163.com" </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color w:val="auto"/>
          <w:sz w:val="24"/>
          <w:szCs w:val="24"/>
          <w:lang w:val="en-US" w:eastAsia="zh-CN"/>
        </w:rPr>
        <w:t>glsrmyyzbb</w:t>
      </w:r>
      <w:r>
        <w:rPr>
          <w:rFonts w:hint="eastAsia" w:ascii="宋体" w:hAnsi="宋体" w:eastAsia="宋体" w:cs="宋体"/>
          <w:color w:val="auto"/>
          <w:sz w:val="24"/>
          <w:szCs w:val="24"/>
          <w:lang w:eastAsia="zh-CN"/>
        </w:rPr>
        <w:t>@163.com</w:t>
      </w:r>
      <w:r>
        <w:rPr>
          <w:rFonts w:hint="eastAsia" w:ascii="宋体" w:hAnsi="宋体" w:eastAsia="宋体" w:cs="宋体"/>
          <w:color w:val="auto"/>
          <w:sz w:val="24"/>
          <w:szCs w:val="24"/>
          <w:lang w:val="en-US" w:eastAsia="zh-CN"/>
        </w:rPr>
        <w:fldChar w:fldCharType="end"/>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即完成报名，</w:t>
      </w:r>
      <w:r>
        <w:rPr>
          <w:rFonts w:hint="eastAsia" w:ascii="宋体" w:hAnsi="宋体" w:eastAsia="宋体" w:cs="宋体"/>
          <w:color w:val="auto"/>
          <w:sz w:val="24"/>
          <w:szCs w:val="24"/>
          <w:lang w:val="en-US" w:eastAsia="zh-CN"/>
        </w:rPr>
        <w:t>否则将视为报名不成功。</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报名表》要求WORD版，其他材料加盖公章后上传扫描件</w:t>
      </w:r>
      <w:r>
        <w:rPr>
          <w:rFonts w:hint="eastAsia" w:ascii="宋体" w:hAnsi="宋体" w:eastAsia="宋体" w:cs="宋体"/>
          <w:color w:val="auto"/>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四</w:t>
      </w:r>
      <w:r>
        <w:rPr>
          <w:rFonts w:hint="eastAsia" w:ascii="宋体" w:hAnsi="宋体" w:eastAsia="宋体" w:cs="宋体"/>
          <w:b/>
          <w:bCs/>
          <w:color w:val="auto"/>
          <w:sz w:val="24"/>
          <w:szCs w:val="24"/>
          <w:lang w:val="en-US" w:eastAsia="zh-CN"/>
        </w:rPr>
        <w:t>、议价采购活动要求</w:t>
      </w:r>
    </w:p>
    <w:p w14:paraId="7C25FD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议价时间：</w:t>
      </w:r>
      <w:r>
        <w:rPr>
          <w:rFonts w:hint="eastAsia" w:ascii="宋体" w:hAnsi="宋体" w:eastAsia="宋体" w:cs="宋体"/>
          <w:color w:val="auto"/>
          <w:sz w:val="24"/>
          <w:szCs w:val="24"/>
          <w:lang w:val="en-US" w:eastAsia="zh-CN"/>
        </w:rPr>
        <w:t>议价</w:t>
      </w:r>
      <w:r>
        <w:rPr>
          <w:rFonts w:hint="eastAsia" w:ascii="宋体" w:hAnsi="宋体" w:eastAsia="宋体" w:cs="宋体"/>
          <w:color w:val="auto"/>
          <w:sz w:val="24"/>
          <w:szCs w:val="24"/>
          <w:lang w:eastAsia="zh-CN"/>
        </w:rPr>
        <w:t>具体时间另行</w:t>
      </w:r>
      <w:r>
        <w:rPr>
          <w:rFonts w:hint="eastAsia" w:ascii="宋体" w:hAnsi="宋体" w:eastAsia="宋体" w:cs="宋体"/>
          <w:color w:val="auto"/>
          <w:sz w:val="24"/>
          <w:szCs w:val="24"/>
          <w:lang w:val="en-US" w:eastAsia="zh-CN"/>
        </w:rPr>
        <w:t>通知</w:t>
      </w:r>
      <w:r>
        <w:rPr>
          <w:rFonts w:hint="eastAsia" w:ascii="宋体" w:hAnsi="宋体" w:eastAsia="宋体" w:cs="宋体"/>
          <w:color w:val="auto"/>
          <w:sz w:val="24"/>
          <w:szCs w:val="24"/>
          <w:lang w:eastAsia="zh-CN"/>
        </w:rPr>
        <w:t>，请报名后</w:t>
      </w:r>
      <w:r>
        <w:rPr>
          <w:rFonts w:hint="eastAsia" w:ascii="宋体" w:hAnsi="宋体" w:eastAsia="宋体" w:cs="宋体"/>
          <w:color w:val="auto"/>
          <w:sz w:val="24"/>
          <w:szCs w:val="24"/>
          <w:lang w:val="en-US" w:eastAsia="zh-CN"/>
        </w:rPr>
        <w:t>根据所获取的议价文件要求及时</w:t>
      </w:r>
      <w:r>
        <w:rPr>
          <w:rFonts w:hint="eastAsia" w:ascii="宋体" w:hAnsi="宋体" w:eastAsia="宋体" w:cs="宋体"/>
          <w:color w:val="auto"/>
          <w:sz w:val="24"/>
          <w:szCs w:val="24"/>
          <w:lang w:eastAsia="zh-CN"/>
        </w:rPr>
        <w:t>准备正式</w:t>
      </w:r>
      <w:r>
        <w:rPr>
          <w:rFonts w:hint="eastAsia" w:ascii="宋体" w:hAnsi="宋体" w:eastAsia="宋体" w:cs="宋体"/>
          <w:color w:val="auto"/>
          <w:sz w:val="24"/>
          <w:szCs w:val="24"/>
          <w:lang w:val="en-US" w:eastAsia="zh-CN"/>
        </w:rPr>
        <w:t>的报价文件</w:t>
      </w:r>
      <w:r>
        <w:rPr>
          <w:rFonts w:hint="eastAsia" w:ascii="宋体" w:hAnsi="宋体" w:eastAsia="宋体" w:cs="宋体"/>
          <w:color w:val="auto"/>
          <w:sz w:val="24"/>
          <w:szCs w:val="24"/>
          <w:lang w:eastAsia="zh-CN"/>
        </w:rPr>
        <w:t>。</w:t>
      </w:r>
    </w:p>
    <w:p w14:paraId="40F4D4C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3.报价文件：</w:t>
      </w:r>
    </w:p>
    <w:p w14:paraId="0646280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报价文件组成：必须含有但不限于响应函、营业执照复印件、法定代表人（负责人）身份证复印件、法定代表人授权书原件（委托代理时必须提供）、授权委托代理人身份证复印件以及由县级以上（含县级）社会养老保险经办机构出具的供应商为委托代理人交纳的社保证明（最近半年至少1个月以上）复印件、供应商参加政府采购活动前3年内在经营活动中没有重大违法记录的书面声明、供应商关于政府采购活动中信用信息记录的书面声明、信用中国(www.creditchina.gov.cn)上打印的信用查询记录，以及中国政府采购网(www.ccgp.gov.cn)相关信息、</w:t>
      </w:r>
      <w:r>
        <w:rPr>
          <w:rFonts w:hint="eastAsia" w:ascii="宋体" w:hAnsi="宋体" w:cs="宋体"/>
          <w:color w:val="auto"/>
          <w:sz w:val="24"/>
          <w:szCs w:val="24"/>
          <w:lang w:val="en-US" w:eastAsia="zh-CN"/>
        </w:rPr>
        <w:t>项目报价表、项目实施方案、</w:t>
      </w:r>
      <w:r>
        <w:rPr>
          <w:rFonts w:hint="eastAsia" w:ascii="宋体" w:hAnsi="宋体" w:eastAsia="宋体" w:cs="宋体"/>
          <w:color w:val="auto"/>
          <w:sz w:val="24"/>
          <w:szCs w:val="24"/>
          <w:lang w:val="en-US" w:eastAsia="zh-CN"/>
        </w:rPr>
        <w:t>服务</w:t>
      </w:r>
      <w:r>
        <w:rPr>
          <w:rFonts w:hint="eastAsia" w:ascii="宋体" w:hAnsi="宋体" w:cs="宋体"/>
          <w:color w:val="auto"/>
          <w:sz w:val="24"/>
          <w:szCs w:val="24"/>
          <w:lang w:val="en-US" w:eastAsia="zh-CN"/>
        </w:rPr>
        <w:t>承诺</w:t>
      </w:r>
      <w:r>
        <w:rPr>
          <w:rFonts w:hint="eastAsia" w:ascii="宋体" w:hAnsi="宋体" w:eastAsia="宋体" w:cs="宋体"/>
          <w:color w:val="auto"/>
          <w:sz w:val="24"/>
          <w:szCs w:val="24"/>
          <w:lang w:val="en-US" w:eastAsia="zh-CN"/>
        </w:rPr>
        <w:t>方案</w:t>
      </w:r>
      <w:r>
        <w:rPr>
          <w:rFonts w:hint="eastAsia" w:ascii="宋体" w:hAnsi="宋体" w:cs="宋体"/>
          <w:color w:val="auto"/>
          <w:sz w:val="24"/>
          <w:szCs w:val="24"/>
          <w:lang w:val="en-US" w:eastAsia="zh-CN"/>
        </w:rPr>
        <w:t>。</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报价文件所提供的的证照及相关证明材料必须真实有效，一经发现造假，将取消本次议价资格并追究相关法律责任！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auto"/>
          <w:sz w:val="24"/>
          <w:szCs w:val="24"/>
          <w:lang w:val="en-US" w:eastAsia="zh-CN"/>
        </w:rPr>
        <w:fldChar w:fldCharType="begin"/>
      </w:r>
      <w:r>
        <w:rPr>
          <w:rFonts w:hint="eastAsia" w:ascii="宋体" w:hAnsi="宋体" w:eastAsia="宋体" w:cs="宋体"/>
          <w:b w:val="0"/>
          <w:bCs w:val="0"/>
          <w:color w:val="auto"/>
          <w:sz w:val="24"/>
          <w:szCs w:val="24"/>
          <w:lang w:val="en-US" w:eastAsia="zh-CN"/>
        </w:rPr>
        <w:instrText xml:space="preserve"> HYPERLINK "mailto:glsrmyyzbb@163.com" </w:instrText>
      </w:r>
      <w:r>
        <w:rPr>
          <w:rFonts w:hint="eastAsia" w:ascii="宋体" w:hAnsi="宋体" w:eastAsia="宋体" w:cs="宋体"/>
          <w:b w:val="0"/>
          <w:bCs w:val="0"/>
          <w:color w:val="auto"/>
          <w:sz w:val="24"/>
          <w:szCs w:val="24"/>
          <w:lang w:val="en-US" w:eastAsia="zh-CN"/>
        </w:rPr>
        <w:fldChar w:fldCharType="separate"/>
      </w:r>
      <w:r>
        <w:rPr>
          <w:rFonts w:hint="eastAsia" w:ascii="宋体" w:hAnsi="宋体" w:eastAsia="宋体" w:cs="宋体"/>
          <w:b w:val="0"/>
          <w:bCs w:val="0"/>
          <w:color w:val="auto"/>
          <w:sz w:val="24"/>
          <w:szCs w:val="24"/>
          <w:lang w:val="en-US" w:eastAsia="zh-CN"/>
        </w:rPr>
        <w:t>glsrmyyzbb@163.com</w:t>
      </w:r>
      <w:r>
        <w:rPr>
          <w:rFonts w:hint="eastAsia" w:ascii="宋体" w:hAnsi="宋体" w:eastAsia="宋体" w:cs="宋体"/>
          <w:b w:val="0"/>
          <w:bCs w:val="0"/>
          <w:color w:val="auto"/>
          <w:sz w:val="24"/>
          <w:szCs w:val="24"/>
          <w:lang w:val="en-US" w:eastAsia="zh-CN"/>
        </w:rPr>
        <w:fldChar w:fldCharType="end"/>
      </w:r>
      <w:r>
        <w:rPr>
          <w:rFonts w:hint="eastAsia" w:ascii="宋体" w:hAnsi="宋体" w:eastAsia="宋体" w:cs="宋体"/>
          <w:color w:val="auto"/>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lang w:val="en-US" w:eastAsia="zh-CN"/>
        </w:rPr>
        <w:t>、信息公告发布媒体</w:t>
      </w:r>
    </w:p>
    <w:p w14:paraId="318936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本次议价采购公告在桂林市人民医院官网（www.glrmyy.com）发布</w:t>
      </w:r>
      <w:r>
        <w:rPr>
          <w:rFonts w:hint="eastAsia" w:ascii="宋体" w:hAnsi="宋体" w:cs="宋体"/>
          <w:color w:val="auto"/>
          <w:sz w:val="24"/>
          <w:szCs w:val="24"/>
          <w:lang w:val="en-US" w:eastAsia="zh-CN"/>
        </w:rPr>
        <w:t>，对其他网站转发本公告可能引起的信息误导、造成供应商的经济或其他损失的，采购人不负任何责任。</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六</w:t>
      </w:r>
      <w:r>
        <w:rPr>
          <w:rFonts w:hint="eastAsia" w:ascii="宋体" w:hAnsi="宋体" w:eastAsia="宋体" w:cs="宋体"/>
          <w:b/>
          <w:bCs/>
          <w:color w:val="auto"/>
          <w:sz w:val="24"/>
          <w:szCs w:val="24"/>
          <w:lang w:val="en-US" w:eastAsia="zh-CN"/>
        </w:rPr>
        <w:t>、联系方式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color w:val="auto"/>
          <w:w w:val="95"/>
          <w:sz w:val="32"/>
          <w:szCs w:val="32"/>
          <w:lang w:val="en-US" w:eastAsia="zh-CN"/>
        </w:rPr>
      </w:pP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lang w:val="en-US" w:eastAsia="zh-CN"/>
        </w:rPr>
        <w:t>2024年1</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月  日</w:t>
      </w:r>
    </w:p>
    <w:p w14:paraId="2F97C8F8">
      <w:pPr>
        <w:rPr>
          <w:rFonts w:hint="eastAsia"/>
          <w:color w:val="auto"/>
          <w:lang w:val="en-US" w:eastAsia="zh-CN"/>
        </w:rPr>
      </w:pPr>
      <w:r>
        <w:rPr>
          <w:rFonts w:hint="eastAsia" w:ascii="宋体" w:hAnsi="宋体" w:eastAsia="宋体" w:cs="宋体"/>
          <w:b/>
          <w:bCs/>
          <w:color w:val="auto"/>
          <w:w w:val="95"/>
          <w:sz w:val="32"/>
          <w:szCs w:val="32"/>
          <w:lang w:val="en-US" w:eastAsia="zh-CN"/>
        </w:rPr>
        <w:br w:type="page"/>
      </w:r>
    </w:p>
    <w:p w14:paraId="426B1D59">
      <w:pPr>
        <w:pStyle w:val="17"/>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color w:val="auto"/>
          <w:sz w:val="32"/>
          <w:szCs w:val="32"/>
        </w:rPr>
      </w:pPr>
      <w:r>
        <w:rPr>
          <w:rFonts w:hint="eastAsia" w:ascii="宋体" w:hAnsi="宋体" w:eastAsia="宋体" w:cs="宋体"/>
          <w:b/>
          <w:bCs/>
          <w:color w:val="auto"/>
          <w:w w:val="95"/>
          <w:sz w:val="32"/>
          <w:szCs w:val="32"/>
          <w:lang w:val="en-US" w:eastAsia="zh-CN"/>
        </w:rPr>
        <w:t>第二章  项目</w:t>
      </w:r>
      <w:r>
        <w:rPr>
          <w:rFonts w:hint="eastAsia" w:ascii="宋体" w:hAnsi="宋体" w:eastAsia="宋体" w:cs="宋体"/>
          <w:b/>
          <w:bCs/>
          <w:color w:val="auto"/>
          <w:w w:val="95"/>
          <w:sz w:val="32"/>
          <w:szCs w:val="32"/>
        </w:rPr>
        <w:t>需求</w:t>
      </w:r>
      <w:r>
        <w:rPr>
          <w:rFonts w:hint="eastAsia" w:ascii="宋体" w:hAnsi="宋体" w:eastAsia="宋体" w:cs="宋体"/>
          <w:b/>
          <w:bCs/>
          <w:color w:val="auto"/>
          <w:w w:val="95"/>
          <w:sz w:val="32"/>
          <w:szCs w:val="32"/>
          <w:lang w:val="en-US" w:eastAsia="zh-CN"/>
        </w:rPr>
        <w:t>和说明</w:t>
      </w:r>
      <w:r>
        <w:rPr>
          <w:rFonts w:hint="eastAsia" w:ascii="宋体" w:hAnsi="宋体" w:eastAsia="宋体" w:cs="宋体"/>
          <w:b/>
          <w:bCs/>
          <w:color w:val="auto"/>
          <w:w w:val="95"/>
          <w:sz w:val="32"/>
          <w:szCs w:val="32"/>
        </w:rPr>
        <w:t xml:space="preserve"> </w:t>
      </w:r>
    </w:p>
    <w:p w14:paraId="3A64E220">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rPr>
        <w:t>项目名称：</w:t>
      </w:r>
      <w:r>
        <w:rPr>
          <w:rFonts w:hint="eastAsia" w:ascii="宋体" w:hAnsi="宋体" w:eastAsia="宋体" w:cs="宋体"/>
          <w:color w:val="auto"/>
          <w:sz w:val="24"/>
          <w:szCs w:val="24"/>
        </w:rPr>
        <w:t>桂林市人民</w:t>
      </w:r>
      <w:r>
        <w:rPr>
          <w:rFonts w:hint="eastAsia" w:ascii="宋体" w:hAnsi="宋体" w:cs="宋体"/>
          <w:color w:val="auto"/>
          <w:sz w:val="24"/>
          <w:szCs w:val="24"/>
          <w:lang w:val="en-US" w:eastAsia="zh-CN"/>
        </w:rPr>
        <w:t>医院网络设备与安全运维服务</w:t>
      </w:r>
    </w:p>
    <w:p w14:paraId="6C07C3B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二、</w:t>
      </w:r>
      <w:r>
        <w:rPr>
          <w:rFonts w:hint="eastAsia" w:ascii="宋体" w:hAnsi="宋体" w:eastAsia="宋体" w:cs="宋体"/>
          <w:b/>
          <w:bCs/>
          <w:color w:val="auto"/>
          <w:sz w:val="24"/>
          <w:szCs w:val="24"/>
        </w:rPr>
        <w:t>项目编号：</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XXK</w:t>
      </w:r>
      <w:r>
        <w:rPr>
          <w:rFonts w:hint="eastAsia" w:ascii="宋体" w:hAnsi="宋体" w:eastAsia="宋体" w:cs="宋体"/>
          <w:color w:val="auto"/>
          <w:sz w:val="24"/>
          <w:szCs w:val="24"/>
          <w:lang w:val="en-US" w:eastAsia="zh-CN"/>
        </w:rPr>
        <w:t>-20</w:t>
      </w:r>
      <w:r>
        <w:rPr>
          <w:rFonts w:hint="eastAsia" w:ascii="宋体" w:hAnsi="宋体" w:cs="宋体"/>
          <w:color w:val="auto"/>
          <w:sz w:val="24"/>
          <w:szCs w:val="24"/>
          <w:lang w:val="en-US" w:eastAsia="zh-CN"/>
        </w:rPr>
        <w:t>2</w:t>
      </w:r>
      <w:r>
        <w:rPr>
          <w:rFonts w:hint="eastAsia" w:ascii="宋体" w:hAnsi="宋体" w:eastAsia="宋体" w:cs="宋体"/>
          <w:color w:val="auto"/>
          <w:sz w:val="24"/>
          <w:szCs w:val="24"/>
          <w:lang w:val="en-US" w:eastAsia="zh-CN"/>
        </w:rPr>
        <w:t>4-00</w:t>
      </w:r>
      <w:r>
        <w:rPr>
          <w:rFonts w:hint="eastAsia" w:ascii="宋体" w:hAnsi="宋体" w:cs="宋体"/>
          <w:color w:val="auto"/>
          <w:sz w:val="24"/>
          <w:szCs w:val="24"/>
          <w:lang w:val="en-US" w:eastAsia="zh-CN"/>
        </w:rPr>
        <w:t>4</w:t>
      </w:r>
    </w:p>
    <w:p w14:paraId="208F1FD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三、采购</w:t>
      </w:r>
      <w:r>
        <w:rPr>
          <w:rFonts w:hint="eastAsia" w:ascii="宋体" w:hAnsi="宋体" w:cs="宋体"/>
          <w:b/>
          <w:bCs/>
          <w:color w:val="auto"/>
          <w:sz w:val="24"/>
          <w:szCs w:val="24"/>
          <w:lang w:val="en-US" w:eastAsia="zh-CN"/>
        </w:rPr>
        <w:t>需求、</w:t>
      </w:r>
      <w:r>
        <w:rPr>
          <w:rFonts w:hint="eastAsia" w:ascii="宋体" w:hAnsi="宋体" w:eastAsia="宋体" w:cs="宋体"/>
          <w:b/>
          <w:bCs/>
          <w:color w:val="auto"/>
          <w:sz w:val="24"/>
          <w:szCs w:val="24"/>
          <w:lang w:val="en-US" w:eastAsia="zh-CN"/>
        </w:rPr>
        <w:t>控制价</w:t>
      </w:r>
    </w:p>
    <w:p w14:paraId="54553C8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2" w:firstLineChars="200"/>
        <w:textAlignment w:val="auto"/>
        <w:rPr>
          <w:lang w:val="en-US"/>
        </w:rPr>
      </w:pPr>
      <w:r>
        <w:rPr>
          <w:rFonts w:hint="eastAsia" w:ascii="宋体" w:hAnsi="宋体" w:cs="宋体"/>
          <w:b/>
          <w:bCs w:val="0"/>
          <w:sz w:val="24"/>
          <w:szCs w:val="24"/>
          <w:lang w:val="en-US" w:eastAsia="zh-CN"/>
        </w:rPr>
        <w:t>（一）技术要求</w:t>
      </w:r>
      <w:r>
        <w:rPr>
          <w:rFonts w:hint="eastAsia" w:eastAsia="方正大标宋简体"/>
          <w:b w:val="0"/>
          <w:sz w:val="30"/>
          <w:szCs w:val="30"/>
          <w:lang w:val="en-US" w:eastAsia="zh-CN"/>
        </w:rPr>
        <w:t xml:space="preserve">                   </w:t>
      </w:r>
    </w:p>
    <w:tbl>
      <w:tblPr>
        <w:tblStyle w:val="18"/>
        <w:tblW w:w="9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52"/>
        <w:gridCol w:w="725"/>
        <w:gridCol w:w="6190"/>
        <w:gridCol w:w="724"/>
        <w:gridCol w:w="714"/>
      </w:tblGrid>
      <w:tr w14:paraId="0CBD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23" w:type="dxa"/>
            <w:shd w:val="clear" w:color="auto" w:fill="auto"/>
            <w:vAlign w:val="center"/>
          </w:tcPr>
          <w:p w14:paraId="33B608F6">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序号</w:t>
            </w:r>
          </w:p>
        </w:tc>
        <w:tc>
          <w:tcPr>
            <w:tcW w:w="952" w:type="dxa"/>
            <w:shd w:val="clear" w:color="auto" w:fill="auto"/>
            <w:vAlign w:val="center"/>
          </w:tcPr>
          <w:p w14:paraId="0D512CC9">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服务要求</w:t>
            </w:r>
          </w:p>
        </w:tc>
        <w:tc>
          <w:tcPr>
            <w:tcW w:w="725" w:type="dxa"/>
            <w:shd w:val="clear" w:color="auto" w:fill="auto"/>
            <w:vAlign w:val="center"/>
          </w:tcPr>
          <w:p w14:paraId="71936487">
            <w:pPr>
              <w:widowControl/>
              <w:jc w:val="center"/>
              <w:rPr>
                <w:rFonts w:ascii="宋体" w:hAnsi="宋体" w:eastAsia="宋体" w:cs="Arial"/>
                <w:b/>
                <w:bCs/>
                <w:kern w:val="0"/>
                <w:sz w:val="18"/>
                <w:szCs w:val="18"/>
                <w:lang w:val="en-US" w:eastAsia="zh-CN" w:bidi="ar-SA"/>
              </w:rPr>
            </w:pPr>
          </w:p>
        </w:tc>
        <w:tc>
          <w:tcPr>
            <w:tcW w:w="6190" w:type="dxa"/>
            <w:shd w:val="clear" w:color="auto" w:fill="auto"/>
            <w:vAlign w:val="center"/>
          </w:tcPr>
          <w:p w14:paraId="4A9AA762">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服务要求内容</w:t>
            </w:r>
          </w:p>
        </w:tc>
        <w:tc>
          <w:tcPr>
            <w:tcW w:w="724" w:type="dxa"/>
            <w:shd w:val="clear" w:color="auto" w:fill="auto"/>
            <w:vAlign w:val="center"/>
          </w:tcPr>
          <w:p w14:paraId="113EF46F">
            <w:pPr>
              <w:widowControl/>
              <w:jc w:val="center"/>
              <w:rPr>
                <w:rFonts w:ascii="宋体" w:hAnsi="宋体" w:eastAsia="宋体" w:cs="Arial"/>
                <w:b/>
                <w:bCs/>
                <w:kern w:val="0"/>
                <w:sz w:val="18"/>
                <w:szCs w:val="18"/>
                <w:lang w:val="en-US" w:eastAsia="zh-CN" w:bidi="ar-SA"/>
              </w:rPr>
            </w:pPr>
            <w:r>
              <w:rPr>
                <w:rFonts w:ascii="宋体" w:hAnsi="宋体" w:cs="Arial"/>
                <w:b/>
                <w:bCs/>
                <w:kern w:val="0"/>
                <w:sz w:val="18"/>
                <w:szCs w:val="18"/>
              </w:rPr>
              <w:t>数量</w:t>
            </w:r>
          </w:p>
        </w:tc>
        <w:tc>
          <w:tcPr>
            <w:tcW w:w="714" w:type="dxa"/>
            <w:shd w:val="clear" w:color="auto" w:fill="auto"/>
            <w:vAlign w:val="center"/>
          </w:tcPr>
          <w:p w14:paraId="15F0DB20">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rPr>
              <w:t>单位</w:t>
            </w:r>
          </w:p>
        </w:tc>
      </w:tr>
      <w:tr w14:paraId="352F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250C6655">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952" w:type="dxa"/>
            <w:shd w:val="clear" w:color="auto" w:fill="auto"/>
            <w:vAlign w:val="center"/>
          </w:tcPr>
          <w:p w14:paraId="00032270">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★网络安全设备运维</w:t>
            </w:r>
          </w:p>
        </w:tc>
        <w:tc>
          <w:tcPr>
            <w:tcW w:w="725" w:type="dxa"/>
            <w:shd w:val="clear" w:color="auto" w:fill="auto"/>
            <w:vAlign w:val="center"/>
          </w:tcPr>
          <w:p w14:paraId="6D700C27">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3264E2AC">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一、运维设备对象</w:t>
            </w:r>
          </w:p>
          <w:p w14:paraId="5E398E48">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本期项目纳入运维范围的网络安全设备如下：</w:t>
            </w:r>
          </w:p>
          <w:p w14:paraId="2169AD2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生产数据中心和灾备数据中心的所有网络安全设备。</w:t>
            </w:r>
          </w:p>
          <w:p w14:paraId="698EB6EB">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二、运维服务内容</w:t>
            </w:r>
          </w:p>
          <w:p w14:paraId="5FC3F85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本期项目对网络安全运维工作内容要求包括例行操作服务、响应支持服务、优化改善服务和咨询评估服务。具体服务内容要求如下：</w:t>
            </w:r>
          </w:p>
          <w:p w14:paraId="1618B03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（1）监控</w:t>
            </w:r>
          </w:p>
          <w:p w14:paraId="34ED438A">
            <w:pPr>
              <w:pStyle w:val="33"/>
              <w:widowControl w:val="0"/>
              <w:numPr>
                <w:ilvl w:val="0"/>
                <w:numId w:val="1"/>
              </w:numPr>
              <w:spacing w:line="0" w:lineRule="atLeast"/>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rPr>
              <w:t>网络安全设备的健康状况整体运行状态、各项硬件资源开销状况；</w:t>
            </w:r>
          </w:p>
          <w:p w14:paraId="038A2DC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链路健康状况如端到端时延变化、链路端口工作稳定性、链路负载百分比、部署路由策略情况下端到端选路变化、路由条目变化；</w:t>
            </w:r>
          </w:p>
          <w:p w14:paraId="6E1A0C4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管理权限用户的行为审计；</w:t>
            </w:r>
          </w:p>
          <w:p w14:paraId="7D88E67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设备软件配置变动审计；</w:t>
            </w:r>
          </w:p>
          <w:p w14:paraId="4AF5161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设备日志审计；</w:t>
            </w:r>
          </w:p>
          <w:p w14:paraId="09A536D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安全事件审计。</w:t>
            </w:r>
          </w:p>
          <w:p w14:paraId="78CF621F">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kern w:val="2"/>
                <w:sz w:val="21"/>
                <w:szCs w:val="21"/>
              </w:rPr>
              <w:t>预防性检查（性能检查）</w:t>
            </w:r>
          </w:p>
          <w:p w14:paraId="5EEE29C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检查网络安全设备非业务繁忙期CPU使用峰值情况；</w:t>
            </w:r>
          </w:p>
          <w:p w14:paraId="6E6BC34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检查网络安全设备非业务繁忙期内存使用峰值情况；</w:t>
            </w:r>
          </w:p>
          <w:p w14:paraId="6DC7C3F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检查设备板卡或模块状态使用情况；</w:t>
            </w:r>
          </w:p>
          <w:p w14:paraId="061E1BD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检查设备机身工作使用情况；</w:t>
            </w:r>
          </w:p>
          <w:p w14:paraId="7222801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检查主要端口的利用率；</w:t>
            </w:r>
          </w:p>
          <w:p w14:paraId="5F5B5BCF">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检查链路的健康状态，包括IP包传输时延、IP包丢失率、IP包误差率、无效IP包（包括攻击性IP包、欺骗性IP包、垃圾IP包等）。</w:t>
            </w:r>
          </w:p>
          <w:p w14:paraId="79771686">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（3）</w:t>
            </w:r>
            <w:r>
              <w:rPr>
                <w:rFonts w:hint="eastAsia" w:ascii="宋体" w:hAnsi="宋体" w:eastAsia="宋体" w:cs="宋体"/>
                <w:b w:val="0"/>
                <w:bCs/>
                <w:kern w:val="2"/>
                <w:sz w:val="21"/>
                <w:szCs w:val="21"/>
              </w:rPr>
              <w:t>预防性检查（脆弱性检查）</w:t>
            </w:r>
          </w:p>
          <w:p w14:paraId="366BB29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检查设备链路的冗余度要求；</w:t>
            </w:r>
          </w:p>
          <w:p w14:paraId="621F3AD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安全事件周期性整理分析；</w:t>
            </w:r>
          </w:p>
          <w:p w14:paraId="095D278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设备生命周期与硬件可靠性评估；</w:t>
            </w:r>
          </w:p>
          <w:p w14:paraId="295A1FF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配件可用性周期性检查。</w:t>
            </w:r>
          </w:p>
          <w:p w14:paraId="5F5EBDE6">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（4）常规作业</w:t>
            </w:r>
          </w:p>
          <w:p w14:paraId="47E3AEB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设备操作系统软件备份及存档；</w:t>
            </w:r>
          </w:p>
          <w:p w14:paraId="5010CC1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设备软件配置备份及存档；</w:t>
            </w:r>
          </w:p>
          <w:p w14:paraId="219665F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监控系统日志备份及存档；</w:t>
            </w:r>
          </w:p>
          <w:p w14:paraId="4896F02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监控系统日志数据分析与报告生成；</w:t>
            </w:r>
          </w:p>
          <w:p w14:paraId="68B82F4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网络配置变更文件的审核；</w:t>
            </w:r>
          </w:p>
          <w:p w14:paraId="71764A2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网络配置变更的操作；</w:t>
            </w:r>
          </w:p>
          <w:p w14:paraId="42149D9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网络配置变更的记录；</w:t>
            </w:r>
          </w:p>
          <w:p w14:paraId="70E66AC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网络地址的管理。</w:t>
            </w:r>
          </w:p>
          <w:p w14:paraId="1463B587">
            <w:pPr>
              <w:pStyle w:val="33"/>
              <w:widowControl w:val="0"/>
              <w:spacing w:line="0" w:lineRule="atLeast"/>
              <w:rPr>
                <w:rFonts w:hint="eastAsia" w:ascii="宋体" w:hAnsi="宋体" w:eastAsia="宋体" w:cs="宋体"/>
                <w:b w:val="0"/>
                <w:bCs/>
                <w:sz w:val="21"/>
                <w:szCs w:val="21"/>
                <w:lang w:val="zh-CN"/>
              </w:rPr>
            </w:pPr>
            <w:r>
              <w:rPr>
                <w:rFonts w:hint="eastAsia" w:ascii="宋体" w:hAnsi="宋体" w:eastAsia="宋体" w:cs="宋体"/>
                <w:b w:val="0"/>
                <w:bCs/>
                <w:sz w:val="21"/>
                <w:szCs w:val="21"/>
                <w:lang w:val="zh-CN"/>
              </w:rPr>
              <w:t>2</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zh-CN"/>
              </w:rPr>
              <w:t>对</w:t>
            </w:r>
            <w:r>
              <w:rPr>
                <w:rFonts w:hint="eastAsia" w:ascii="宋体" w:hAnsi="宋体" w:eastAsia="宋体" w:cs="宋体"/>
                <w:b w:val="0"/>
                <w:bCs/>
                <w:sz w:val="21"/>
                <w:szCs w:val="21"/>
              </w:rPr>
              <w:t>网络安全设备</w:t>
            </w:r>
            <w:r>
              <w:rPr>
                <w:rFonts w:hint="eastAsia" w:ascii="宋体" w:hAnsi="宋体" w:eastAsia="宋体" w:cs="宋体"/>
                <w:b w:val="0"/>
                <w:bCs/>
                <w:sz w:val="21"/>
                <w:szCs w:val="21"/>
                <w:lang w:val="zh-CN"/>
              </w:rPr>
              <w:t>设备的响应支持服务主要包括事件驱动响应和服务请求响应，具体维护服务要求要求如下表：</w:t>
            </w:r>
          </w:p>
          <w:p w14:paraId="5C381E91">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（1）事件驱动响应</w:t>
            </w:r>
          </w:p>
          <w:p w14:paraId="065BE90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故障定位；</w:t>
            </w:r>
          </w:p>
          <w:p w14:paraId="0409451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网络配件更换；</w:t>
            </w:r>
          </w:p>
          <w:p w14:paraId="513AB23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中断、连通网络连接；</w:t>
            </w:r>
          </w:p>
          <w:p w14:paraId="79A60A9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关闭、启动端口；</w:t>
            </w:r>
          </w:p>
          <w:p w14:paraId="166393E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更改、恢复配置；</w:t>
            </w:r>
          </w:p>
          <w:p w14:paraId="727FBCB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停止、启动进程。</w:t>
            </w:r>
          </w:p>
          <w:p w14:paraId="36A66A5D">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（2）服务请求响应</w:t>
            </w:r>
          </w:p>
          <w:p w14:paraId="7D435F8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增加、降低网络接入的数量或速度；</w:t>
            </w:r>
          </w:p>
          <w:p w14:paraId="71197E6D">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更改网络设备配置；</w:t>
            </w:r>
          </w:p>
          <w:p w14:paraId="0DDA527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启动、关闭端口或服务；</w:t>
            </w:r>
          </w:p>
          <w:p w14:paraId="5594ADF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更换、更新或升级设备软件。</w:t>
            </w:r>
          </w:p>
          <w:p w14:paraId="753BAB9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网络安全的优化改善服务</w:t>
            </w:r>
          </w:p>
          <w:p w14:paraId="22D7D9A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（1）根据应用系统特点和运行需求，对网络安全设备进行调整，主要包括： </w:t>
            </w:r>
          </w:p>
          <w:p w14:paraId="05E619E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1）网络或路由策略调整；</w:t>
            </w:r>
          </w:p>
          <w:p w14:paraId="111FE44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2）设备或链路负载调整；</w:t>
            </w:r>
          </w:p>
          <w:p w14:paraId="71DAABC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3）安全策略调整；</w:t>
            </w:r>
          </w:p>
          <w:p w14:paraId="67070E4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4）监控对象覆盖范围调整；</w:t>
            </w:r>
          </w:p>
          <w:p w14:paraId="0F10B74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5）局部交换优化；</w:t>
            </w:r>
          </w:p>
          <w:p w14:paraId="64C58FA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6）局部冗余优化。</w:t>
            </w:r>
          </w:p>
          <w:p w14:paraId="5DB648A8">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（2）增强性改进</w:t>
            </w:r>
          </w:p>
          <w:p w14:paraId="3C5C29B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根据应用系统的特点和运行需求，通过对网络安全设备的运行记录、趋势的分析，对网络安全设备配置参数进行调整和优化，主要包括：</w:t>
            </w:r>
          </w:p>
          <w:p w14:paraId="50694A0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1）硬件设备优化，如网络安全设备硬件资源分配、系统软件升级、带宽资源分配和调整等；</w:t>
            </w:r>
          </w:p>
          <w:p w14:paraId="5C15291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2）整体网络架构变动设计及优化；</w:t>
            </w:r>
          </w:p>
          <w:p w14:paraId="357D5E0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3）网络架构容量变化，如网络子系统的增减等；</w:t>
            </w:r>
          </w:p>
          <w:p w14:paraId="20098F8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4）网络拓扑调整变化等系统功能变化，如新增功能区、新增安全系统、新增审计系统等；</w:t>
            </w:r>
          </w:p>
          <w:p w14:paraId="553CEF8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5）路由协议应用及部署调整；</w:t>
            </w:r>
          </w:p>
          <w:p w14:paraId="722EA71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6）整体安全策略收紧；</w:t>
            </w:r>
          </w:p>
          <w:p w14:paraId="249C333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7）交换优化；</w:t>
            </w:r>
          </w:p>
          <w:p w14:paraId="1A7F0AC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8）冗余优化。</w:t>
            </w:r>
          </w:p>
          <w:p w14:paraId="08494B8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（3）预防性改进</w:t>
            </w:r>
          </w:p>
          <w:p w14:paraId="29EFC5B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根据对网络安全设备的运行记录、趋势的分析，结合应用系统的需求，发现网络及安全设备的脆弱点，有针对性地进行改进性作业，主要包括：</w:t>
            </w:r>
          </w:p>
          <w:p w14:paraId="4A8EF0C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1）配置参数优化，例如关闭不必要的服务、打开缺省的增强功能（CEF等）、加快三层网络路由收敛速度、加快二层网络生成树收敛速度等；</w:t>
            </w:r>
          </w:p>
          <w:p w14:paraId="573AFD3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2）安全优化，例如密码加密，TELNET控制，入侵防护策略等；</w:t>
            </w:r>
          </w:p>
          <w:p w14:paraId="62213F2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3）提高软件配置命令可读性。</w:t>
            </w:r>
          </w:p>
          <w:p w14:paraId="2C44C45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网络安全设备的咨询评估服务</w:t>
            </w:r>
          </w:p>
          <w:p w14:paraId="7CE2E4D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对网络安全设备的咨询评估服务内容要求主要包括： </w:t>
            </w:r>
          </w:p>
          <w:p w14:paraId="223AE5CA">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网络实际负荷与承载能力分析；</w:t>
            </w:r>
          </w:p>
          <w:p w14:paraId="331BE550">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2）网络预期负荷与承载能力分析与建议；</w:t>
            </w:r>
          </w:p>
          <w:p w14:paraId="6E872EE2">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3）网络架构变动分析与建议；</w:t>
            </w:r>
          </w:p>
          <w:p w14:paraId="67938B86">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4）网络路由策略变动分析与建议；</w:t>
            </w:r>
          </w:p>
          <w:p w14:paraId="083D0C29">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5）网络安全策略变动分析与建议；</w:t>
            </w:r>
          </w:p>
          <w:p w14:paraId="25205C5C">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6）网络配置调优分析与建议等。</w:t>
            </w:r>
          </w:p>
        </w:tc>
        <w:tc>
          <w:tcPr>
            <w:tcW w:w="724" w:type="dxa"/>
            <w:shd w:val="clear" w:color="auto" w:fill="auto"/>
            <w:vAlign w:val="center"/>
          </w:tcPr>
          <w:p w14:paraId="40DEBEBE">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65551CBA">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50A1C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360AE961">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952" w:type="dxa"/>
            <w:shd w:val="clear" w:color="auto" w:fill="auto"/>
            <w:vAlign w:val="center"/>
          </w:tcPr>
          <w:p w14:paraId="764A115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★网络设备运维</w:t>
            </w:r>
          </w:p>
        </w:tc>
        <w:tc>
          <w:tcPr>
            <w:tcW w:w="725" w:type="dxa"/>
            <w:shd w:val="clear" w:color="auto" w:fill="auto"/>
            <w:vAlign w:val="center"/>
          </w:tcPr>
          <w:p w14:paraId="098A4844">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12694295">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一、运维设备对象</w:t>
            </w:r>
          </w:p>
          <w:p w14:paraId="16C5DA5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本期项目纳入运维范围的网络设备如下：</w:t>
            </w:r>
          </w:p>
          <w:p w14:paraId="1660BB9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（1）生产数据中心和灾备数据中心的所有核心交换机、接入交换机、汇聚交换机。</w:t>
            </w:r>
          </w:p>
          <w:p w14:paraId="7A1FBCE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（2）楼层机柜的所有接入交换机、汇聚交换机。</w:t>
            </w:r>
          </w:p>
          <w:p w14:paraId="2F52FBE4">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二、运维服务内容</w:t>
            </w:r>
          </w:p>
          <w:p w14:paraId="59C9AC0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本期项目对网络设备运维工作内容要求包括例行操作服务、响应支持服务、优化改善服务和咨询评估服务。具体服务内容要求如下：</w:t>
            </w:r>
          </w:p>
          <w:p w14:paraId="752DA9B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（1）监控</w:t>
            </w:r>
          </w:p>
          <w:p w14:paraId="05C797D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网络设备的健康状况整体运行状态、各项硬件资源开销状况；</w:t>
            </w:r>
          </w:p>
          <w:p w14:paraId="6CBF74B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链路健康状况如端到端时延变化、链路端口工作稳定性、链路负载百分比、部署路由策略情况下端到端选路变化、路由条目变化；</w:t>
            </w:r>
          </w:p>
          <w:p w14:paraId="0E9F990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管理权限用户的行为审计；</w:t>
            </w:r>
          </w:p>
          <w:p w14:paraId="0B0221F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设备软件配置变动审计；</w:t>
            </w:r>
          </w:p>
          <w:p w14:paraId="7D57CFF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设备日志审计；</w:t>
            </w:r>
          </w:p>
          <w:p w14:paraId="643F589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安全事件审计。</w:t>
            </w:r>
          </w:p>
          <w:p w14:paraId="0FC56C6C">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kern w:val="2"/>
                <w:sz w:val="21"/>
                <w:szCs w:val="21"/>
              </w:rPr>
              <w:t>预防性检查（性能检查）</w:t>
            </w:r>
          </w:p>
          <w:p w14:paraId="73AD1A6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检查网络设备非业务繁忙期CPU使用峰值情况；</w:t>
            </w:r>
          </w:p>
          <w:p w14:paraId="68CBD99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检查网络设备非业务繁忙期内存使用峰值情况；</w:t>
            </w:r>
          </w:p>
          <w:p w14:paraId="4E818EF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检查设备板卡或模块状态使用情况；</w:t>
            </w:r>
          </w:p>
          <w:p w14:paraId="333FECF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检查设备机身工作使用情况；</w:t>
            </w:r>
          </w:p>
          <w:p w14:paraId="651C16B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检查主要端口的利用率；</w:t>
            </w:r>
          </w:p>
          <w:p w14:paraId="0EBE463D">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检查链路的健康状态，包括IP包传输时延、IP包丢失率、IP包误差率、无效IP包（包括攻击性IP包、欺骗性IP包、垃圾IP包等）。</w:t>
            </w:r>
          </w:p>
          <w:p w14:paraId="7BC223DB">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（3）</w:t>
            </w:r>
            <w:r>
              <w:rPr>
                <w:rFonts w:hint="eastAsia" w:ascii="宋体" w:hAnsi="宋体" w:eastAsia="宋体" w:cs="宋体"/>
                <w:b w:val="0"/>
                <w:bCs/>
                <w:kern w:val="2"/>
                <w:sz w:val="21"/>
                <w:szCs w:val="21"/>
              </w:rPr>
              <w:t>预防性检查（脆弱性检查）</w:t>
            </w:r>
          </w:p>
          <w:p w14:paraId="3483E81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检查设备链路的冗余度要求；</w:t>
            </w:r>
          </w:p>
          <w:p w14:paraId="603468B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安全事件周期性整理分析；</w:t>
            </w:r>
          </w:p>
          <w:p w14:paraId="299263A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设备生命周期与硬件可靠性评估；</w:t>
            </w:r>
          </w:p>
          <w:p w14:paraId="74C29DE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配件可用性周期性检查。</w:t>
            </w:r>
          </w:p>
          <w:p w14:paraId="4B4712AA">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（4）常规作业</w:t>
            </w:r>
          </w:p>
          <w:p w14:paraId="51EA0C9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设备操作系统软件备份及存档；</w:t>
            </w:r>
          </w:p>
          <w:p w14:paraId="47404EF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设备软件配置备份及存档；</w:t>
            </w:r>
          </w:p>
          <w:p w14:paraId="429AE7E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监控系统日志备份及存档；</w:t>
            </w:r>
          </w:p>
          <w:p w14:paraId="42E092E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监控系统日志数据分析与报告生成；</w:t>
            </w:r>
          </w:p>
          <w:p w14:paraId="525AD2E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网络配置变更文件的审核；</w:t>
            </w:r>
          </w:p>
          <w:p w14:paraId="6C260C0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网络配置变更的操作；</w:t>
            </w:r>
          </w:p>
          <w:p w14:paraId="036BA26D">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网络配置变更的记录；</w:t>
            </w:r>
          </w:p>
          <w:p w14:paraId="549F85F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网络地址的管理。</w:t>
            </w:r>
          </w:p>
          <w:p w14:paraId="06C3B6B6">
            <w:pPr>
              <w:pStyle w:val="33"/>
              <w:widowControl w:val="0"/>
              <w:spacing w:line="0" w:lineRule="atLeast"/>
              <w:rPr>
                <w:rFonts w:hint="eastAsia" w:ascii="宋体" w:hAnsi="宋体" w:eastAsia="宋体" w:cs="宋体"/>
                <w:b w:val="0"/>
                <w:bCs/>
                <w:sz w:val="21"/>
                <w:szCs w:val="21"/>
                <w:lang w:val="zh-CN"/>
              </w:rPr>
            </w:pPr>
            <w:r>
              <w:rPr>
                <w:rFonts w:hint="eastAsia" w:ascii="宋体" w:hAnsi="宋体" w:eastAsia="宋体" w:cs="宋体"/>
                <w:b w:val="0"/>
                <w:bCs/>
                <w:sz w:val="21"/>
                <w:szCs w:val="21"/>
                <w:lang w:val="zh-CN"/>
              </w:rPr>
              <w:t>2</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zh-CN"/>
              </w:rPr>
              <w:t>对</w:t>
            </w:r>
            <w:r>
              <w:rPr>
                <w:rFonts w:hint="eastAsia" w:ascii="宋体" w:hAnsi="宋体" w:eastAsia="宋体" w:cs="宋体"/>
                <w:b w:val="0"/>
                <w:bCs/>
                <w:sz w:val="21"/>
                <w:szCs w:val="21"/>
              </w:rPr>
              <w:t>网络设备</w:t>
            </w:r>
            <w:r>
              <w:rPr>
                <w:rFonts w:hint="eastAsia" w:ascii="宋体" w:hAnsi="宋体" w:eastAsia="宋体" w:cs="宋体"/>
                <w:b w:val="0"/>
                <w:bCs/>
                <w:sz w:val="21"/>
                <w:szCs w:val="21"/>
                <w:lang w:val="zh-CN"/>
              </w:rPr>
              <w:t>的响应支持服务主要包括事件驱动响应和服务请求响应，具体维护服务要求要求如下表：</w:t>
            </w:r>
          </w:p>
          <w:p w14:paraId="2327D0D4">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（1）事件驱动响应</w:t>
            </w:r>
          </w:p>
          <w:p w14:paraId="5284D60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故障定位；</w:t>
            </w:r>
          </w:p>
          <w:p w14:paraId="1A305A4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网络配件更换；</w:t>
            </w:r>
          </w:p>
          <w:p w14:paraId="291F3AD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中断、连通网络连接；</w:t>
            </w:r>
          </w:p>
          <w:p w14:paraId="6DA6172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关闭、启动端口；</w:t>
            </w:r>
          </w:p>
          <w:p w14:paraId="32A8451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更改、恢复配置；</w:t>
            </w:r>
          </w:p>
          <w:p w14:paraId="6A70E55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停止、启动进程。</w:t>
            </w:r>
          </w:p>
          <w:p w14:paraId="2B228E50">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（2）服务请求响应</w:t>
            </w:r>
          </w:p>
          <w:p w14:paraId="1D3C266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增加、降低网络接入的数量或速度；</w:t>
            </w:r>
          </w:p>
          <w:p w14:paraId="6DDB261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更改网络设备配置；</w:t>
            </w:r>
          </w:p>
          <w:p w14:paraId="2A4B6C5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启动、关闭端口或服务；</w:t>
            </w:r>
          </w:p>
          <w:p w14:paraId="6774EC2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更换、更新或升级设备软件。</w:t>
            </w:r>
          </w:p>
          <w:p w14:paraId="69FB844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网络设备的优化改善服务</w:t>
            </w:r>
          </w:p>
          <w:p w14:paraId="4F5C730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（1）根据应用系统特点和运行需求，对网络设备进行调整，主要包括： </w:t>
            </w:r>
          </w:p>
          <w:p w14:paraId="270E366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1）网络或路由策略调整；</w:t>
            </w:r>
          </w:p>
          <w:p w14:paraId="60736E6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2）设备或链路负载调整；</w:t>
            </w:r>
          </w:p>
          <w:p w14:paraId="35F6E29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3）安全策略调整；</w:t>
            </w:r>
          </w:p>
          <w:p w14:paraId="7AFA192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4）监控对象覆盖范围调整；</w:t>
            </w:r>
          </w:p>
          <w:p w14:paraId="633EE9E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5）局部交换优化；</w:t>
            </w:r>
          </w:p>
          <w:p w14:paraId="7235961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6）局部冗余优化。</w:t>
            </w:r>
          </w:p>
          <w:p w14:paraId="5D9D2B2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（2）增强性改进</w:t>
            </w:r>
          </w:p>
          <w:p w14:paraId="6D98294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根据应用系统的特点和运行需求，通过对网络设备的运行记录、趋势的分析，对网络设备配置参数进行调整和优化，主要包括：</w:t>
            </w:r>
          </w:p>
          <w:p w14:paraId="61EE9F3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1）硬件设备优化，如网络设备硬件资源分配、系统软件升级、带宽资源分配和调整等；</w:t>
            </w:r>
          </w:p>
          <w:p w14:paraId="02E6D55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2）整体网络架构变动设计及优化；</w:t>
            </w:r>
          </w:p>
          <w:p w14:paraId="2E88990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3）网络架构容量变化，如网络子系统的增减等；</w:t>
            </w:r>
          </w:p>
          <w:p w14:paraId="2CB96E8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4）网络拓扑调整变化等系统功能变化，如新增功能区、新增安全系统、新增审计系统等；</w:t>
            </w:r>
          </w:p>
          <w:p w14:paraId="6C43D67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5）路由协议应用及部署调整；</w:t>
            </w:r>
          </w:p>
          <w:p w14:paraId="609758F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6）整体安全策略收紧；</w:t>
            </w:r>
          </w:p>
          <w:p w14:paraId="13EBE59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7）交换优化；</w:t>
            </w:r>
          </w:p>
          <w:p w14:paraId="724A49F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8）冗余优化。</w:t>
            </w:r>
          </w:p>
          <w:p w14:paraId="66260A0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（3）预防性改进</w:t>
            </w:r>
          </w:p>
          <w:p w14:paraId="28A4F98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根据对网络及安全设备的运行记录、趋势的分析，结合应用系统的需求，发现网络及安全设备的脆弱点，有针对性地进行改进性作业，主要包括：</w:t>
            </w:r>
          </w:p>
          <w:p w14:paraId="368813B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1）配置参数优化，例如关闭不必要的服务、打开缺省的增强功能（CEF等）、加快三层网络路由收敛速度、加快二层网络生成树收敛速度等；</w:t>
            </w:r>
          </w:p>
          <w:p w14:paraId="40EF669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2）安全优化，例如密码加密，TELNET控制等；</w:t>
            </w:r>
          </w:p>
          <w:p w14:paraId="136E81B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3）提高软件配置命令可读性。</w:t>
            </w:r>
          </w:p>
          <w:p w14:paraId="1F8AA3D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网络设备的咨询评估服务</w:t>
            </w:r>
          </w:p>
          <w:p w14:paraId="4BA8C92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对网络设备的咨询评估服务内容要求主要包括： </w:t>
            </w:r>
          </w:p>
          <w:p w14:paraId="28F4BCD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1）网络实际负荷与承载能力分析；</w:t>
            </w:r>
          </w:p>
          <w:p w14:paraId="494A019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2）网络预期负荷与承载能力分析与建议；</w:t>
            </w:r>
          </w:p>
          <w:p w14:paraId="5316CD9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3）网络架构变动分析与建议；</w:t>
            </w:r>
          </w:p>
          <w:p w14:paraId="18F3F93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4）网络路由策略变动分析与建议；</w:t>
            </w:r>
          </w:p>
          <w:p w14:paraId="66869E5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5）网络安全策略变动分析与建议；</w:t>
            </w:r>
          </w:p>
          <w:p w14:paraId="6ECDD3B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6）网络配置调优分析与建议等。</w:t>
            </w:r>
          </w:p>
        </w:tc>
        <w:tc>
          <w:tcPr>
            <w:tcW w:w="724" w:type="dxa"/>
            <w:shd w:val="clear" w:color="auto" w:fill="auto"/>
            <w:vAlign w:val="center"/>
          </w:tcPr>
          <w:p w14:paraId="42469436">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102A4758">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0AE0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620A1640">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952" w:type="dxa"/>
            <w:shd w:val="clear" w:color="auto" w:fill="auto"/>
            <w:vAlign w:val="center"/>
          </w:tcPr>
          <w:p w14:paraId="3650B143">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★服务器运维服务</w:t>
            </w:r>
          </w:p>
        </w:tc>
        <w:tc>
          <w:tcPr>
            <w:tcW w:w="725" w:type="dxa"/>
            <w:shd w:val="clear" w:color="auto" w:fill="auto"/>
            <w:vAlign w:val="center"/>
          </w:tcPr>
          <w:p w14:paraId="264691F9">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012E766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本期项目对服务器和相关主要设备维护的服务内容要求包括例行操作服务、响应支持服务、优化改善服务和咨询评估服务。具体服务内容要求如下：</w:t>
            </w:r>
          </w:p>
          <w:p w14:paraId="14071955">
            <w:pPr>
              <w:rPr>
                <w:rFonts w:hint="eastAsia" w:ascii="宋体" w:hAnsi="宋体" w:eastAsia="宋体" w:cs="宋体"/>
                <w:b/>
                <w:bCs w:val="0"/>
                <w:kern w:val="0"/>
                <w:sz w:val="21"/>
                <w:szCs w:val="21"/>
              </w:rPr>
            </w:pPr>
            <w:r>
              <w:rPr>
                <w:rFonts w:hint="eastAsia" w:ascii="宋体" w:hAnsi="宋体" w:cs="宋体"/>
                <w:b/>
                <w:bCs w:val="0"/>
                <w:kern w:val="0"/>
                <w:sz w:val="21"/>
                <w:szCs w:val="21"/>
                <w:lang w:val="en-US" w:eastAsia="zh-CN"/>
              </w:rPr>
              <w:t>一、</w:t>
            </w:r>
            <w:r>
              <w:rPr>
                <w:rFonts w:hint="eastAsia" w:ascii="宋体" w:hAnsi="宋体" w:eastAsia="宋体" w:cs="宋体"/>
                <w:b/>
                <w:bCs w:val="0"/>
                <w:kern w:val="0"/>
                <w:sz w:val="21"/>
                <w:szCs w:val="21"/>
              </w:rPr>
              <w:t>服务器及相关设备的例行操作服务</w:t>
            </w:r>
          </w:p>
          <w:p w14:paraId="2AD6531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服务器及相关设备的例行操作服务包括：监控、预防性检查、常规作业。具体服务内容要求如下：</w:t>
            </w:r>
          </w:p>
          <w:p w14:paraId="43BE6093">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日常巡检：驻场运维人员须每日进行巡检工作。重点是对服务器及相关设备的运行状态、运行性能、资源使用分配情况进行监控，以便了解其是否满足运行要求。主要监控服务需求如下表所示，服务周期每日一次。</w:t>
            </w:r>
          </w:p>
          <w:p w14:paraId="4000041F">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监控主机服务器LED面板运行错误码和指示灯 </w:t>
            </w:r>
          </w:p>
          <w:p w14:paraId="36A7E3F4">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监控服务器电源工作状态指示灯 </w:t>
            </w:r>
          </w:p>
          <w:p w14:paraId="4FB4F006">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监控服务器硬盘工作状态指示灯 </w:t>
            </w:r>
          </w:p>
          <w:p w14:paraId="6ED93CB2">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监控服务器CPU使用比例情况 </w:t>
            </w:r>
          </w:p>
          <w:p w14:paraId="3C87E39B">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监控操作系统重要文件系统空间使用情况 </w:t>
            </w:r>
          </w:p>
          <w:p w14:paraId="604C431C">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监控服务器内存使用情况等 </w:t>
            </w:r>
          </w:p>
          <w:p w14:paraId="3CB67CE7">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监控服务器系统日志 </w:t>
            </w:r>
          </w:p>
          <w:p w14:paraId="38B27AD6">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监控服务器磁盘IO</w:t>
            </w:r>
          </w:p>
          <w:p w14:paraId="4F30A51F">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预防性检查：在监控服务的基础上，对服务器及存储设备进行预防性检查，包括：性能检查、脆弱性检查。主要预防性检查要求如下表所示，服务周期每日一次。</w:t>
            </w:r>
          </w:p>
          <w:p w14:paraId="569C3A95">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检查服务器非业务繁忙期CPU使用峰值情况 </w:t>
            </w:r>
          </w:p>
          <w:p w14:paraId="399A9962">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检查服务器非业务繁忙期内存使用峰值情况 </w:t>
            </w:r>
          </w:p>
          <w:p w14:paraId="5B234F21">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检查操作系统重要文件系统空间使用情况 </w:t>
            </w:r>
          </w:p>
          <w:p w14:paraId="1C80D14A">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检查服务器IO读写情况 </w:t>
            </w:r>
          </w:p>
          <w:p w14:paraId="1A9960B2">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查数据流网络流量情况等</w:t>
            </w:r>
          </w:p>
          <w:p w14:paraId="045388D2">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检查服务器关键硬件部件是否满足运行冗余度要求 </w:t>
            </w:r>
          </w:p>
          <w:p w14:paraId="7B44DC37">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当前操作系统版本是否安装相关风险补丁 </w:t>
            </w:r>
          </w:p>
          <w:p w14:paraId="74A21D3B">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是否关闭不必要的服务进程 </w:t>
            </w:r>
          </w:p>
          <w:p w14:paraId="28954B64">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重要业务数据文件或操作系统文件空间使用是否达到预定阀值 </w:t>
            </w:r>
          </w:p>
          <w:p w14:paraId="61E56F43">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关键机密系统数据安全防护设置是否满足要求 </w:t>
            </w:r>
          </w:p>
          <w:p w14:paraId="0FB41B42">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系统使用资源是否超过预定阀值</w:t>
            </w:r>
          </w:p>
          <w:p w14:paraId="2CFAFD4B">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常规作业：对服务器及相关设备的常规作业主要要求如下表所示，服务周期是每个月一次。</w:t>
            </w:r>
          </w:p>
          <w:p w14:paraId="182D4D98">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设备清洁 </w:t>
            </w:r>
          </w:p>
          <w:p w14:paraId="5C3A6F0B">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输入、输出设备读写测试（光驱、内置磁带机） </w:t>
            </w:r>
          </w:p>
          <w:p w14:paraId="7F6F3FF0">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配置文件备份 </w:t>
            </w:r>
          </w:p>
          <w:p w14:paraId="6635DED9">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过期运行日志清理 </w:t>
            </w:r>
          </w:p>
          <w:p w14:paraId="43CD95FE">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网络通讯正常性测试 </w:t>
            </w:r>
          </w:p>
          <w:p w14:paraId="05242DAB">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临时文件清理 </w:t>
            </w:r>
          </w:p>
          <w:p w14:paraId="55947DEC">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端口访问测试</w:t>
            </w:r>
          </w:p>
          <w:p w14:paraId="2C670E29">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服务器及相关设备性能有优化调节</w:t>
            </w:r>
          </w:p>
          <w:p w14:paraId="6F7DE1FE">
            <w:pPr>
              <w:jc w:val="left"/>
              <w:rPr>
                <w:rFonts w:hint="eastAsia" w:ascii="宋体" w:hAnsi="宋体" w:eastAsia="宋体" w:cs="宋体"/>
                <w:b/>
                <w:bCs w:val="0"/>
                <w:kern w:val="0"/>
                <w:sz w:val="21"/>
                <w:szCs w:val="21"/>
              </w:rPr>
            </w:pPr>
            <w:r>
              <w:rPr>
                <w:rFonts w:hint="eastAsia" w:ascii="宋体" w:hAnsi="宋体" w:cs="宋体"/>
                <w:b/>
                <w:bCs w:val="0"/>
                <w:kern w:val="0"/>
                <w:sz w:val="21"/>
                <w:szCs w:val="21"/>
                <w:lang w:val="en-US" w:eastAsia="zh-CN"/>
              </w:rPr>
              <w:t>二、</w:t>
            </w:r>
            <w:r>
              <w:rPr>
                <w:rFonts w:hint="eastAsia" w:ascii="宋体" w:hAnsi="宋体" w:eastAsia="宋体" w:cs="宋体"/>
                <w:b/>
                <w:bCs w:val="0"/>
                <w:kern w:val="0"/>
                <w:sz w:val="21"/>
                <w:szCs w:val="21"/>
              </w:rPr>
              <w:t>服务器及相关设备的故障响应及支持服务</w:t>
            </w:r>
          </w:p>
          <w:p w14:paraId="58F08084">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系统故障诊断及检修：针对设备的软、硬件故障引起的业务中断或运行效率无法满足正常运行要求，而进行的响应服务，当系统出现问题时，服务方常驻人员要及时对问题进行诊断、分析，并解决问题。</w:t>
            </w:r>
          </w:p>
          <w:p w14:paraId="6AD4680A">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服务器重启；</w:t>
            </w:r>
          </w:p>
          <w:p w14:paraId="7229222C">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操作系统恢复；</w:t>
            </w:r>
          </w:p>
          <w:p w14:paraId="1F26B0B2">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更换故障部件，包括主板、电源、CPU、内存、硬盘等；</w:t>
            </w:r>
          </w:p>
          <w:p w14:paraId="01F9ED2B">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网络通讯设置修正等；</w:t>
            </w:r>
          </w:p>
          <w:p w14:paraId="7C5E021F">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服务器无法正常运作时进行诊断检修；</w:t>
            </w:r>
          </w:p>
          <w:p w14:paraId="6A8020DE">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服务器运行速度较正常慢时进行诊断及调整；</w:t>
            </w:r>
          </w:p>
          <w:p w14:paraId="493AB308">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网络中出现病毒或木马进行杀毒和防控。</w:t>
            </w:r>
          </w:p>
          <w:p w14:paraId="4D898EE8">
            <w:pPr>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在对应的服务级别和服务响应级别要求响应，如现场无法解决，二线工程师必须到场解决问题</w:t>
            </w:r>
          </w:p>
          <w:p w14:paraId="089780E5">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服务请求响应。根据应用系统运行需要而进行的响应服务。</w:t>
            </w:r>
          </w:p>
          <w:p w14:paraId="11F0A6F9">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设备搬迁；</w:t>
            </w:r>
          </w:p>
          <w:p w14:paraId="1E077D7B">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设备停机演练；</w:t>
            </w:r>
          </w:p>
          <w:p w14:paraId="26621F50">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设备清洁维护；</w:t>
            </w:r>
          </w:p>
          <w:p w14:paraId="6C8436BA">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检查及数据整理；</w:t>
            </w:r>
          </w:p>
          <w:p w14:paraId="25254038">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系统参数调整；</w:t>
            </w:r>
          </w:p>
          <w:p w14:paraId="0ACBA1B5">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文件系统空间扩容等。</w:t>
            </w:r>
          </w:p>
          <w:p w14:paraId="506E445F">
            <w:pPr>
              <w:jc w:val="left"/>
              <w:rPr>
                <w:rFonts w:hint="eastAsia" w:ascii="宋体" w:hAnsi="宋体" w:eastAsia="宋体" w:cs="宋体"/>
                <w:b w:val="0"/>
                <w:bCs/>
                <w:kern w:val="0"/>
                <w:sz w:val="21"/>
                <w:szCs w:val="21"/>
              </w:rPr>
            </w:pPr>
            <w:r>
              <w:rPr>
                <w:rFonts w:hint="eastAsia" w:ascii="宋体" w:hAnsi="宋体" w:eastAsia="宋体" w:cs="宋体"/>
                <w:b w:val="0"/>
                <w:bCs/>
                <w:sz w:val="21"/>
                <w:szCs w:val="21"/>
              </w:rPr>
              <w:t>采购人会提前24小时通知，中标人须按要求配合。（7×24小时）</w:t>
            </w:r>
          </w:p>
        </w:tc>
        <w:tc>
          <w:tcPr>
            <w:tcW w:w="724" w:type="dxa"/>
            <w:shd w:val="clear" w:color="auto" w:fill="auto"/>
            <w:vAlign w:val="center"/>
          </w:tcPr>
          <w:p w14:paraId="0DD8502E">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27ECE05E">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18BD0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43E6956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tc>
        <w:tc>
          <w:tcPr>
            <w:tcW w:w="952" w:type="dxa"/>
            <w:shd w:val="clear" w:color="auto" w:fill="auto"/>
            <w:vAlign w:val="center"/>
          </w:tcPr>
          <w:p w14:paraId="5890507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★存储设备与存储交换机运维服务</w:t>
            </w:r>
          </w:p>
        </w:tc>
        <w:tc>
          <w:tcPr>
            <w:tcW w:w="725" w:type="dxa"/>
            <w:shd w:val="clear" w:color="auto" w:fill="auto"/>
            <w:vAlign w:val="center"/>
          </w:tcPr>
          <w:p w14:paraId="224FE76E">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5886B409">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一、远程技术支持服务</w:t>
            </w:r>
          </w:p>
          <w:p w14:paraId="7A21E3B0">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提供7×24小时的电话技术支持服务，内容包括技术咨询及系统故障处理。</w:t>
            </w:r>
          </w:p>
          <w:p w14:paraId="0C02B62C">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技术咨询服务的内容包括系统技术咨询，系统改进意见，研究解决技术难题等。</w:t>
            </w:r>
          </w:p>
          <w:p w14:paraId="4748E23A">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在出现系统故障的情况下，通过远程支持方式进行系统故障隔离，提交系统故障报告，直至解决系统故障等。</w:t>
            </w:r>
          </w:p>
          <w:p w14:paraId="2F0C0090">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系统运行日常技术支持服务由专门的技术工程师负责，随时解决系统运行中出现的任何技术问题。</w:t>
            </w:r>
          </w:p>
          <w:p w14:paraId="7FE990A9">
            <w:pPr>
              <w:rPr>
                <w:rFonts w:hint="eastAsia" w:ascii="宋体" w:hAnsi="宋体" w:eastAsia="宋体" w:cs="宋体"/>
                <w:b/>
                <w:bCs w:val="0"/>
                <w:sz w:val="21"/>
                <w:szCs w:val="21"/>
              </w:rPr>
            </w:pPr>
            <w:r>
              <w:rPr>
                <w:rFonts w:hint="eastAsia" w:ascii="宋体" w:hAnsi="宋体" w:eastAsia="宋体" w:cs="宋体"/>
                <w:b/>
                <w:bCs w:val="0"/>
                <w:sz w:val="21"/>
                <w:szCs w:val="21"/>
              </w:rPr>
              <w:t>二、定期维护</w:t>
            </w:r>
          </w:p>
          <w:p w14:paraId="20FC67C4">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1.</w:t>
            </w:r>
            <w:r>
              <w:rPr>
                <w:rFonts w:hint="eastAsia" w:ascii="宋体" w:hAnsi="宋体" w:eastAsia="宋体" w:cs="宋体"/>
                <w:b w:val="0"/>
                <w:bCs/>
                <w:sz w:val="21"/>
                <w:szCs w:val="21"/>
              </w:rPr>
              <w:t>在整个系统运维服务过程中，对于7×24服务的客户，公司派富有经验的工程师深入用户所在地，专门负责运维支撑系统运行情况监视，及时发现问题、解决问题。</w:t>
            </w:r>
          </w:p>
          <w:p w14:paraId="70655EF4">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2.</w:t>
            </w:r>
            <w:r>
              <w:rPr>
                <w:rFonts w:hint="eastAsia" w:ascii="宋体" w:hAnsi="宋体" w:eastAsia="宋体" w:cs="宋体"/>
                <w:b w:val="0"/>
                <w:bCs/>
                <w:sz w:val="21"/>
                <w:szCs w:val="21"/>
              </w:rPr>
              <w:t>对所维护的系统，定期（每个星期）进行现场检测，并对相关资源提出替换或改正意见。</w:t>
            </w:r>
          </w:p>
          <w:p w14:paraId="1DACC4D9">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在维护过程中，主要由系统维护与客户支持人员来完成，同时对客户方技术人员进行现场培训。</w:t>
            </w:r>
          </w:p>
          <w:p w14:paraId="71045148">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4.</w:t>
            </w:r>
            <w:r>
              <w:rPr>
                <w:rFonts w:hint="eastAsia" w:ascii="宋体" w:hAnsi="宋体" w:eastAsia="宋体" w:cs="宋体"/>
                <w:b w:val="0"/>
                <w:bCs/>
                <w:sz w:val="21"/>
                <w:szCs w:val="21"/>
              </w:rPr>
              <w:t>对于系统维护过程中在其它某一节点发现的带有普遍性的问题和软件错误等，我公司将及时通知用户做好预防工作，并提供解决方法。</w:t>
            </w:r>
          </w:p>
          <w:p w14:paraId="6C8EC90C">
            <w:pPr>
              <w:rPr>
                <w:rFonts w:hint="eastAsia" w:ascii="宋体" w:hAnsi="宋体" w:eastAsia="宋体" w:cs="宋体"/>
                <w:b/>
                <w:bCs w:val="0"/>
                <w:sz w:val="21"/>
                <w:szCs w:val="21"/>
              </w:rPr>
            </w:pPr>
            <w:r>
              <w:rPr>
                <w:rFonts w:hint="eastAsia" w:ascii="宋体" w:hAnsi="宋体" w:eastAsia="宋体" w:cs="宋体"/>
                <w:b/>
                <w:bCs w:val="0"/>
                <w:sz w:val="21"/>
                <w:szCs w:val="21"/>
              </w:rPr>
              <w:t>三、系统故障服务</w:t>
            </w:r>
          </w:p>
          <w:p w14:paraId="30DAED4E">
            <w:pPr>
              <w:pStyle w:val="3"/>
              <w:spacing w:line="240" w:lineRule="auto"/>
              <w:rPr>
                <w:rFonts w:hint="eastAsia" w:ascii="宋体" w:hAnsi="宋体" w:eastAsia="宋体" w:cs="宋体"/>
                <w:b w:val="0"/>
                <w:bCs/>
                <w:sz w:val="21"/>
                <w:szCs w:val="21"/>
              </w:rPr>
            </w:pPr>
            <w:r>
              <w:rPr>
                <w:rFonts w:hint="eastAsia" w:ascii="宋体" w:hAnsi="宋体" w:eastAsia="宋体" w:cs="宋体"/>
                <w:b w:val="0"/>
                <w:bCs/>
                <w:sz w:val="21"/>
                <w:szCs w:val="21"/>
              </w:rPr>
              <w:t>当系统因某种原因导致出现系统故障，我们将提供快捷服务，解决系统故障，把用户的损失降到最低。对用户的系统故障服务做以下的具体安排和承诺：</w:t>
            </w:r>
          </w:p>
          <w:p w14:paraId="0C0C279B">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1.</w:t>
            </w:r>
            <w:r>
              <w:rPr>
                <w:rFonts w:hint="eastAsia" w:ascii="宋体" w:hAnsi="宋体" w:eastAsia="宋体" w:cs="宋体"/>
                <w:b w:val="0"/>
                <w:bCs/>
                <w:sz w:val="21"/>
                <w:szCs w:val="21"/>
              </w:rPr>
              <w:t>当系统发生重大系统故障时，承诺30分钟内响应，在1个小时内到达现场，24小时内解决问题。</w:t>
            </w:r>
          </w:p>
          <w:p w14:paraId="3F2A8CC7">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2.</w:t>
            </w:r>
            <w:r>
              <w:rPr>
                <w:rFonts w:hint="eastAsia" w:ascii="宋体" w:hAnsi="宋体" w:eastAsia="宋体" w:cs="宋体"/>
                <w:b w:val="0"/>
                <w:bCs/>
                <w:sz w:val="21"/>
                <w:szCs w:val="21"/>
              </w:rPr>
              <w:t>对发生的系统故障能够及时找出原因告诉用户，并给出系统的调整方案，避免此类系统故障的再度发生。</w:t>
            </w:r>
          </w:p>
          <w:p w14:paraId="5439CB35">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如有必要，可对用户做系统故障解决办法的培训。</w:t>
            </w:r>
          </w:p>
        </w:tc>
        <w:tc>
          <w:tcPr>
            <w:tcW w:w="724" w:type="dxa"/>
            <w:shd w:val="clear" w:color="auto" w:fill="auto"/>
            <w:vAlign w:val="center"/>
          </w:tcPr>
          <w:p w14:paraId="7C2C922F">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61CA3E0F">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74FE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0E1D9158">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w:t>
            </w:r>
          </w:p>
        </w:tc>
        <w:tc>
          <w:tcPr>
            <w:tcW w:w="952" w:type="dxa"/>
            <w:shd w:val="clear" w:color="auto" w:fill="auto"/>
            <w:vAlign w:val="center"/>
          </w:tcPr>
          <w:p w14:paraId="7880250F">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auto"/>
                <w:kern w:val="0"/>
                <w:sz w:val="21"/>
                <w:szCs w:val="21"/>
                <w:lang w:val="en-US" w:eastAsia="zh-CN"/>
              </w:rPr>
              <w:t>协助</w:t>
            </w:r>
            <w:r>
              <w:rPr>
                <w:rFonts w:hint="eastAsia" w:ascii="宋体" w:hAnsi="宋体" w:eastAsia="宋体" w:cs="宋体"/>
                <w:b w:val="0"/>
                <w:bCs/>
                <w:color w:val="auto"/>
                <w:kern w:val="0"/>
                <w:sz w:val="21"/>
                <w:szCs w:val="21"/>
              </w:rPr>
              <w:t>等保测评服务</w:t>
            </w:r>
          </w:p>
        </w:tc>
        <w:tc>
          <w:tcPr>
            <w:tcW w:w="725" w:type="dxa"/>
            <w:shd w:val="clear" w:color="auto" w:fill="auto"/>
            <w:vAlign w:val="center"/>
          </w:tcPr>
          <w:p w14:paraId="34E2644D">
            <w:pPr>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定制</w:t>
            </w:r>
          </w:p>
        </w:tc>
        <w:tc>
          <w:tcPr>
            <w:tcW w:w="6190" w:type="dxa"/>
            <w:shd w:val="clear" w:color="auto" w:fill="auto"/>
            <w:vAlign w:val="center"/>
          </w:tcPr>
          <w:p w14:paraId="455C94C2">
            <w:pPr>
              <w:jc w:val="both"/>
              <w:rPr>
                <w:rFonts w:hint="eastAsia" w:ascii="宋体" w:hAnsi="宋体" w:eastAsia="宋体" w:cs="宋体"/>
                <w:b/>
                <w:bCs w:val="0"/>
                <w:kern w:val="0"/>
                <w:sz w:val="21"/>
                <w:szCs w:val="21"/>
                <w:highlight w:val="none"/>
                <w:lang w:eastAsia="zh-CN"/>
              </w:rPr>
            </w:pPr>
            <w:r>
              <w:rPr>
                <w:rFonts w:hint="eastAsia" w:ascii="宋体" w:hAnsi="宋体" w:eastAsia="宋体" w:cs="宋体"/>
                <w:b/>
                <w:bCs w:val="0"/>
                <w:kern w:val="0"/>
                <w:sz w:val="21"/>
                <w:szCs w:val="21"/>
                <w:highlight w:val="none"/>
                <w:lang w:val="en-US" w:eastAsia="zh-CN"/>
              </w:rPr>
              <w:t>协助</w:t>
            </w:r>
            <w:r>
              <w:rPr>
                <w:rFonts w:hint="eastAsia" w:ascii="宋体" w:hAnsi="宋体" w:eastAsia="宋体" w:cs="宋体"/>
                <w:b/>
                <w:bCs w:val="0"/>
                <w:kern w:val="0"/>
                <w:sz w:val="21"/>
                <w:szCs w:val="21"/>
                <w:highlight w:val="none"/>
              </w:rPr>
              <w:t>等保预测评服务</w:t>
            </w:r>
          </w:p>
          <w:p w14:paraId="6C467381">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1</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评估目的</w:t>
            </w:r>
          </w:p>
          <w:p w14:paraId="5DED3DB6">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对信息系统进行安全等级评估是国家推行等级保护制度的一个重要环节，也是对信息系统进行安全建设和管理的重要组成部分。</w:t>
            </w:r>
          </w:p>
          <w:p w14:paraId="095D053B">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等级评估不同于按照等级保护要求进行的等保差距分析。风险评估的目标是深入、详细地检查信息系统的安全风险状况，而差距分析则是按照等保的所有要求进行符合性检查，检查信息系统现状与国家等保要求之间的符合程度。可以说，风险评估的结果更能体现是客户信息系统技术层面的安全现状，比差距分析结果在技术上更加深入。风险评估的结果和差距分析结果都是整改建议方案的输入。</w:t>
            </w:r>
          </w:p>
          <w:p w14:paraId="261CE834">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通过专业的等级评估服务，协助用户完成以下的目标：</w:t>
            </w:r>
          </w:p>
          <w:p w14:paraId="0194514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了解信息系统的管理、网络和系统安全现状；</w:t>
            </w:r>
          </w:p>
          <w:p w14:paraId="799139EE">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确定可能对资产造成危害的威胁；</w:t>
            </w:r>
          </w:p>
          <w:p w14:paraId="29DCCEC6">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确定威胁实施的可能性；</w:t>
            </w:r>
          </w:p>
          <w:p w14:paraId="2F2D18AE">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对可能受到威胁影响的资产确定其价值、敏感性和严重性，以及相应的级别，确定哪些资产是最重要的；</w:t>
            </w:r>
          </w:p>
          <w:p w14:paraId="21EE697C">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对最重要的、最敏感的资产，确定一旦威胁发生其潜在的损失或破坏；</w:t>
            </w:r>
          </w:p>
          <w:p w14:paraId="63FA749E">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明确信息系统的已有安全措施的有效性；</w:t>
            </w:r>
          </w:p>
          <w:p w14:paraId="01A7F28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明晰信息系统的安全管理需求。</w:t>
            </w:r>
          </w:p>
          <w:p w14:paraId="28768A80">
            <w:pPr>
              <w:pStyle w:val="33"/>
              <w:widowControl w:val="0"/>
              <w:numPr>
                <w:ilvl w:val="0"/>
                <w:numId w:val="0"/>
              </w:numPr>
              <w:spacing w:line="0" w:lineRule="atLeast"/>
              <w:ind w:leftChars="0"/>
              <w:jc w:val="both"/>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评估内容</w:t>
            </w:r>
          </w:p>
          <w:p w14:paraId="3A0481B9">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资产识别与赋值</w:t>
            </w:r>
          </w:p>
          <w:p w14:paraId="1BF9387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主机安全性评估</w:t>
            </w:r>
          </w:p>
          <w:p w14:paraId="1972D285">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数据库安全性评估</w:t>
            </w:r>
          </w:p>
          <w:p w14:paraId="4A7D0512">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安全设备评估</w:t>
            </w:r>
          </w:p>
          <w:p w14:paraId="41A4166C">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现场风险评估用到的主要评估方法包括：</w:t>
            </w:r>
          </w:p>
          <w:p w14:paraId="719DD47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漏洞扫描</w:t>
            </w:r>
          </w:p>
          <w:p w14:paraId="28C5E5E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控制台审计</w:t>
            </w:r>
          </w:p>
          <w:p w14:paraId="1B0C2EB5">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技术访谈</w:t>
            </w:r>
          </w:p>
          <w:p w14:paraId="194D9089">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3</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评估分析</w:t>
            </w:r>
          </w:p>
          <w:p w14:paraId="5CCE9DAD">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根据现场收集的信息及对这些信息的分析，评估小组形成定级信息系统的弱点评估报告、风险评估报告等文档，使客户充分了解信息系统存在的风险，作为等保差距分析的一项重要输入，并作为后续整改建设的重要依据。</w:t>
            </w:r>
          </w:p>
        </w:tc>
        <w:tc>
          <w:tcPr>
            <w:tcW w:w="724" w:type="dxa"/>
            <w:shd w:val="clear" w:color="auto" w:fill="auto"/>
            <w:vAlign w:val="center"/>
          </w:tcPr>
          <w:p w14:paraId="302ECEE5">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6D90DF4A">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35E6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30A26403">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c>
          <w:tcPr>
            <w:tcW w:w="952" w:type="dxa"/>
            <w:shd w:val="clear" w:color="auto" w:fill="auto"/>
            <w:vAlign w:val="center"/>
          </w:tcPr>
          <w:p w14:paraId="3EADC8F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★网络安全事件应急响应服务</w:t>
            </w:r>
          </w:p>
        </w:tc>
        <w:tc>
          <w:tcPr>
            <w:tcW w:w="725" w:type="dxa"/>
            <w:shd w:val="clear" w:color="auto" w:fill="auto"/>
            <w:vAlign w:val="center"/>
          </w:tcPr>
          <w:p w14:paraId="30857C0B">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26D57967">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一、</w:t>
            </w:r>
            <w:r>
              <w:rPr>
                <w:rFonts w:hint="eastAsia" w:ascii="宋体" w:hAnsi="宋体" w:eastAsia="宋体" w:cs="宋体"/>
                <w:b/>
                <w:bCs w:val="0"/>
                <w:sz w:val="21"/>
                <w:szCs w:val="21"/>
                <w:highlight w:val="none"/>
              </w:rPr>
              <w:t>服务目标</w:t>
            </w:r>
          </w:p>
          <w:p w14:paraId="7D057B05">
            <w:p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确保桂林市人民医院的IT应急事件能够快速响应和准确诊断，使信息系统迅速回复，确保桂林市人民医院信息系统网络安全事件导致的损失最小化。</w:t>
            </w:r>
          </w:p>
          <w:p w14:paraId="425D4AB8">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二、</w:t>
            </w:r>
            <w:r>
              <w:rPr>
                <w:rFonts w:hint="eastAsia" w:ascii="宋体" w:hAnsi="宋体" w:eastAsia="宋体" w:cs="宋体"/>
                <w:b/>
                <w:bCs w:val="0"/>
                <w:sz w:val="21"/>
                <w:szCs w:val="21"/>
                <w:highlight w:val="none"/>
              </w:rPr>
              <w:t>服务范围</w:t>
            </w:r>
          </w:p>
          <w:p w14:paraId="4948FF58">
            <w:p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桂林市人民医院信息系统发生的信息安全突发事件。</w:t>
            </w:r>
          </w:p>
          <w:p w14:paraId="7CD6D379">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三、</w:t>
            </w:r>
            <w:r>
              <w:rPr>
                <w:rFonts w:hint="eastAsia" w:ascii="宋体" w:hAnsi="宋体" w:eastAsia="宋体" w:cs="宋体"/>
                <w:b/>
                <w:bCs w:val="0"/>
                <w:sz w:val="21"/>
                <w:szCs w:val="21"/>
                <w:highlight w:val="none"/>
              </w:rPr>
              <w:t>服务内容</w:t>
            </w:r>
          </w:p>
          <w:p w14:paraId="67832D6A">
            <w:pPr>
              <w:suppressAutoHyphens/>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需要处理的紧急安全事件包括：</w:t>
            </w:r>
          </w:p>
          <w:p w14:paraId="3BB216C4">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系统性能严重下降，或者当机，导致系统无法正常运行；</w:t>
            </w:r>
          </w:p>
          <w:p w14:paraId="6831BBED">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网络性能严重下降，或者当机，导致系统无法正常运行；</w:t>
            </w:r>
          </w:p>
          <w:p w14:paraId="1614DFA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非授权访问，通过入侵的方式进入到未被授权访问的网络中，而导致数据信息泄漏；</w:t>
            </w:r>
          </w:p>
          <w:p w14:paraId="20B0E488">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信息泄密，数据在传输中因数据被截取、篡改而造成信息的更改；</w:t>
            </w:r>
          </w:p>
          <w:p w14:paraId="01C940CE">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拒绝服务，正常用户不能正常访问服务器提供的相关服务；</w:t>
            </w:r>
          </w:p>
          <w:p w14:paraId="4D51A2B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大面积感染计算机病毒或蠕虫；</w:t>
            </w:r>
          </w:p>
          <w:p w14:paraId="0A5CA536">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设备故障导致网络或系统崩溃；</w:t>
            </w:r>
          </w:p>
          <w:p w14:paraId="001EC458">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误操作导致网络或系统崩溃；</w:t>
            </w:r>
          </w:p>
          <w:p w14:paraId="4EE1B93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业务中断</w:t>
            </w:r>
          </w:p>
          <w:p w14:paraId="36B71118">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大规模病毒爆发</w:t>
            </w:r>
          </w:p>
          <w:p w14:paraId="50434D5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网络瘫痪</w:t>
            </w:r>
          </w:p>
          <w:p w14:paraId="6794CC8C">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主机或网络异常事件</w:t>
            </w:r>
          </w:p>
          <w:p w14:paraId="26752597">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数据丢失</w:t>
            </w:r>
          </w:p>
          <w:p w14:paraId="07195CB5">
            <w:pPr>
              <w:suppressAutoHyphens/>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应急响应服务主要包括以下内容：</w:t>
            </w:r>
          </w:p>
          <w:p w14:paraId="74ABEAC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排查故障，隔离关键数据；</w:t>
            </w:r>
          </w:p>
          <w:p w14:paraId="1C6ADB5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攻击手段分析，提供应急方案或工具软件；</w:t>
            </w:r>
          </w:p>
          <w:p w14:paraId="76BB9445">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定位攻击来源，提出安全建议；</w:t>
            </w:r>
          </w:p>
          <w:p w14:paraId="0245CC2D">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数据及网络业务恢复。</w:t>
            </w:r>
          </w:p>
          <w:p w14:paraId="7BED037A">
            <w:pPr>
              <w:numPr>
                <w:ilvl w:val="0"/>
                <w:numId w:val="7"/>
              </w:num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提供的应急响应服务方式：</w:t>
            </w:r>
          </w:p>
          <w:p w14:paraId="46F4F5D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远程响应和现场服务，在处理紧急事件时，通常先尝试通过远程接入的方式定位并解决问题，如果条件不允许或不能解决问题，将尽可能快的赶赴事件现场进行处理。</w:t>
            </w:r>
          </w:p>
          <w:p w14:paraId="2EFA439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为桂林市人民医院的突发安全事件提供7×24小时的电话技术支持，在工作时间内半小时响应，4小时内到达现场，非工作时间内8小时到达现场。</w:t>
            </w:r>
          </w:p>
          <w:p w14:paraId="06E60F17">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sz w:val="21"/>
                <w:szCs w:val="21"/>
                <w:highlight w:val="none"/>
              </w:rPr>
              <w:t>中标方管理层领导须熟悉采购人信息系统和网络安全情况，发生紧急情况时，中标方须派出管理层领导到达现场，进行资源调度和应急保障。</w:t>
            </w:r>
          </w:p>
        </w:tc>
        <w:tc>
          <w:tcPr>
            <w:tcW w:w="724" w:type="dxa"/>
            <w:shd w:val="clear" w:color="auto" w:fill="auto"/>
            <w:vAlign w:val="center"/>
          </w:tcPr>
          <w:p w14:paraId="396A3C3E">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0ABFD38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3E77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725973A3">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w:t>
            </w:r>
          </w:p>
        </w:tc>
        <w:tc>
          <w:tcPr>
            <w:tcW w:w="952" w:type="dxa"/>
            <w:shd w:val="clear" w:color="auto" w:fill="auto"/>
            <w:vAlign w:val="center"/>
          </w:tcPr>
          <w:p w14:paraId="1A886B00">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★安全培训服务</w:t>
            </w:r>
          </w:p>
        </w:tc>
        <w:tc>
          <w:tcPr>
            <w:tcW w:w="725" w:type="dxa"/>
            <w:shd w:val="clear" w:color="auto" w:fill="auto"/>
            <w:vAlign w:val="center"/>
          </w:tcPr>
          <w:p w14:paraId="362AB18F">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23FF1FCD">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安全培训服务内容</w:t>
            </w:r>
          </w:p>
          <w:p w14:paraId="1CA70F0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为桂林市人民医院定制编写网络安全态势、网络安全技术培训课程。安全培训是增强信息系统使用人员、IT 维护人员和安全管理人员的安全意识、技能和知识的有效途径和方式。通过对不同层面人员有针对性的培训，可以逐渐提高员工的安全意识和安全技能，使之能够符合相关信息安全工作岗位的能力要求，降低由于人为原因引发的安全风险。通过人员的培训和教育可以解决信息安全人才少、人员数量和技能都存在差距的问题，从而全面提高桂林市人民医院整体的信息安全水平。</w:t>
            </w:r>
          </w:p>
          <w:p w14:paraId="5E345CF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安全培训须包括以下三类：</w:t>
            </w:r>
          </w:p>
          <w:p w14:paraId="758BB7AC">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安全意识培训</w:t>
            </w:r>
          </w:p>
          <w:p w14:paraId="232933A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安全意识培训是针对相关人员的安全培训和教育，目的是加强相关人员的信息安全教育，增强相关信息安全意识和技术水平，降低由于人为原因引发的安全风险，从而整体提高桂林市</w:t>
            </w:r>
            <w:r>
              <w:rPr>
                <w:rFonts w:hint="eastAsia" w:ascii="宋体" w:hAnsi="宋体" w:eastAsia="宋体" w:cs="宋体"/>
                <w:b w:val="0"/>
                <w:bCs/>
                <w:kern w:val="0"/>
                <w:sz w:val="21"/>
                <w:szCs w:val="21"/>
                <w:lang w:eastAsia="zh-CN"/>
              </w:rPr>
              <w:t>人民医院</w:t>
            </w:r>
            <w:r>
              <w:rPr>
                <w:rFonts w:hint="eastAsia" w:ascii="宋体" w:hAnsi="宋体" w:eastAsia="宋体" w:cs="宋体"/>
                <w:b w:val="0"/>
                <w:bCs/>
                <w:kern w:val="0"/>
                <w:sz w:val="21"/>
                <w:szCs w:val="21"/>
              </w:rPr>
              <w:t>整体的信息安全水平。</w:t>
            </w:r>
          </w:p>
          <w:p w14:paraId="5F733A0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针对相关人员的安全培训和教育工作，主要包括：</w:t>
            </w:r>
          </w:p>
          <w:p w14:paraId="7B7C9FEF">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建立对信息安全的正确认识</w:t>
            </w:r>
          </w:p>
          <w:p w14:paraId="5B5EBA2C">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信息安全的基本原则和惯例</w:t>
            </w:r>
          </w:p>
          <w:p w14:paraId="45D6C56C">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可能面临的威胁和风险</w:t>
            </w:r>
          </w:p>
          <w:p w14:paraId="26EA017B">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养成良好的安全习惯</w:t>
            </w:r>
          </w:p>
          <w:p w14:paraId="40FB3397">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管理类培训</w:t>
            </w:r>
          </w:p>
          <w:p w14:paraId="62CCE0A8">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管理类培训是针对信息安全管理相关的内容进行的培训。主要目的是在行业内推行、实施已建立的信息安全体系，提高信息安全管理水平。管理类培训应针对不同层面、不同职责、不同岗位的人员分别进行培训。从而达到管理培训有针对性、有步骤、有计划地进行。主要内容包括：</w:t>
            </w:r>
          </w:p>
          <w:p w14:paraId="5093AB51">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信息安全体系培训</w:t>
            </w:r>
          </w:p>
          <w:p w14:paraId="2F9E461F">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介绍安全体系的概念、目的、结构、内容和方法。</w:t>
            </w:r>
          </w:p>
          <w:p w14:paraId="20DA92E5">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 xml:space="preserve">概念和目的 </w:t>
            </w:r>
          </w:p>
          <w:p w14:paraId="74FED3B7">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安全体系的内容</w:t>
            </w:r>
          </w:p>
          <w:p w14:paraId="336A4BDF">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安全体系的运行和维护</w:t>
            </w:r>
          </w:p>
          <w:p w14:paraId="59EB0111">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技术类培训</w:t>
            </w:r>
          </w:p>
          <w:p w14:paraId="4748CCD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技术类培训是针对专职和兼职的信息安全工作人员的培训，其目的主要是提高信息安全工作人员的技术水平和安全素质，能够符合相关信息安全工作岗位的能力要求。主要包括：</w:t>
            </w:r>
          </w:p>
          <w:p w14:paraId="4AF45673">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网络基础设施安全培训</w:t>
            </w:r>
          </w:p>
          <w:p w14:paraId="4589DC36">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主机系统安全培训</w:t>
            </w:r>
          </w:p>
          <w:p w14:paraId="643E43C7">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数据库系统安全培训</w:t>
            </w:r>
          </w:p>
          <w:p w14:paraId="3C9D045C">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应用系统安全培训</w:t>
            </w:r>
          </w:p>
          <w:p w14:paraId="409762A6">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信息系统安全威胁</w:t>
            </w:r>
          </w:p>
          <w:p w14:paraId="0AC45FF3">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常见信息系统入侵技术</w:t>
            </w:r>
          </w:p>
          <w:p w14:paraId="3725370E">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信息系统防护体系</w:t>
            </w:r>
          </w:p>
          <w:p w14:paraId="42826148">
            <w:pPr>
              <w:pStyle w:val="25"/>
              <w:numPr>
                <w:ilvl w:val="0"/>
                <w:numId w:val="10"/>
              </w:numPr>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rPr>
              <w:t>风险评估与等级保护</w:t>
            </w:r>
          </w:p>
        </w:tc>
        <w:tc>
          <w:tcPr>
            <w:tcW w:w="724" w:type="dxa"/>
            <w:shd w:val="clear" w:color="auto" w:fill="auto"/>
            <w:vAlign w:val="center"/>
          </w:tcPr>
          <w:p w14:paraId="77EFF916">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3B09E72F">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03A64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66D72900">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952" w:type="dxa"/>
            <w:shd w:val="clear" w:color="auto" w:fill="auto"/>
            <w:vAlign w:val="center"/>
          </w:tcPr>
          <w:p w14:paraId="1E2EAFC4">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kern w:val="2"/>
                <w:sz w:val="21"/>
                <w:szCs w:val="21"/>
              </w:rPr>
              <w:t>重要时期保障服务</w:t>
            </w:r>
          </w:p>
        </w:tc>
        <w:tc>
          <w:tcPr>
            <w:tcW w:w="725" w:type="dxa"/>
            <w:shd w:val="clear" w:color="auto" w:fill="auto"/>
            <w:vAlign w:val="center"/>
          </w:tcPr>
          <w:p w14:paraId="2BDE75B3">
            <w:pPr>
              <w:jc w:val="center"/>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定制</w:t>
            </w:r>
          </w:p>
        </w:tc>
        <w:tc>
          <w:tcPr>
            <w:tcW w:w="6190" w:type="dxa"/>
            <w:shd w:val="clear" w:color="auto" w:fill="auto"/>
            <w:vAlign w:val="center"/>
          </w:tcPr>
          <w:p w14:paraId="52D596FF">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一、</w:t>
            </w:r>
            <w:r>
              <w:rPr>
                <w:rFonts w:hint="eastAsia" w:ascii="宋体" w:hAnsi="宋体" w:eastAsia="宋体" w:cs="宋体"/>
                <w:b w:val="0"/>
                <w:bCs/>
                <w:color w:val="000000"/>
                <w:kern w:val="2"/>
                <w:sz w:val="21"/>
                <w:szCs w:val="21"/>
              </w:rPr>
              <w:t>服务商须提供特定时期的安全保障服务，内容主要包括特定时期安全值班。</w:t>
            </w:r>
          </w:p>
          <w:p w14:paraId="126CA6CD">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kern w:val="2"/>
                <w:sz w:val="21"/>
                <w:szCs w:val="21"/>
                <w:lang w:val="en-US" w:eastAsia="zh-CN"/>
              </w:rPr>
              <w:t>二、</w:t>
            </w:r>
            <w:r>
              <w:rPr>
                <w:rFonts w:hint="eastAsia" w:ascii="宋体" w:hAnsi="宋体" w:eastAsia="宋体" w:cs="宋体"/>
                <w:b w:val="0"/>
                <w:bCs/>
                <w:color w:val="000000"/>
                <w:sz w:val="21"/>
                <w:szCs w:val="21"/>
              </w:rPr>
              <w:t>根据时间表，在特定时期提供安全专家值班表，按照我院需求安排专人远程及驻场值班，确保我院可以在第一时间得到专业支持和应急响应。</w:t>
            </w:r>
          </w:p>
          <w:p w14:paraId="13E1BA8D">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sz w:val="21"/>
                <w:szCs w:val="21"/>
                <w:lang w:val="en-US" w:eastAsia="zh-CN"/>
              </w:rPr>
              <w:t>三、</w:t>
            </w:r>
            <w:r>
              <w:rPr>
                <w:rFonts w:hint="eastAsia" w:ascii="宋体" w:hAnsi="宋体" w:eastAsia="宋体" w:cs="宋体"/>
                <w:b w:val="0"/>
                <w:bCs/>
                <w:color w:val="000000"/>
                <w:kern w:val="2"/>
                <w:sz w:val="21"/>
                <w:szCs w:val="21"/>
              </w:rPr>
              <w:t>重大活动期间，应急响应须提升响应级别，紧急故障由人员现场解决，解决时间按照我院对安全应急工作的划分而定，最长不应超过一个小时,如须二线专家解决的，响应时间不得超过10分钟。</w:t>
            </w:r>
          </w:p>
          <w:p w14:paraId="0612DBE1">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四、</w:t>
            </w:r>
            <w:r>
              <w:rPr>
                <w:rFonts w:hint="eastAsia" w:ascii="宋体" w:hAnsi="宋体" w:eastAsia="宋体" w:cs="宋体"/>
                <w:b w:val="0"/>
                <w:bCs/>
                <w:color w:val="000000"/>
                <w:kern w:val="2"/>
                <w:sz w:val="21"/>
                <w:szCs w:val="21"/>
              </w:rPr>
              <w:t>针对医院上级监管部门下发的风险报告做第一时间的技术确认和响应工作，协助医院完成漏洞的修补、问题的处置及业务的安全加固工作。</w:t>
            </w:r>
          </w:p>
          <w:p w14:paraId="2C85CA47">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五、</w:t>
            </w:r>
            <w:r>
              <w:rPr>
                <w:rFonts w:hint="eastAsia" w:ascii="宋体" w:hAnsi="宋体" w:eastAsia="宋体" w:cs="宋体"/>
                <w:b w:val="0"/>
                <w:bCs/>
                <w:color w:val="000000"/>
                <w:kern w:val="2"/>
                <w:sz w:val="21"/>
                <w:szCs w:val="21"/>
              </w:rPr>
              <w:t>7*24小时业务安全监控平台，包括暴露面监测、漏洞分析、高危漏洞ODAY漏洞检测、可用性监测、专家值守状态、业务篡改处置等功能。</w:t>
            </w:r>
          </w:p>
          <w:p w14:paraId="2251E247">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kern w:val="2"/>
                <w:sz w:val="21"/>
                <w:szCs w:val="21"/>
                <w:lang w:val="en-US" w:eastAsia="zh-CN"/>
              </w:rPr>
              <w:t>六、</w:t>
            </w:r>
            <w:r>
              <w:rPr>
                <w:rFonts w:hint="eastAsia" w:ascii="宋体" w:hAnsi="宋体" w:eastAsia="宋体" w:cs="宋体"/>
                <w:b w:val="0"/>
                <w:bCs/>
                <w:color w:val="000000"/>
                <w:kern w:val="2"/>
                <w:sz w:val="21"/>
                <w:szCs w:val="21"/>
                <w:lang w:val="en-US" w:eastAsia="zh-CN"/>
              </w:rPr>
              <w:t>交付成果：</w:t>
            </w:r>
            <w:r>
              <w:rPr>
                <w:rFonts w:hint="eastAsia" w:ascii="宋体" w:hAnsi="宋体" w:eastAsia="宋体" w:cs="宋体"/>
                <w:b w:val="0"/>
                <w:bCs/>
                <w:color w:val="000000"/>
                <w:kern w:val="2"/>
                <w:sz w:val="21"/>
                <w:szCs w:val="21"/>
              </w:rPr>
              <w:t>包括但不限于</w:t>
            </w:r>
          </w:p>
          <w:p w14:paraId="3F83C32A">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《特殊时期安全值守服务值班表》；</w:t>
            </w:r>
          </w:p>
          <w:p w14:paraId="45F7F8B4">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2</w:t>
            </w:r>
            <w:r>
              <w:rPr>
                <w:rFonts w:hint="eastAsia" w:cs="宋体"/>
                <w:b w:val="0"/>
                <w:bCs/>
                <w:color w:val="000000"/>
                <w:sz w:val="21"/>
                <w:szCs w:val="21"/>
                <w:lang w:val="en-US" w:eastAsia="zh-CN"/>
              </w:rPr>
              <w:t>.</w:t>
            </w:r>
            <w:r>
              <w:rPr>
                <w:rFonts w:hint="eastAsia" w:ascii="宋体" w:hAnsi="宋体" w:eastAsia="宋体" w:cs="宋体"/>
                <w:b w:val="0"/>
                <w:bCs/>
                <w:color w:val="000000"/>
                <w:sz w:val="21"/>
                <w:szCs w:val="21"/>
              </w:rPr>
              <w:t>《特殊时期安全值守服务总结报告》</w:t>
            </w:r>
          </w:p>
          <w:p w14:paraId="4396A6BA">
            <w:pPr>
              <w:adjustRightInd/>
              <w:spacing w:line="300" w:lineRule="exact"/>
              <w:ind w:firstLine="0" w:firstLineChars="0"/>
              <w:jc w:val="both"/>
              <w:textAlignment w:val="auto"/>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七、</w:t>
            </w:r>
            <w:r>
              <w:rPr>
                <w:rFonts w:hint="eastAsia" w:ascii="宋体" w:hAnsi="宋体" w:eastAsia="宋体" w:cs="宋体"/>
                <w:b w:val="0"/>
                <w:bCs/>
                <w:color w:val="000000"/>
                <w:sz w:val="21"/>
                <w:szCs w:val="21"/>
                <w:lang w:val="en-US" w:eastAsia="zh-CN"/>
              </w:rPr>
              <w:t>驻场要求：</w:t>
            </w:r>
          </w:p>
          <w:p w14:paraId="1E748BCC">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人员具有专业的安全运维知识和安全值守经验；</w:t>
            </w:r>
          </w:p>
          <w:p w14:paraId="7F8F47AB">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2.</w:t>
            </w:r>
            <w:r>
              <w:rPr>
                <w:rFonts w:hint="eastAsia" w:ascii="宋体" w:hAnsi="宋体" w:eastAsia="宋体" w:cs="宋体"/>
                <w:b w:val="0"/>
                <w:bCs/>
                <w:color w:val="000000"/>
                <w:sz w:val="21"/>
                <w:szCs w:val="21"/>
              </w:rPr>
              <w:t xml:space="preserve">值守期间全天5×8小时工作制，但须7×24小时响应； </w:t>
            </w:r>
          </w:p>
          <w:p w14:paraId="72AEC19C">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3</w:t>
            </w:r>
            <w:r>
              <w:rPr>
                <w:rFonts w:hint="eastAsia" w:cs="宋体"/>
                <w:b w:val="0"/>
                <w:bCs/>
                <w:color w:val="000000"/>
                <w:sz w:val="21"/>
                <w:szCs w:val="21"/>
                <w:lang w:val="en-US" w:eastAsia="zh-CN"/>
              </w:rPr>
              <w:t>.</w:t>
            </w:r>
            <w:r>
              <w:rPr>
                <w:rFonts w:hint="eastAsia" w:ascii="宋体" w:hAnsi="宋体" w:eastAsia="宋体" w:cs="宋体"/>
                <w:b w:val="0"/>
                <w:bCs/>
                <w:color w:val="000000"/>
                <w:sz w:val="21"/>
                <w:szCs w:val="21"/>
              </w:rPr>
              <w:t>详细记录安全值守过程。</w:t>
            </w:r>
          </w:p>
          <w:p w14:paraId="2A1A3632">
            <w:pPr>
              <w:pStyle w:val="25"/>
              <w:numPr>
                <w:ilvl w:val="0"/>
                <w:numId w:val="0"/>
              </w:numPr>
              <w:jc w:val="left"/>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八、</w:t>
            </w:r>
            <w:r>
              <w:rPr>
                <w:rFonts w:hint="eastAsia" w:ascii="宋体" w:hAnsi="宋体" w:eastAsia="宋体" w:cs="宋体"/>
                <w:b w:val="0"/>
                <w:bCs/>
                <w:color w:val="000000"/>
                <w:sz w:val="21"/>
                <w:szCs w:val="21"/>
              </w:rPr>
              <w:t>服务年内，按照我院的特殊时期值守需求，提供全年2次的现场特殊时期安全值守服务。</w:t>
            </w:r>
          </w:p>
        </w:tc>
        <w:tc>
          <w:tcPr>
            <w:tcW w:w="724" w:type="dxa"/>
            <w:shd w:val="clear" w:color="auto" w:fill="auto"/>
            <w:vAlign w:val="center"/>
          </w:tcPr>
          <w:p w14:paraId="70A849E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0FBF88F7">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6D60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5CA7ED51">
            <w:pPr>
              <w:widowControl/>
              <w:jc w:val="center"/>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9</w:t>
            </w:r>
          </w:p>
        </w:tc>
        <w:tc>
          <w:tcPr>
            <w:tcW w:w="952" w:type="dxa"/>
            <w:shd w:val="clear" w:color="auto" w:fill="auto"/>
            <w:vAlign w:val="center"/>
          </w:tcPr>
          <w:p w14:paraId="5CAC2DB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★驻场运维服务</w:t>
            </w:r>
          </w:p>
        </w:tc>
        <w:tc>
          <w:tcPr>
            <w:tcW w:w="725" w:type="dxa"/>
            <w:shd w:val="clear" w:color="auto" w:fill="auto"/>
            <w:vAlign w:val="center"/>
          </w:tcPr>
          <w:p w14:paraId="6B8633D9">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6190" w:type="dxa"/>
            <w:shd w:val="clear" w:color="auto" w:fill="auto"/>
            <w:vAlign w:val="center"/>
          </w:tcPr>
          <w:p w14:paraId="18FB4E5E">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一、驻场运维人员要求</w:t>
            </w:r>
          </w:p>
          <w:p w14:paraId="66AF85EF">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服务提供商应承诺为本项目成立服务项目组，项目组服务成员不少于</w:t>
            </w:r>
            <w:r>
              <w:rPr>
                <w:rFonts w:hint="eastAsia" w:ascii="宋体" w:hAnsi="宋体" w:eastAsia="宋体" w:cs="宋体"/>
                <w:b w:val="0"/>
                <w:bCs/>
                <w:kern w:val="0"/>
                <w:sz w:val="21"/>
                <w:szCs w:val="21"/>
                <w:highlight w:val="none"/>
                <w:lang w:val="en-US" w:eastAsia="zh-CN"/>
              </w:rPr>
              <w:t>6</w:t>
            </w:r>
            <w:r>
              <w:rPr>
                <w:rFonts w:hint="eastAsia" w:ascii="宋体" w:hAnsi="宋体" w:eastAsia="宋体" w:cs="宋体"/>
                <w:b w:val="0"/>
                <w:bCs/>
                <w:kern w:val="0"/>
                <w:sz w:val="21"/>
                <w:szCs w:val="21"/>
                <w:highlight w:val="none"/>
              </w:rPr>
              <w:t>人，设备运维服务驻场</w:t>
            </w:r>
            <w:r>
              <w:rPr>
                <w:rFonts w:hint="eastAsia" w:ascii="宋体" w:hAnsi="宋体" w:eastAsia="宋体" w:cs="宋体"/>
                <w:b w:val="0"/>
                <w:bCs/>
                <w:kern w:val="0"/>
                <w:sz w:val="21"/>
                <w:szCs w:val="21"/>
                <w:highlight w:val="none"/>
                <w:lang w:val="en-US" w:eastAsia="zh-CN"/>
              </w:rPr>
              <w:t>2</w:t>
            </w:r>
            <w:r>
              <w:rPr>
                <w:rFonts w:hint="eastAsia" w:ascii="宋体" w:hAnsi="宋体" w:eastAsia="宋体" w:cs="宋体"/>
                <w:b w:val="0"/>
                <w:bCs/>
                <w:kern w:val="0"/>
                <w:sz w:val="21"/>
                <w:szCs w:val="21"/>
                <w:highlight w:val="none"/>
              </w:rPr>
              <w:t>人，二线服务人员不少于4人。项目组协助采购人不断改进安全管理水平，组织、管理本项目所负责的维护服务工作</w:t>
            </w:r>
            <w:r>
              <w:rPr>
                <w:rFonts w:hint="eastAsia" w:ascii="宋体" w:hAnsi="宋体" w:eastAsia="宋体" w:cs="宋体"/>
                <w:b w:val="0"/>
                <w:bCs/>
                <w:kern w:val="0"/>
                <w:sz w:val="21"/>
                <w:szCs w:val="21"/>
                <w:highlight w:val="none"/>
                <w:lang w:eastAsia="zh-CN"/>
              </w:rPr>
              <w:t>，</w:t>
            </w:r>
            <w:r>
              <w:rPr>
                <w:rFonts w:hint="eastAsia" w:ascii="宋体" w:hAnsi="宋体" w:eastAsia="宋体" w:cs="宋体"/>
                <w:b w:val="0"/>
                <w:bCs/>
                <w:kern w:val="0"/>
                <w:sz w:val="21"/>
                <w:szCs w:val="21"/>
                <w:highlight w:val="none"/>
                <w:lang w:val="en-US" w:eastAsia="zh-CN"/>
              </w:rPr>
              <w:t>项目技术人员有</w:t>
            </w:r>
            <w:r>
              <w:rPr>
                <w:rFonts w:hint="eastAsia" w:ascii="宋体" w:hAnsi="宋体" w:eastAsia="宋体" w:cs="宋体"/>
                <w:b w:val="0"/>
                <w:bCs/>
                <w:sz w:val="21"/>
                <w:szCs w:val="21"/>
                <w:highlight w:val="none"/>
                <w:lang w:val="en-US" w:eastAsia="zh-CN"/>
              </w:rPr>
              <w:t>RHCSA软件系统操作</w:t>
            </w:r>
            <w:r>
              <w:rPr>
                <w:rFonts w:hint="eastAsia" w:ascii="宋体" w:hAnsi="宋体" w:eastAsia="宋体" w:cs="宋体"/>
                <w:b w:val="0"/>
                <w:bCs/>
                <w:color w:val="auto"/>
                <w:sz w:val="21"/>
                <w:szCs w:val="21"/>
                <w:highlight w:val="none"/>
              </w:rPr>
              <w:t>工程师</w:t>
            </w:r>
            <w:r>
              <w:rPr>
                <w:rFonts w:hint="eastAsia" w:ascii="宋体" w:hAnsi="宋体" w:eastAsia="宋体" w:cs="宋体"/>
                <w:b w:val="0"/>
                <w:bCs/>
                <w:kern w:val="0"/>
                <w:sz w:val="21"/>
                <w:szCs w:val="21"/>
                <w:highlight w:val="none"/>
              </w:rPr>
              <w:t>。本项目服务小组具体要求如下：</w:t>
            </w:r>
          </w:p>
          <w:p w14:paraId="1A505663">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1</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一线驻场运维服务工程师，不少于</w:t>
            </w:r>
            <w:r>
              <w:rPr>
                <w:rFonts w:hint="eastAsia" w:ascii="宋体" w:hAnsi="宋体" w:eastAsia="宋体" w:cs="宋体"/>
                <w:b w:val="0"/>
                <w:bCs/>
                <w:kern w:val="0"/>
                <w:sz w:val="21"/>
                <w:szCs w:val="21"/>
                <w:highlight w:val="none"/>
                <w:lang w:val="en-US" w:eastAsia="zh-CN"/>
              </w:rPr>
              <w:t>2</w:t>
            </w:r>
            <w:r>
              <w:rPr>
                <w:rFonts w:hint="eastAsia" w:ascii="宋体" w:hAnsi="宋体" w:eastAsia="宋体" w:cs="宋体"/>
                <w:b w:val="0"/>
                <w:bCs/>
                <w:kern w:val="0"/>
                <w:sz w:val="21"/>
                <w:szCs w:val="21"/>
                <w:highlight w:val="none"/>
              </w:rPr>
              <w:t>人驻场；</w:t>
            </w:r>
          </w:p>
          <w:p w14:paraId="21085F2D">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2</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二线支持团队运维服务工程师，不少于4人；</w:t>
            </w:r>
          </w:p>
          <w:p w14:paraId="4E72BC2D">
            <w:pPr>
              <w:pStyle w:val="3"/>
              <w:spacing w:line="24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w:t>
            </w:r>
            <w:r>
              <w:rPr>
                <w:rFonts w:hint="eastAsia" w:ascii="宋体" w:hAnsi="宋体" w:cs="宋体"/>
                <w:b w:val="0"/>
                <w:bCs/>
                <w:sz w:val="21"/>
                <w:szCs w:val="21"/>
                <w:highlight w:val="none"/>
                <w:lang w:val="en-US" w:eastAsia="zh-CN"/>
              </w:rPr>
              <w:t>.</w:t>
            </w:r>
            <w:r>
              <w:rPr>
                <w:rFonts w:hint="eastAsia" w:ascii="宋体" w:hAnsi="宋体" w:eastAsia="宋体" w:cs="宋体"/>
                <w:b w:val="0"/>
                <w:bCs/>
                <w:sz w:val="21"/>
                <w:szCs w:val="21"/>
                <w:highlight w:val="none"/>
              </w:rPr>
              <w:t>一线驻场团队运维服务工程师资质要求，不少于1个HC</w:t>
            </w:r>
            <w:r>
              <w:rPr>
                <w:rFonts w:hint="eastAsia" w:ascii="宋体" w:hAnsi="宋体" w:eastAsia="宋体" w:cs="宋体"/>
                <w:b w:val="0"/>
                <w:bCs/>
                <w:sz w:val="21"/>
                <w:szCs w:val="21"/>
                <w:highlight w:val="none"/>
                <w:lang w:val="en-US" w:eastAsia="zh-CN"/>
              </w:rPr>
              <w:t>IE高级</w:t>
            </w:r>
            <w:r>
              <w:rPr>
                <w:rFonts w:hint="eastAsia" w:ascii="宋体" w:hAnsi="宋体" w:eastAsia="宋体" w:cs="宋体"/>
                <w:b w:val="0"/>
                <w:bCs/>
                <w:sz w:val="21"/>
                <w:szCs w:val="21"/>
                <w:highlight w:val="none"/>
              </w:rPr>
              <w:t>认证工程师，</w:t>
            </w:r>
            <w:r>
              <w:rPr>
                <w:rFonts w:hint="eastAsia" w:ascii="宋体" w:hAnsi="宋体" w:eastAsia="宋体" w:cs="宋体"/>
                <w:b w:val="0"/>
                <w:bCs/>
                <w:color w:val="auto"/>
                <w:sz w:val="21"/>
                <w:szCs w:val="21"/>
                <w:highlight w:val="none"/>
              </w:rPr>
              <w:t>不少于2个HCI</w:t>
            </w:r>
            <w:r>
              <w:rPr>
                <w:rFonts w:hint="eastAsia" w:ascii="宋体" w:hAnsi="宋体" w:eastAsia="宋体" w:cs="宋体"/>
                <w:b w:val="0"/>
                <w:bCs/>
                <w:color w:val="auto"/>
                <w:sz w:val="21"/>
                <w:szCs w:val="21"/>
                <w:highlight w:val="none"/>
                <w:lang w:val="en-US" w:eastAsia="zh-CN"/>
              </w:rPr>
              <w:t>P以上</w:t>
            </w:r>
            <w:r>
              <w:rPr>
                <w:rFonts w:hint="eastAsia" w:ascii="宋体" w:hAnsi="宋体" w:eastAsia="宋体" w:cs="宋体"/>
                <w:b w:val="0"/>
                <w:bCs/>
                <w:color w:val="auto"/>
                <w:sz w:val="21"/>
                <w:szCs w:val="21"/>
                <w:highlight w:val="none"/>
              </w:rPr>
              <w:t>路由交换认证工程师；</w:t>
            </w:r>
            <w:r>
              <w:rPr>
                <w:rFonts w:hint="eastAsia" w:ascii="宋体" w:hAnsi="宋体" w:eastAsia="宋体" w:cs="宋体"/>
                <w:b w:val="0"/>
                <w:bCs/>
                <w:sz w:val="21"/>
                <w:szCs w:val="21"/>
                <w:highlight w:val="none"/>
              </w:rPr>
              <w:t>二线支持团队运维服务工程师资质要求，不少于</w:t>
            </w: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个</w:t>
            </w:r>
            <w:r>
              <w:rPr>
                <w:rFonts w:hint="eastAsia" w:ascii="宋体" w:hAnsi="宋体" w:eastAsia="宋体" w:cs="宋体"/>
                <w:b w:val="0"/>
                <w:bCs/>
                <w:sz w:val="21"/>
                <w:szCs w:val="21"/>
                <w:highlight w:val="none"/>
                <w:lang w:val="en-US" w:eastAsia="zh-CN"/>
              </w:rPr>
              <w:t>HC</w:t>
            </w:r>
            <w:r>
              <w:rPr>
                <w:rFonts w:hint="eastAsia" w:ascii="宋体" w:hAnsi="宋体" w:eastAsia="宋体" w:cs="宋体"/>
                <w:b w:val="0"/>
                <w:bCs/>
                <w:sz w:val="21"/>
                <w:szCs w:val="21"/>
                <w:highlight w:val="none"/>
              </w:rPr>
              <w:t>SP认证工程师，不少于2个</w:t>
            </w:r>
            <w:r>
              <w:rPr>
                <w:rFonts w:hint="eastAsia" w:ascii="宋体" w:hAnsi="宋体" w:eastAsia="宋体" w:cs="宋体"/>
                <w:b w:val="0"/>
                <w:bCs/>
                <w:sz w:val="21"/>
                <w:szCs w:val="21"/>
                <w:highlight w:val="none"/>
                <w:lang w:val="en-US" w:eastAsia="zh-CN"/>
              </w:rPr>
              <w:t>中级网络</w:t>
            </w:r>
            <w:r>
              <w:rPr>
                <w:rFonts w:hint="eastAsia" w:ascii="宋体" w:hAnsi="宋体" w:eastAsia="宋体" w:cs="宋体"/>
                <w:b w:val="0"/>
                <w:bCs/>
                <w:sz w:val="21"/>
                <w:szCs w:val="21"/>
                <w:highlight w:val="none"/>
              </w:rPr>
              <w:t>工程师</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不少于2个信息系统运维工程师</w:t>
            </w:r>
            <w:r>
              <w:rPr>
                <w:rFonts w:hint="eastAsia" w:ascii="宋体" w:hAnsi="宋体" w:eastAsia="宋体" w:cs="宋体"/>
                <w:b w:val="0"/>
                <w:bCs/>
                <w:sz w:val="21"/>
                <w:szCs w:val="21"/>
                <w:highlight w:val="none"/>
              </w:rPr>
              <w:t>。</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为确保服务质量和能力，投标要求提供不少于30人团队社保证明及所有一线，二线工程师(最近半年至少1个月以上)的社保证明</w:t>
            </w:r>
            <w:r>
              <w:rPr>
                <w:rFonts w:hint="eastAsia" w:ascii="宋体" w:hAnsi="宋体" w:cs="宋体"/>
                <w:b w:val="0"/>
                <w:bCs/>
                <w:sz w:val="21"/>
                <w:szCs w:val="21"/>
                <w:highlight w:val="none"/>
                <w:lang w:val="en-US" w:eastAsia="zh-CN"/>
              </w:rPr>
              <w:t>。</w:t>
            </w:r>
          </w:p>
          <w:p w14:paraId="05F1A2F6">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二、运维服务过程控制要求</w:t>
            </w:r>
          </w:p>
          <w:p w14:paraId="7041A119">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报表服务：每周、月、季度、半年度、年度都要对信息系统运行情况进行监控，形成分析报表。报表内容可以包括服务月报表等；</w:t>
            </w:r>
          </w:p>
          <w:p w14:paraId="1DDC2CAA">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知识库管理：服务方负责积累、丰富运维知识库，并根据日常运维管理工作进行整理、汇总、归纳、和更新；</w:t>
            </w:r>
          </w:p>
          <w:p w14:paraId="2683F4F1">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维护工程师每周提交技术文档，并由服务台将技术资料整理后输入到知识库系统中，项目服务人员可从系统中找到相应的技术资料，提高日常维护的工作效率，一般用户可以通过查询IT知识库，提高用户的操作水平及技能；</w:t>
            </w:r>
          </w:p>
          <w:p w14:paraId="6F45C8D8">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例会要求，每月10号下午，举行一次服务项目月度例会，服务方的项目驻场经理、项目经理及用户方有关领导参加，会议听取用户意见，对存在的问题在会议后两天内向用户递交《整改报告》，整改报告内容应该包括整改计划、整改内容等，整改报告在下月月度例会时再次递交给用户评价。</w:t>
            </w:r>
          </w:p>
          <w:p w14:paraId="3591C20D">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三、文档要求</w:t>
            </w:r>
          </w:p>
          <w:p w14:paraId="3A3D512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服务提供商需要提供包括但不限于以下交付物：</w:t>
            </w:r>
          </w:p>
          <w:p w14:paraId="6EC99CB8">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《巡检报告》：服务提供商需根据巡检内容提供巡检报告。</w:t>
            </w:r>
          </w:p>
          <w:p w14:paraId="61809583">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《重大故障报告》：业务系统发生故障后，需要处理故障并填写重大故障报告。</w:t>
            </w:r>
          </w:p>
          <w:p w14:paraId="7D361D1C">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《年度总结》：服务提供商需提供年度总结报告。</w:t>
            </w:r>
          </w:p>
          <w:p w14:paraId="5532688F">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《维护报告》：定期（月、季、半年、年）提交维护报告，包含各类设备、软件、系统等维护、检测、维修报告。</w:t>
            </w:r>
          </w:p>
          <w:p w14:paraId="1A48176D">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5.</w:t>
            </w:r>
            <w:r>
              <w:rPr>
                <w:rFonts w:hint="eastAsia" w:ascii="宋体" w:hAnsi="宋体" w:eastAsia="宋体" w:cs="宋体"/>
                <w:b w:val="0"/>
                <w:bCs/>
                <w:kern w:val="0"/>
                <w:sz w:val="21"/>
                <w:szCs w:val="21"/>
              </w:rPr>
              <w:t>《运维管理制度》：工作流程、人员考核制度（月度考核）。</w:t>
            </w:r>
          </w:p>
          <w:p w14:paraId="1B2E7C82">
            <w:pPr>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6.</w:t>
            </w:r>
            <w:r>
              <w:rPr>
                <w:rFonts w:hint="eastAsia" w:ascii="宋体" w:hAnsi="宋体" w:eastAsia="宋体" w:cs="宋体"/>
                <w:b w:val="0"/>
                <w:bCs/>
                <w:kern w:val="0"/>
                <w:sz w:val="21"/>
                <w:szCs w:val="21"/>
              </w:rPr>
              <w:t>《维护手册》：相应的系统检测指南，规范系统检测步骤等，最终建成维护文档库</w:t>
            </w:r>
            <w:r>
              <w:rPr>
                <w:rFonts w:hint="eastAsia" w:ascii="宋体" w:hAnsi="宋体" w:cs="宋体"/>
                <w:b w:val="0"/>
                <w:bCs/>
                <w:kern w:val="0"/>
                <w:sz w:val="21"/>
                <w:szCs w:val="21"/>
                <w:lang w:eastAsia="zh-CN"/>
              </w:rPr>
              <w:t>。</w:t>
            </w:r>
          </w:p>
          <w:p w14:paraId="1573DFCD">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四、保密要求</w:t>
            </w:r>
          </w:p>
          <w:p w14:paraId="39092C1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中标人在项目实施过程中，对所获得的有关的各类数据、资料负有保密义务，未经许可，不得向第三方泄露。</w:t>
            </w:r>
          </w:p>
          <w:p w14:paraId="63B2F092">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五、IT运维服务响应要求</w:t>
            </w:r>
          </w:p>
          <w:p w14:paraId="7665E2A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服务方式要求</w:t>
            </w: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针对运维服务需求，要求中标人组建专门的服务队伍并以现场服务为主，同时也接收传真、邮件等其他方式的服务请求。服务工程师常驻现场，工作时间是5天×8小时；对于不得间断运行的各类网络设备、网络安全设备、服务器、存储、自助设备的维护和管理工作，提供7天×24小时的响应技术服务支持。</w:t>
            </w:r>
          </w:p>
        </w:tc>
        <w:tc>
          <w:tcPr>
            <w:tcW w:w="724" w:type="dxa"/>
            <w:shd w:val="clear" w:color="auto" w:fill="auto"/>
            <w:vAlign w:val="center"/>
          </w:tcPr>
          <w:p w14:paraId="4604A7D1">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714" w:type="dxa"/>
            <w:shd w:val="clear" w:color="auto" w:fill="auto"/>
            <w:vAlign w:val="center"/>
          </w:tcPr>
          <w:p w14:paraId="7BBCBD0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36B23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5DEB9C8C">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10</w:t>
            </w:r>
          </w:p>
        </w:tc>
        <w:tc>
          <w:tcPr>
            <w:tcW w:w="952" w:type="dxa"/>
            <w:shd w:val="clear" w:color="auto" w:fill="auto"/>
            <w:vAlign w:val="center"/>
          </w:tcPr>
          <w:p w14:paraId="2A57185F">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kern w:val="2"/>
                <w:sz w:val="21"/>
                <w:szCs w:val="21"/>
              </w:rPr>
              <w:t>外网安全托管服务</w:t>
            </w:r>
          </w:p>
        </w:tc>
        <w:tc>
          <w:tcPr>
            <w:tcW w:w="725" w:type="dxa"/>
            <w:shd w:val="clear" w:color="auto" w:fill="auto"/>
            <w:vAlign w:val="center"/>
          </w:tcPr>
          <w:p w14:paraId="2CC121BC">
            <w:pPr>
              <w:jc w:val="center"/>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定制</w:t>
            </w:r>
          </w:p>
        </w:tc>
        <w:tc>
          <w:tcPr>
            <w:tcW w:w="6190" w:type="dxa"/>
            <w:shd w:val="clear" w:color="auto" w:fill="auto"/>
            <w:vAlign w:val="center"/>
          </w:tcPr>
          <w:p w14:paraId="7C77A5AF">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无缝连接2024年安全托管服务平台，</w:t>
            </w:r>
            <w:r>
              <w:rPr>
                <w:rFonts w:hint="eastAsia" w:ascii="宋体" w:hAnsi="宋体" w:eastAsia="宋体" w:cs="宋体"/>
                <w:b w:val="0"/>
                <w:bCs/>
                <w:color w:val="auto"/>
                <w:sz w:val="21"/>
                <w:szCs w:val="21"/>
              </w:rPr>
              <w:t>服务资产数量：不少于</w:t>
            </w:r>
            <w:r>
              <w:rPr>
                <w:rFonts w:hint="eastAsia" w:ascii="宋体" w:hAnsi="宋体" w:cs="宋体"/>
                <w:b w:val="0"/>
                <w:bCs/>
                <w:color w:val="auto"/>
                <w:sz w:val="21"/>
                <w:szCs w:val="21"/>
                <w:lang w:val="en-US" w:eastAsia="zh-CN"/>
              </w:rPr>
              <w:t>3</w:t>
            </w:r>
            <w:r>
              <w:rPr>
                <w:rFonts w:hint="eastAsia" w:ascii="宋体" w:hAnsi="宋体" w:eastAsia="宋体" w:cs="宋体"/>
                <w:b w:val="0"/>
                <w:bCs/>
                <w:color w:val="auto"/>
                <w:sz w:val="21"/>
                <w:szCs w:val="21"/>
              </w:rPr>
              <w:t>0个IP资产；服务频率：1年7*24小时</w:t>
            </w:r>
            <w:r>
              <w:rPr>
                <w:rFonts w:hint="eastAsia" w:ascii="宋体" w:hAnsi="宋体" w:eastAsia="宋体" w:cs="宋体"/>
                <w:b w:val="0"/>
                <w:bCs/>
                <w:color w:val="auto"/>
                <w:sz w:val="21"/>
                <w:szCs w:val="21"/>
                <w:highlight w:val="none"/>
              </w:rPr>
              <w:t>安全监测托管服务</w:t>
            </w:r>
            <w:r>
              <w:rPr>
                <w:rFonts w:hint="eastAsia" w:ascii="宋体" w:hAnsi="宋体" w:eastAsia="宋体" w:cs="宋体"/>
                <w:b w:val="0"/>
                <w:bCs/>
                <w:color w:val="auto"/>
                <w:sz w:val="21"/>
                <w:szCs w:val="21"/>
              </w:rPr>
              <w:t xml:space="preserve">。平台要求: </w:t>
            </w:r>
          </w:p>
          <w:p w14:paraId="6A910335">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平台支持流量探针、第三方设备的日志设备的接入管理与对接。支持对数据源状态进行监控、启停管理。</w:t>
            </w:r>
          </w:p>
          <w:p w14:paraId="10563742">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平台系统内置2大类场景：不少于 47类重保场景和 67 类通用安全场景，不少于700开箱规则，MITRE ATT&amp;CK覆盖率超过70%，其中威胁情报相关规则不少于18条，Windows类规则不少于352。</w:t>
            </w:r>
          </w:p>
          <w:p w14:paraId="6A4574E8">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支持对泛化日志进行实时关联分析，以发现攻击事件。支持多个数据源与情报、漏洞、资产、引用集等进行关联分析。</w:t>
            </w:r>
          </w:p>
          <w:p w14:paraId="6991E1B8">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平台的威胁运营需要采用最新的ATT&amp;CK框架模型，且关联规则对ATTCK覆盖率超过70%，提供彩页或官网或功能截图；</w:t>
            </w:r>
          </w:p>
          <w:p w14:paraId="0C083C20">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平台页面直观展现企业当前告警所覆盖的ATT&amp;CK矩阵，包括每个战术、技术相关的告警数及列表。并能根据时间、ATT&amp;CK技术、告警名称进行搜索，提供彩页或官网或功能截图；</w:t>
            </w:r>
          </w:p>
          <w:p w14:paraId="065F2917">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支持本地查询威胁情报，提供自定义情报，查询时可匹配多情报源。查询结果可显示命中情报源、判断结果、威胁等级、威胁类型、情报标签等字段，支持下钻查看详情。支持单次查询和批量查询，批量搜索单次最多输入不少于200个ioc。</w:t>
            </w:r>
          </w:p>
          <w:p w14:paraId="5332EC5D">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平台支持查询云端威胁情报库，获取更丰富的情报上下文信息。包括ioc的基本信息、网络信息、注册信息、TTPS、家族团伙、情报来源等，提供彩页或官网或功能截图；</w:t>
            </w:r>
          </w:p>
          <w:p w14:paraId="4421DAC8">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查看事件详情时，支持自动提取事件筛选条件并快速创建告警策略。</w:t>
            </w:r>
          </w:p>
          <w:p w14:paraId="1144B863">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支持对安全事件编辑标签、直接创建调查任务或一键阻断，实现安全事件的进一步分析或响应。支持鼠标右键弹出快捷菜单功能，保证事件/IP搜索的连贯性。</w:t>
            </w:r>
          </w:p>
          <w:p w14:paraId="754FFC1C">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可以直观呈现网络安全状况和实际发展趋势，体现安全运营的工作效果。包括接入的安全日志数量，检测的攻击告警数量，和识别的安全事件数量。告警和事件数量针对严重级别进行细粒度统计。并提供环比、近30天平均值的对比，反应安全状况趋势。提供时间趋势图，可直观呈现接入安全日志与检出的攻击告警的变化趋势。提供基于ATT&amp;CK战术阶段的告警分布统计，呈现对应技战术阶段攻击状况分布，以及攻击IP对应世界地图上地理位置热力图。支持提供具体细节记录列表，作为线索进一步调查，提供发现安全事件列表，攻击次数TOP50的告警，出现次数TOP50的安全日志。支持从关键统计数字、TOP记录跳转到对应功能模块，查看统计结果对应列表或记录详情。安全态势数据统计时间范围支持选择近24小时、近7天、近30天，也可以根据需要自定义设置统计时间范围。</w:t>
            </w:r>
          </w:p>
          <w:p w14:paraId="01DBA825">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展示近24小时、近7天或近30天的告警总览、告警类型分布、告警等级分布、攻击链各阶段的攻击者与受害者分布以及告警统计、告警次数与影响面趋势、告警TOP5（告警次数TOP5和影响面TOP5）、资产组告警次数TOP5和告警列表滚动更新，支持跳转对应攻击链阶段的告警列表。支持3D大屏可交互式查看。</w:t>
            </w:r>
          </w:p>
          <w:p w14:paraId="64877EB6">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支持展示近24小时、近7天或近30天的告警总览、各阶段告警次数（统计图和趋势图）、攻击源TOP7、攻防演练总览、资产总览、资产组风险状态、风险资产趋势以及实时攻击与处置情况。支持3D大屏可交互式查看。</w:t>
            </w:r>
          </w:p>
          <w:p w14:paraId="5892759C">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▲13</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支持配置情报IP并对这些IP相关的事件和告警进行监控，包括情报IP事件的日志源子类型趋势及分布、攻击者IP、受害者IP、事件详情和情报IP告警的告警次数趋势、告警分布、攻击者IP、受害者IP、告警详情，提供提供彩页或官网或功能截图。</w:t>
            </w:r>
          </w:p>
          <w:p w14:paraId="171F4348">
            <w:pPr>
              <w:widowControl/>
              <w:adjustRightInd/>
              <w:spacing w:line="240" w:lineRule="auto"/>
              <w:ind w:firstLine="0" w:firstLineChars="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rPr>
              <w:t>14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分析内部DNS解析情况，发现可疑DGA/DNS隧道/动态域名解析情形，从而提醒安全运营人员及时阻断恶意的DNS活动。域名安全专题包括域名解析类型分析、DNS解析错误类型分析、DNS服务器解析和动态域名流量分析</w:t>
            </w:r>
            <w:r>
              <w:rPr>
                <w:rFonts w:hint="eastAsia" w:ascii="宋体" w:hAnsi="宋体" w:cs="宋体"/>
                <w:b w:val="0"/>
                <w:bCs/>
                <w:color w:val="auto"/>
                <w:sz w:val="21"/>
                <w:szCs w:val="21"/>
                <w:lang w:eastAsia="zh-CN"/>
              </w:rPr>
              <w:t>。</w:t>
            </w:r>
          </w:p>
          <w:p w14:paraId="6DA88ED3">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15.</w:t>
            </w:r>
            <w:r>
              <w:rPr>
                <w:rFonts w:hint="eastAsia" w:ascii="宋体" w:hAnsi="宋体" w:eastAsia="宋体" w:cs="宋体"/>
                <w:b w:val="0"/>
                <w:bCs/>
                <w:color w:val="auto"/>
                <w:sz w:val="21"/>
                <w:szCs w:val="21"/>
              </w:rPr>
              <w:t>基于流量分析登录会话，支持MySQL/SSH/Oracle/SQLServer/RDP/FTP等常见登录协议的分析检测，从而提醒安全运营人员及时发现可疑的爆破行为。账号安全专题包括登录来源统计图表、登录行为趋势图、登录类型分布图、爆破账号登录统计图和爆破行为统计图</w:t>
            </w:r>
          </w:p>
          <w:p w14:paraId="19942670">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对网络环境中的资产实现列表管理，资产信息包括资产名称、资产IP、资产来源、资产分组、该资产待修复的安全告警数、事件数、待修复漏洞数等。支持自定义资产列表的显示项。</w:t>
            </w:r>
          </w:p>
          <w:p w14:paraId="7EE6CD04">
            <w:pPr>
              <w:rPr>
                <w:rFonts w:hint="eastAsia" w:ascii="宋体" w:hAnsi="宋体" w:eastAsia="宋体" w:cs="宋体"/>
                <w:b w:val="0"/>
                <w:bCs/>
                <w:color w:val="auto"/>
                <w:kern w:val="0"/>
                <w:sz w:val="21"/>
                <w:szCs w:val="21"/>
              </w:rPr>
            </w:pPr>
            <w:r>
              <w:rPr>
                <w:rFonts w:hint="eastAsia" w:ascii="宋体" w:hAnsi="宋体" w:cs="宋体"/>
                <w:b w:val="0"/>
                <w:bCs/>
                <w:color w:val="auto"/>
                <w:sz w:val="21"/>
                <w:szCs w:val="21"/>
                <w:lang w:val="en-US" w:eastAsia="zh-CN"/>
              </w:rPr>
              <w:t>17.</w:t>
            </w:r>
            <w:r>
              <w:rPr>
                <w:rFonts w:hint="eastAsia" w:ascii="宋体" w:hAnsi="宋体" w:eastAsia="宋体" w:cs="宋体"/>
                <w:b w:val="0"/>
                <w:bCs/>
                <w:color w:val="auto"/>
                <w:sz w:val="21"/>
                <w:szCs w:val="21"/>
              </w:rPr>
              <w:t>7*24小时持续专家</w:t>
            </w:r>
            <w:r>
              <w:rPr>
                <w:rFonts w:hint="eastAsia" w:ascii="宋体" w:hAnsi="宋体" w:eastAsia="宋体" w:cs="宋体"/>
                <w:b w:val="0"/>
                <w:bCs/>
                <w:color w:val="auto"/>
                <w:sz w:val="21"/>
                <w:szCs w:val="21"/>
                <w:lang w:val="en-US" w:eastAsia="zh-CN"/>
              </w:rPr>
              <w:t>远程</w:t>
            </w:r>
            <w:r>
              <w:rPr>
                <w:rFonts w:hint="eastAsia" w:ascii="宋体" w:hAnsi="宋体" w:eastAsia="宋体" w:cs="宋体"/>
                <w:b w:val="0"/>
                <w:bCs/>
                <w:color w:val="auto"/>
                <w:sz w:val="21"/>
                <w:szCs w:val="21"/>
              </w:rPr>
              <w:t>服务，威胁发现及时响应</w:t>
            </w:r>
            <w:r>
              <w:rPr>
                <w:rFonts w:hint="eastAsia" w:ascii="宋体" w:hAnsi="宋体" w:cs="宋体"/>
                <w:b w:val="0"/>
                <w:bCs/>
                <w:color w:val="auto"/>
                <w:sz w:val="21"/>
                <w:szCs w:val="21"/>
                <w:lang w:eastAsia="zh-CN"/>
              </w:rPr>
              <w:t>。</w:t>
            </w:r>
          </w:p>
        </w:tc>
        <w:tc>
          <w:tcPr>
            <w:tcW w:w="724" w:type="dxa"/>
            <w:shd w:val="clear" w:color="auto" w:fill="auto"/>
            <w:vAlign w:val="center"/>
          </w:tcPr>
          <w:p w14:paraId="224E9C3E">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714" w:type="dxa"/>
            <w:shd w:val="clear" w:color="auto" w:fill="auto"/>
            <w:vAlign w:val="center"/>
          </w:tcPr>
          <w:p w14:paraId="603E1324">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w:t>
            </w:r>
          </w:p>
        </w:tc>
      </w:tr>
      <w:tr w14:paraId="4138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410EDC87">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11</w:t>
            </w:r>
          </w:p>
        </w:tc>
        <w:tc>
          <w:tcPr>
            <w:tcW w:w="952" w:type="dxa"/>
            <w:shd w:val="clear" w:color="auto" w:fill="auto"/>
            <w:vAlign w:val="center"/>
          </w:tcPr>
          <w:p w14:paraId="0B8398B4">
            <w:pPr>
              <w:widowControl/>
              <w:jc w:val="center"/>
              <w:rPr>
                <w:rFonts w:hint="eastAsia" w:ascii="宋体" w:hAnsi="宋体" w:eastAsia="宋体" w:cs="宋体"/>
                <w:b w:val="0"/>
                <w:bCs/>
                <w:color w:val="000000"/>
                <w:kern w:val="2"/>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终端安全防护组件服务</w:t>
            </w:r>
          </w:p>
        </w:tc>
        <w:tc>
          <w:tcPr>
            <w:tcW w:w="725" w:type="dxa"/>
            <w:shd w:val="clear" w:color="auto" w:fill="auto"/>
            <w:vAlign w:val="center"/>
          </w:tcPr>
          <w:p w14:paraId="7AF49F17">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6190" w:type="dxa"/>
            <w:shd w:val="clear" w:color="auto" w:fill="auto"/>
            <w:vAlign w:val="center"/>
          </w:tcPr>
          <w:p w14:paraId="4B56A01F">
            <w:pPr>
              <w:rPr>
                <w:rFonts w:hint="eastAsia" w:ascii="宋体" w:hAnsi="宋体" w:cs="宋体"/>
                <w:b w:val="0"/>
                <w:bCs/>
                <w:color w:val="auto"/>
                <w:sz w:val="21"/>
                <w:szCs w:val="21"/>
                <w:lang w:val="en-US" w:eastAsia="zh-CN"/>
              </w:rPr>
            </w:pPr>
            <w:r>
              <w:rPr>
                <w:rFonts w:hint="eastAsia" w:ascii="宋体" w:hAnsi="宋体" w:eastAsia="宋体" w:cs="宋体"/>
                <w:b w:val="0"/>
                <w:bCs/>
                <w:color w:val="auto"/>
                <w:sz w:val="21"/>
                <w:szCs w:val="21"/>
              </w:rPr>
              <w:t>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以服务的形式提供终端检测响应软件部署于招标方本地环境的服务器或虚拟机上，授权数不少于</w:t>
            </w:r>
            <w:r>
              <w:rPr>
                <w:rFonts w:hint="eastAsia" w:ascii="宋体" w:hAnsi="宋体" w:cs="宋体"/>
                <w:b w:val="0"/>
                <w:bCs/>
                <w:color w:val="auto"/>
                <w:sz w:val="21"/>
                <w:szCs w:val="21"/>
                <w:lang w:val="en-US" w:eastAsia="zh-CN"/>
              </w:rPr>
              <w:t>3</w:t>
            </w:r>
            <w:r>
              <w:rPr>
                <w:rFonts w:hint="eastAsia" w:ascii="宋体" w:hAnsi="宋体" w:eastAsia="宋体" w:cs="宋体"/>
                <w:b w:val="0"/>
                <w:bCs/>
                <w:color w:val="auto"/>
                <w:sz w:val="21"/>
                <w:szCs w:val="21"/>
              </w:rPr>
              <w:t>0个，提供基线检测，主机杀毒，主机微隔离等功能。</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支持控制台动态更新显示全网终端安全状态分布，包括：终端总数、已失陷、高可疑、低可疑，支持下钻到对应的终端列表；</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支持控制台动态显示当前未处理的勒索病毒数量、暴力破解数量、WebShell后门数量及其各自影响的终端数量，支持点击对应的威胁类别，下钻到响应中心对应的威胁事件列表；</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支持热点安全事件动态更新和展示及全网终端已发生的热点安全事件及其数量；</w:t>
            </w:r>
          </w:p>
        </w:tc>
        <w:tc>
          <w:tcPr>
            <w:tcW w:w="724" w:type="dxa"/>
            <w:shd w:val="clear" w:color="auto" w:fill="auto"/>
            <w:vAlign w:val="center"/>
          </w:tcPr>
          <w:p w14:paraId="500C09D6">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714" w:type="dxa"/>
            <w:shd w:val="clear" w:color="auto" w:fill="auto"/>
            <w:vAlign w:val="center"/>
          </w:tcPr>
          <w:p w14:paraId="3F4F23B1">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w:t>
            </w:r>
          </w:p>
        </w:tc>
      </w:tr>
      <w:tr w14:paraId="5F1A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6AABCA10">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12</w:t>
            </w:r>
          </w:p>
        </w:tc>
        <w:tc>
          <w:tcPr>
            <w:tcW w:w="952" w:type="dxa"/>
            <w:shd w:val="clear" w:color="auto" w:fill="auto"/>
            <w:vAlign w:val="center"/>
          </w:tcPr>
          <w:p w14:paraId="4EB11DB0">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安全检测与响应组件服务</w:t>
            </w:r>
          </w:p>
        </w:tc>
        <w:tc>
          <w:tcPr>
            <w:tcW w:w="725" w:type="dxa"/>
            <w:shd w:val="clear" w:color="auto" w:fill="auto"/>
            <w:vAlign w:val="center"/>
          </w:tcPr>
          <w:p w14:paraId="5A4211B7">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6190" w:type="dxa"/>
            <w:shd w:val="clear" w:color="auto" w:fill="auto"/>
            <w:vAlign w:val="center"/>
          </w:tcPr>
          <w:p w14:paraId="0627065F">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平台SAAS化形态，无需要在数据中心进行任何下载和安装，通过账号密码在云端获取服务。</w:t>
            </w:r>
          </w:p>
          <w:p w14:paraId="459244E7">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000000"/>
                <w:sz w:val="21"/>
                <w:szCs w:val="21"/>
              </w:rPr>
              <w:t>2</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支持首页展示风险总览、包括安全事件总览、资产统计、接入设备展示包括不仅限于防火墙、探针、EDR、CWPP，待处置安全事件TOP5、云端威胁狩猎报告总览、攻击面TOP5、脆弱性资产TOP5、风险资产分布及风险资产发生趋势、待处置安全事件分布及安全</w:t>
            </w:r>
            <w:r>
              <w:rPr>
                <w:rFonts w:hint="eastAsia" w:ascii="宋体" w:hAnsi="宋体" w:eastAsia="宋体" w:cs="宋体"/>
                <w:b w:val="0"/>
                <w:bCs/>
                <w:color w:val="auto"/>
                <w:sz w:val="21"/>
                <w:szCs w:val="21"/>
              </w:rPr>
              <w:t>事件发生趋势。可清楚明晰下一步处置方向。</w:t>
            </w:r>
          </w:p>
          <w:p w14:paraId="40106946">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自定义仪表盘，可圈定资产范围，内置安全告警试图、资产视图、脆弱性风险视图、风险资产视图等模板，展示图表样例包括条形图、水平条形图、趋势图、饼图、表格、指标、markdown等，可编辑背景及标题样式，可全局预览。</w:t>
            </w:r>
          </w:p>
          <w:p w14:paraId="6E5C2196">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支持自定义报告生成，包括时间、报告组件、可视化模块、图标设置及文字编辑，可上传自定义页眉和自动化目录生成，支持预览和导出。</w:t>
            </w:r>
          </w:p>
          <w:p w14:paraId="24094782">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支持对Windows终端采集：进程、网络、注册表、文件、服务、计划任务、账号、WMI、应用漏洞利用探针、API等信息。对Linux终端采集：文件、进程、驱动、系统调用、模块事件等信息。</w:t>
            </w:r>
          </w:p>
          <w:p w14:paraId="754FF0DC">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支持终端遥测源对 ATT&amp;CK 框架中各种攻击类型的检测技术覆盖面不低于163项</w:t>
            </w:r>
            <w:r>
              <w:rPr>
                <w:rFonts w:hint="eastAsia" w:ascii="宋体" w:hAnsi="宋体" w:eastAsia="宋体" w:cs="宋体"/>
                <w:b w:val="0"/>
                <w:bCs/>
                <w:color w:val="auto"/>
                <w:sz w:val="21"/>
                <w:szCs w:val="21"/>
                <w:lang w:eastAsia="zh-CN"/>
              </w:rPr>
              <w:t>。</w:t>
            </w:r>
          </w:p>
          <w:p w14:paraId="05A4AA06">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支持对事件的名称、事件描述、影响资产、标签、事件等级、处置状态等进行筛选展示，事件名称包含事件ID，事件类型标签等。</w:t>
            </w:r>
          </w:p>
          <w:p w14:paraId="66D7F84B">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通过安全事件详情查看攻击故事线、安全事件按照进程树的视角进行安全分析。可详细点开进程链中任意进程查看进程详情，包括基础信息、威胁告警、网络连接行为、文件行为、域名访问行为、模块加载行为，并且自带解码工具。</w:t>
            </w:r>
          </w:p>
          <w:p w14:paraId="1389B921">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安全事件推送处置和响应建议，响应建议包括原理介绍、危害影响、处置建议。通过建议描述、业务影响标签和安全效果标签清晰明确指导下一步响应动作，可一键封禁IP、隔离主机等。支持在线实时聊天框或离线留言咨询攻防专家，获取云端专家支持。</w:t>
            </w:r>
          </w:p>
          <w:p w14:paraId="055E6DDE">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auto"/>
                <w:sz w:val="21"/>
                <w:szCs w:val="21"/>
              </w:rPr>
              <w:t>10</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支持内置CC</w:t>
            </w:r>
            <w:r>
              <w:rPr>
                <w:rFonts w:hint="eastAsia" w:ascii="宋体" w:hAnsi="宋体" w:eastAsia="宋体" w:cs="宋体"/>
                <w:b w:val="0"/>
                <w:bCs/>
                <w:color w:val="000000"/>
                <w:sz w:val="21"/>
                <w:szCs w:val="21"/>
              </w:rPr>
              <w:t>通信、VPN安全、主机异常、堡垒机安全、恶意软件、扫描探测、拒绝服务、暴力破解、漏洞利用、网站攻击、邮件安全等维度的数据分析规则，可自定义新增匹配或统计规则</w:t>
            </w:r>
          </w:p>
          <w:p w14:paraId="4336E802">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11</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可展示主机资产，识别操作系统、终端类型、终端接入状态、资产类型。支持业务/服务器资产分类，可定义IP地址、所属资产组、主机名、责任人、所属业务、MAC、操作系统、数据源、最近更新时间等信息。</w:t>
            </w:r>
          </w:p>
          <w:p w14:paraId="3E72EA5E">
            <w:pP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12</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配置规则支持按源IP、风险等级、源端口、目的IP、目的端口、URL、MD5、发件人邮箱、风险来源，in、not in、like事件范围和规则ID进行加白，支持配置加白时长。</w:t>
            </w:r>
          </w:p>
        </w:tc>
        <w:tc>
          <w:tcPr>
            <w:tcW w:w="724" w:type="dxa"/>
            <w:shd w:val="clear" w:color="auto" w:fill="auto"/>
            <w:vAlign w:val="center"/>
          </w:tcPr>
          <w:p w14:paraId="33D01E64">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714" w:type="dxa"/>
            <w:shd w:val="clear" w:color="auto" w:fill="auto"/>
            <w:vAlign w:val="center"/>
          </w:tcPr>
          <w:p w14:paraId="76CE996B">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w:t>
            </w:r>
          </w:p>
        </w:tc>
      </w:tr>
      <w:tr w14:paraId="0134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17E2155E">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13</w:t>
            </w:r>
          </w:p>
        </w:tc>
        <w:tc>
          <w:tcPr>
            <w:tcW w:w="952" w:type="dxa"/>
            <w:shd w:val="clear" w:color="auto" w:fill="auto"/>
            <w:vAlign w:val="center"/>
          </w:tcPr>
          <w:p w14:paraId="13CEE4BF">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勒索风险排查</w:t>
            </w:r>
          </w:p>
        </w:tc>
        <w:tc>
          <w:tcPr>
            <w:tcW w:w="725" w:type="dxa"/>
            <w:shd w:val="clear" w:color="auto" w:fill="auto"/>
            <w:vAlign w:val="center"/>
          </w:tcPr>
          <w:p w14:paraId="69CDB281">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6190" w:type="dxa"/>
            <w:shd w:val="clear" w:color="auto" w:fill="auto"/>
            <w:vAlign w:val="center"/>
          </w:tcPr>
          <w:p w14:paraId="4B70824E">
            <w:pP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投标方应面向招标方提供定期的勒索病毒入侵风险专项排查，投标方应按照勒索预防Checklist开展勒索风险评估，勒索预防Checklist应当包含勒索高危利用漏洞、端口、安全策略、攻击行为、勒索残留隐患几个纬度。</w:t>
            </w:r>
            <w:r>
              <w:rPr>
                <w:rFonts w:hint="eastAsia" w:ascii="宋体" w:hAnsi="宋体" w:eastAsia="宋体" w:cs="宋体"/>
                <w:b w:val="0"/>
                <w:bCs/>
                <w:color w:val="000000"/>
                <w:sz w:val="21"/>
                <w:szCs w:val="21"/>
              </w:rPr>
              <w:br w:type="textWrapping"/>
            </w:r>
            <w:r>
              <w:rPr>
                <w:rFonts w:hint="eastAsia" w:ascii="宋体" w:hAnsi="宋体" w:cs="宋体"/>
                <w:b w:val="0"/>
                <w:bCs/>
                <w:color w:val="000000"/>
                <w:sz w:val="21"/>
                <w:szCs w:val="21"/>
                <w:lang w:val="en-US" w:eastAsia="zh-CN"/>
              </w:rPr>
              <w:t>2.</w:t>
            </w:r>
            <w:r>
              <w:rPr>
                <w:rFonts w:hint="eastAsia" w:ascii="宋体" w:hAnsi="宋体" w:eastAsia="宋体" w:cs="宋体"/>
                <w:b w:val="0"/>
                <w:bCs/>
                <w:color w:val="000000"/>
                <w:sz w:val="21"/>
                <w:szCs w:val="21"/>
              </w:rPr>
              <w:t>投标方定期按照勒索预防Checklist开展勒索风险评估后应当每季度一次向招标方提供《勒索病毒风险排查报告》，包括中应包含全面的勒索风险分析和隐患加固处置的情况，并且投标方有义务按招标方要求进行远程或现场的成果汇报。</w:t>
            </w:r>
          </w:p>
        </w:tc>
        <w:tc>
          <w:tcPr>
            <w:tcW w:w="724" w:type="dxa"/>
            <w:shd w:val="clear" w:color="auto" w:fill="auto"/>
            <w:vAlign w:val="center"/>
          </w:tcPr>
          <w:p w14:paraId="0A8B48DD">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714" w:type="dxa"/>
            <w:shd w:val="clear" w:color="auto" w:fill="auto"/>
            <w:vAlign w:val="center"/>
          </w:tcPr>
          <w:p w14:paraId="1AB8F4F6">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w:t>
            </w:r>
          </w:p>
        </w:tc>
      </w:tr>
      <w:tr w14:paraId="7381B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623" w:type="dxa"/>
            <w:shd w:val="clear" w:color="auto" w:fill="auto"/>
            <w:vAlign w:val="center"/>
          </w:tcPr>
          <w:p w14:paraId="3B49C629">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14</w:t>
            </w:r>
          </w:p>
        </w:tc>
        <w:tc>
          <w:tcPr>
            <w:tcW w:w="952" w:type="dxa"/>
            <w:shd w:val="clear" w:color="auto" w:fill="auto"/>
            <w:vAlign w:val="center"/>
          </w:tcPr>
          <w:p w14:paraId="79AC458B">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lang w:val="en-US" w:eastAsia="zh-CN"/>
              </w:rPr>
              <w:t>服务</w:t>
            </w:r>
            <w:r>
              <w:rPr>
                <w:rFonts w:hint="eastAsia" w:ascii="宋体" w:hAnsi="宋体" w:cs="宋体"/>
                <w:b w:val="0"/>
                <w:bCs/>
                <w:color w:val="000000"/>
                <w:sz w:val="21"/>
                <w:szCs w:val="21"/>
                <w:lang w:val="en-US" w:eastAsia="zh-CN"/>
              </w:rPr>
              <w:t>能力</w:t>
            </w:r>
            <w:r>
              <w:rPr>
                <w:rFonts w:hint="eastAsia" w:ascii="宋体" w:hAnsi="宋体" w:eastAsia="宋体" w:cs="宋体"/>
                <w:b w:val="0"/>
                <w:bCs/>
                <w:color w:val="000000"/>
                <w:sz w:val="21"/>
                <w:szCs w:val="21"/>
                <w:lang w:val="en-US" w:eastAsia="zh-CN"/>
              </w:rPr>
              <w:t>要求</w:t>
            </w:r>
          </w:p>
        </w:tc>
        <w:tc>
          <w:tcPr>
            <w:tcW w:w="725" w:type="dxa"/>
            <w:shd w:val="clear" w:color="auto" w:fill="auto"/>
            <w:vAlign w:val="center"/>
          </w:tcPr>
          <w:p w14:paraId="03CA9C1B">
            <w:pPr>
              <w:jc w:val="center"/>
              <w:rPr>
                <w:rFonts w:hint="eastAsia" w:ascii="宋体" w:hAnsi="宋体" w:eastAsia="宋体" w:cs="宋体"/>
                <w:b w:val="0"/>
                <w:bCs/>
                <w:color w:val="000000"/>
                <w:sz w:val="21"/>
                <w:szCs w:val="21"/>
              </w:rPr>
            </w:pPr>
          </w:p>
        </w:tc>
        <w:tc>
          <w:tcPr>
            <w:tcW w:w="6190" w:type="dxa"/>
            <w:shd w:val="clear" w:color="auto" w:fill="auto"/>
            <w:vAlign w:val="center"/>
          </w:tcPr>
          <w:p w14:paraId="61DF82DD">
            <w:pPr>
              <w:pStyle w:val="25"/>
              <w:numPr>
                <w:ilvl w:val="0"/>
                <w:numId w:val="0"/>
              </w:numPr>
              <w:ind w:leftChars="0"/>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1</w:t>
            </w:r>
            <w:r>
              <w:rPr>
                <w:rFonts w:hint="eastAsia"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提供有效的ISO/IEC20000信息技术服务管理体系认证证书复印件</w:t>
            </w:r>
            <w:r>
              <w:rPr>
                <w:rFonts w:hint="eastAsia" w:ascii="宋体" w:hAnsi="宋体" w:cs="宋体"/>
                <w:b w:val="0"/>
                <w:bCs/>
                <w:color w:val="auto"/>
                <w:sz w:val="21"/>
                <w:szCs w:val="21"/>
                <w:lang w:val="en-US" w:eastAsia="zh-CN"/>
              </w:rPr>
              <w:t>。</w:t>
            </w:r>
          </w:p>
          <w:p w14:paraId="40510EEE">
            <w:pPr>
              <w:pStyle w:val="25"/>
              <w:numPr>
                <w:ilvl w:val="0"/>
                <w:numId w:val="0"/>
              </w:numPr>
              <w:ind w:leftChars="0"/>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2</w:t>
            </w:r>
            <w:r>
              <w:rPr>
                <w:rFonts w:hint="eastAsia"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提供有效的ISO/IECC27001信息安全管理体系认证证书复印件</w:t>
            </w:r>
            <w:r>
              <w:rPr>
                <w:rFonts w:hint="eastAsia" w:ascii="宋体" w:hAnsi="宋体" w:cs="宋体"/>
                <w:b w:val="0"/>
                <w:bCs/>
                <w:color w:val="auto"/>
                <w:sz w:val="21"/>
                <w:szCs w:val="21"/>
                <w:lang w:val="en-US" w:eastAsia="zh-CN"/>
              </w:rPr>
              <w:t>。</w:t>
            </w:r>
          </w:p>
          <w:p w14:paraId="14A7A5B4">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具有信息安全服务资质认证证书-信息安全风险评估服务资质三级或以上级别证书</w:t>
            </w:r>
            <w:r>
              <w:rPr>
                <w:rFonts w:hint="eastAsia" w:ascii="宋体" w:hAnsi="宋体" w:cs="宋体"/>
                <w:b w:val="0"/>
                <w:bCs/>
                <w:color w:val="auto"/>
                <w:sz w:val="21"/>
                <w:szCs w:val="21"/>
                <w:lang w:val="en-US" w:eastAsia="zh-CN"/>
              </w:rPr>
              <w:t>。</w:t>
            </w:r>
          </w:p>
          <w:p w14:paraId="07FA1409">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w:t>
            </w:r>
            <w:r>
              <w:rPr>
                <w:rFonts w:hint="eastAsia" w:ascii="宋体" w:hAnsi="宋体" w:eastAsia="宋体" w:cs="宋体"/>
                <w:b w:val="0"/>
                <w:bCs/>
                <w:color w:val="auto"/>
                <w:sz w:val="21"/>
                <w:szCs w:val="21"/>
              </w:rPr>
              <w:t>具备自动化渗透测试工具等先进技术工具，应用于实践环节，贯穿整个渗透过程的操作，可应用于包括信息收集、插件管理、指纹管理、漏洞发现、漏洞利用、后渗透攻击等模块</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提供截图证明文件。</w:t>
            </w:r>
          </w:p>
          <w:p w14:paraId="12346389">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5</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服务厂商平台具备自动化渗透测试工具等先进技术工具，应用于保障环节，可以根据可编程平台提供的接口编写自己的攻击插件，实现自定义的攻击需求，提供截图证明文件</w:t>
            </w:r>
            <w:r>
              <w:rPr>
                <w:rFonts w:hint="eastAsia" w:ascii="宋体" w:hAnsi="宋体" w:cs="宋体"/>
                <w:b w:val="0"/>
                <w:bCs/>
                <w:color w:val="auto"/>
                <w:sz w:val="21"/>
                <w:szCs w:val="21"/>
                <w:lang w:val="en-US" w:eastAsia="zh-CN"/>
              </w:rPr>
              <w:t>。</w:t>
            </w:r>
          </w:p>
          <w:p w14:paraId="0FAF5ED6">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w:t>
            </w:r>
            <w:r>
              <w:rPr>
                <w:rFonts w:hint="eastAsia" w:ascii="宋体" w:hAnsi="宋体" w:eastAsia="宋体" w:cs="宋体"/>
                <w:b w:val="0"/>
                <w:bCs/>
                <w:color w:val="auto"/>
                <w:sz w:val="21"/>
                <w:szCs w:val="21"/>
              </w:rPr>
              <w:t>具备自动化渗透测试工具，可利用http协议、DNS协议等远程获取外带数据；可通过内置的方法反弹交互shell到平台，执行vim、交互执行操作等功能</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提供截图证明文件</w:t>
            </w:r>
            <w:r>
              <w:rPr>
                <w:rFonts w:hint="eastAsia" w:ascii="宋体" w:hAnsi="宋体" w:cs="宋体"/>
                <w:b w:val="0"/>
                <w:bCs/>
                <w:color w:val="auto"/>
                <w:sz w:val="21"/>
                <w:szCs w:val="21"/>
                <w:lang w:val="en-US" w:eastAsia="zh-CN"/>
              </w:rPr>
              <w:t>。</w:t>
            </w:r>
          </w:p>
          <w:p w14:paraId="084DE2BD">
            <w:pPr>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cs="宋体"/>
                <w:b w:val="0"/>
                <w:bCs/>
                <w:color w:val="000000"/>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cs="宋体"/>
                <w:b w:val="0"/>
                <w:bCs/>
                <w:color w:val="auto"/>
                <w:sz w:val="21"/>
                <w:szCs w:val="21"/>
                <w:lang w:val="en-US" w:eastAsia="zh-CN"/>
              </w:rPr>
              <w:t>7.</w:t>
            </w:r>
            <w:r>
              <w:rPr>
                <w:rFonts w:hint="eastAsia" w:ascii="宋体" w:hAnsi="宋体" w:eastAsia="宋体" w:cs="宋体"/>
                <w:b w:val="0"/>
                <w:bCs/>
                <w:color w:val="auto"/>
                <w:sz w:val="21"/>
                <w:szCs w:val="21"/>
                <w:lang w:val="en-US" w:eastAsia="zh-CN"/>
              </w:rPr>
              <w:t>为确保外网托管安全可靠，要求服务厂商应具有优秀的网络攻防能力，相关技术人员需有参加过护网、攻防实战演练的经验要求投标</w:t>
            </w:r>
            <w:r>
              <w:rPr>
                <w:rFonts w:hint="eastAsia" w:ascii="宋体" w:hAnsi="宋体" w:eastAsia="宋体" w:cs="宋体"/>
                <w:b w:val="0"/>
                <w:bCs/>
                <w:color w:val="auto"/>
                <w:sz w:val="21"/>
                <w:szCs w:val="21"/>
              </w:rPr>
              <w:t>供应商</w:t>
            </w:r>
            <w:r>
              <w:rPr>
                <w:rFonts w:hint="eastAsia" w:ascii="宋体" w:hAnsi="宋体" w:eastAsia="宋体" w:cs="宋体"/>
                <w:b w:val="0"/>
                <w:bCs/>
                <w:color w:val="auto"/>
                <w:sz w:val="21"/>
                <w:szCs w:val="21"/>
                <w:lang w:val="zh-TW" w:eastAsia="zh-TW"/>
              </w:rPr>
              <w:t>具备</w:t>
            </w:r>
            <w:r>
              <w:rPr>
                <w:rFonts w:hint="eastAsia" w:ascii="宋体" w:hAnsi="宋体" w:eastAsia="宋体" w:cs="宋体"/>
                <w:b w:val="0"/>
                <w:bCs/>
                <w:color w:val="auto"/>
                <w:sz w:val="21"/>
                <w:szCs w:val="21"/>
              </w:rPr>
              <w:t>信息系统运行维护能力证书</w:t>
            </w:r>
            <w:r>
              <w:rPr>
                <w:rFonts w:hint="eastAsia" w:ascii="宋体" w:hAnsi="宋体" w:cs="宋体"/>
                <w:b w:val="0"/>
                <w:bCs/>
                <w:color w:val="auto"/>
                <w:sz w:val="21"/>
                <w:szCs w:val="21"/>
                <w:lang w:eastAsia="zh-CN"/>
              </w:rPr>
              <w:t>。</w:t>
            </w:r>
          </w:p>
        </w:tc>
        <w:tc>
          <w:tcPr>
            <w:tcW w:w="724" w:type="dxa"/>
            <w:shd w:val="clear" w:color="auto" w:fill="auto"/>
            <w:vAlign w:val="center"/>
          </w:tcPr>
          <w:p w14:paraId="1D715D1F">
            <w:pPr>
              <w:widowControl/>
              <w:jc w:val="center"/>
              <w:rPr>
                <w:rFonts w:hint="eastAsia" w:ascii="宋体" w:hAnsi="宋体" w:eastAsia="宋体" w:cs="宋体"/>
                <w:b w:val="0"/>
                <w:bCs/>
                <w:kern w:val="0"/>
                <w:sz w:val="21"/>
                <w:szCs w:val="21"/>
              </w:rPr>
            </w:pPr>
          </w:p>
        </w:tc>
        <w:tc>
          <w:tcPr>
            <w:tcW w:w="714" w:type="dxa"/>
            <w:shd w:val="clear" w:color="auto" w:fill="auto"/>
            <w:vAlign w:val="center"/>
          </w:tcPr>
          <w:p w14:paraId="269B1BDE">
            <w:pPr>
              <w:widowControl/>
              <w:jc w:val="center"/>
              <w:rPr>
                <w:rFonts w:hint="eastAsia" w:ascii="宋体" w:hAnsi="宋体" w:eastAsia="宋体" w:cs="宋体"/>
                <w:b w:val="0"/>
                <w:bCs/>
                <w:kern w:val="0"/>
                <w:sz w:val="21"/>
                <w:szCs w:val="21"/>
              </w:rPr>
            </w:pPr>
          </w:p>
        </w:tc>
      </w:tr>
    </w:tbl>
    <w:p w14:paraId="2E76E063">
      <w:pPr>
        <w:pStyle w:val="14"/>
        <w:rPr>
          <w:rFonts w:hint="eastAsia"/>
          <w:b/>
          <w:bCs w:val="0"/>
          <w:color w:val="auto"/>
          <w:lang w:val="en-US" w:eastAsia="zh-CN"/>
        </w:rPr>
      </w:pPr>
      <w:r>
        <w:rPr>
          <w:rFonts w:hint="eastAsia" w:ascii="宋体" w:hAnsi="宋体" w:cs="宋体"/>
          <w:b/>
          <w:bCs w:val="0"/>
          <w:color w:val="auto"/>
          <w:kern w:val="0"/>
          <w:sz w:val="24"/>
          <w:szCs w:val="24"/>
          <w:lang w:val="en-US" w:eastAsia="zh-CN"/>
        </w:rPr>
        <w:t>（二）</w:t>
      </w:r>
      <w:r>
        <w:rPr>
          <w:rFonts w:hint="eastAsia" w:ascii="宋体" w:hAnsi="宋体" w:eastAsia="宋体" w:cs="宋体"/>
          <w:b/>
          <w:bCs w:val="0"/>
          <w:color w:val="auto"/>
          <w:kern w:val="0"/>
          <w:sz w:val="24"/>
          <w:szCs w:val="24"/>
          <w:lang w:val="en-US" w:eastAsia="zh-CN"/>
        </w:rPr>
        <w:t>商务要求</w:t>
      </w:r>
    </w:p>
    <w:tbl>
      <w:tblPr>
        <w:tblStyle w:val="18"/>
        <w:tblW w:w="9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7679"/>
      </w:tblGrid>
      <w:tr w14:paraId="4FD5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2240" w:type="dxa"/>
            <w:shd w:val="clear" w:color="auto" w:fill="auto"/>
            <w:vAlign w:val="center"/>
          </w:tcPr>
          <w:p w14:paraId="2678EF03">
            <w:pPr>
              <w:snapToGrid w:val="0"/>
              <w:spacing w:line="336" w:lineRule="exact"/>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（一）供应商资质</w:t>
            </w:r>
          </w:p>
        </w:tc>
        <w:tc>
          <w:tcPr>
            <w:tcW w:w="7679" w:type="dxa"/>
            <w:shd w:val="clear" w:color="auto" w:fill="auto"/>
            <w:vAlign w:val="center"/>
          </w:tcPr>
          <w:p w14:paraId="6E2136F0">
            <w:pPr>
              <w:snapToGrid w:val="0"/>
              <w:spacing w:line="336" w:lineRule="exact"/>
              <w:rPr>
                <w:rFonts w:hint="eastAsia" w:ascii="宋体" w:hAnsi="宋体" w:eastAsia="宋体" w:cs="宋体"/>
                <w:b w:val="0"/>
                <w:bCs/>
                <w:color w:val="auto"/>
                <w:sz w:val="21"/>
                <w:szCs w:val="21"/>
                <w:lang w:val="en-US"/>
              </w:rPr>
            </w:pPr>
            <w:r>
              <w:rPr>
                <w:rFonts w:hint="eastAsia" w:ascii="宋体" w:hAnsi="宋体" w:eastAsia="宋体" w:cs="宋体"/>
                <w:color w:val="auto"/>
                <w:sz w:val="21"/>
                <w:szCs w:val="21"/>
              </w:rPr>
              <w:t>国内注册【依法在市场监督管理部门（或行政审批部门）登记注册】的，具</w:t>
            </w:r>
            <w:r>
              <w:rPr>
                <w:rFonts w:hint="eastAsia" w:ascii="宋体" w:hAnsi="宋体" w:eastAsia="宋体" w:cs="宋体"/>
                <w:color w:val="auto"/>
                <w:sz w:val="21"/>
                <w:szCs w:val="21"/>
                <w:lang w:val="en-US" w:eastAsia="zh-CN"/>
              </w:rPr>
              <w:t>备合法</w:t>
            </w:r>
            <w:r>
              <w:rPr>
                <w:rFonts w:hint="eastAsia" w:ascii="宋体" w:hAnsi="宋体" w:eastAsia="宋体" w:cs="宋体"/>
                <w:color w:val="auto"/>
                <w:sz w:val="21"/>
                <w:szCs w:val="21"/>
              </w:rPr>
              <w:t>资格的供应商</w:t>
            </w:r>
            <w:r>
              <w:rPr>
                <w:rFonts w:hint="eastAsia" w:ascii="宋体" w:hAnsi="宋体" w:cs="宋体"/>
                <w:color w:val="auto"/>
                <w:sz w:val="21"/>
                <w:szCs w:val="21"/>
                <w:lang w:eastAsia="zh-CN"/>
              </w:rPr>
              <w:t>。</w:t>
            </w:r>
          </w:p>
        </w:tc>
      </w:tr>
      <w:tr w14:paraId="48238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jc w:val="center"/>
        </w:trPr>
        <w:tc>
          <w:tcPr>
            <w:tcW w:w="2240" w:type="dxa"/>
            <w:shd w:val="clear" w:color="auto" w:fill="auto"/>
            <w:vAlign w:val="center"/>
          </w:tcPr>
          <w:p w14:paraId="4E505948">
            <w:pPr>
              <w:snapToGrid w:val="0"/>
              <w:spacing w:line="336" w:lineRule="exact"/>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w:t>
            </w:r>
            <w:r>
              <w:rPr>
                <w:rFonts w:hint="eastAsia" w:ascii="宋体" w:hAnsi="宋体" w:cs="宋体"/>
                <w:sz w:val="21"/>
                <w:szCs w:val="21"/>
                <w:lang w:val="en-US" w:eastAsia="zh-CN"/>
              </w:rPr>
              <w:t>二</w:t>
            </w:r>
            <w:r>
              <w:rPr>
                <w:rFonts w:hint="eastAsia" w:ascii="宋体" w:hAnsi="宋体" w:eastAsia="宋体" w:cs="宋体"/>
                <w:sz w:val="21"/>
                <w:szCs w:val="21"/>
                <w:lang w:val="en-US" w:eastAsia="zh-CN"/>
              </w:rPr>
              <w:t>）</w:t>
            </w:r>
            <w:r>
              <w:rPr>
                <w:rFonts w:hint="eastAsia" w:ascii="宋体" w:hAnsi="宋体" w:eastAsia="宋体" w:cs="宋体"/>
                <w:sz w:val="21"/>
                <w:szCs w:val="21"/>
                <w:lang w:val="zh-CN"/>
              </w:rPr>
              <w:t>提供免费技术培训</w:t>
            </w:r>
          </w:p>
          <w:p w14:paraId="0DFA93C1">
            <w:pPr>
              <w:jc w:val="center"/>
              <w:rPr>
                <w:rFonts w:hint="eastAsia" w:ascii="宋体" w:hAnsi="宋体" w:eastAsia="宋体" w:cs="宋体"/>
                <w:b w:val="0"/>
                <w:bCs/>
                <w:color w:val="000000"/>
                <w:kern w:val="2"/>
                <w:sz w:val="21"/>
                <w:szCs w:val="21"/>
                <w:lang w:val="en-US" w:eastAsia="zh-CN" w:bidi="ar-SA"/>
              </w:rPr>
            </w:pPr>
          </w:p>
        </w:tc>
        <w:tc>
          <w:tcPr>
            <w:tcW w:w="7679" w:type="dxa"/>
            <w:shd w:val="clear" w:color="auto" w:fill="auto"/>
            <w:vAlign w:val="center"/>
          </w:tcPr>
          <w:p w14:paraId="6C8A43DF">
            <w:pPr>
              <w:snapToGrid w:val="0"/>
              <w:spacing w:line="336" w:lineRule="exact"/>
              <w:rPr>
                <w:rFonts w:hint="eastAsia" w:ascii="宋体" w:hAnsi="宋体" w:eastAsia="宋体" w:cs="宋体"/>
                <w:b w:val="0"/>
                <w:bCs/>
                <w:kern w:val="0"/>
                <w:sz w:val="21"/>
                <w:szCs w:val="21"/>
                <w:lang w:val="en-US" w:eastAsia="zh-CN" w:bidi="ar-SA"/>
              </w:rPr>
            </w:pPr>
            <w:r>
              <w:rPr>
                <w:rFonts w:hint="eastAsia" w:ascii="宋体" w:hAnsi="宋体" w:eastAsia="宋体" w:cs="宋体"/>
                <w:sz w:val="21"/>
                <w:szCs w:val="21"/>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r>
      <w:tr w14:paraId="7327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240" w:type="dxa"/>
            <w:shd w:val="clear" w:color="auto" w:fill="auto"/>
            <w:vAlign w:val="center"/>
          </w:tcPr>
          <w:p w14:paraId="55202E42">
            <w:pPr>
              <w:snapToGrid w:val="0"/>
              <w:spacing w:line="336" w:lineRule="exact"/>
              <w:rPr>
                <w:rFonts w:hint="eastAsia" w:ascii="宋体" w:hAnsi="宋体" w:eastAsia="宋体" w:cs="宋体"/>
                <w:b w:val="0"/>
                <w:bCs/>
                <w:color w:val="000000"/>
                <w:sz w:val="21"/>
                <w:szCs w:val="21"/>
              </w:rPr>
            </w:pPr>
            <w:r>
              <w:rPr>
                <w:rFonts w:hint="eastAsia" w:ascii="宋体" w:hAnsi="宋体" w:eastAsia="宋体" w:cs="宋体"/>
                <w:sz w:val="21"/>
                <w:szCs w:val="21"/>
                <w:lang w:val="zh-CN"/>
              </w:rPr>
              <w:t>（</w:t>
            </w:r>
            <w:r>
              <w:rPr>
                <w:rFonts w:hint="eastAsia" w:ascii="宋体" w:hAnsi="宋体" w:cs="宋体"/>
                <w:sz w:val="21"/>
                <w:szCs w:val="21"/>
                <w:lang w:val="en-US" w:eastAsia="zh-CN"/>
              </w:rPr>
              <w:t>三</w:t>
            </w:r>
            <w:r>
              <w:rPr>
                <w:rFonts w:hint="eastAsia" w:ascii="宋体" w:hAnsi="宋体" w:eastAsia="宋体" w:cs="宋体"/>
                <w:sz w:val="21"/>
                <w:szCs w:val="21"/>
                <w:lang w:val="zh-CN"/>
              </w:rPr>
              <w:t>）</w:t>
            </w:r>
            <w:r>
              <w:rPr>
                <w:rFonts w:hint="eastAsia" w:ascii="宋体" w:hAnsi="宋体" w:eastAsia="宋体" w:cs="宋体"/>
                <w:sz w:val="21"/>
                <w:szCs w:val="21"/>
              </w:rPr>
              <w:t>交付地点</w:t>
            </w:r>
          </w:p>
        </w:tc>
        <w:tc>
          <w:tcPr>
            <w:tcW w:w="7679" w:type="dxa"/>
            <w:shd w:val="clear" w:color="auto" w:fill="auto"/>
            <w:vAlign w:val="center"/>
          </w:tcPr>
          <w:p w14:paraId="2621FB96">
            <w:pPr>
              <w:widowControl/>
              <w:jc w:val="left"/>
              <w:rPr>
                <w:rFonts w:hint="eastAsia" w:ascii="宋体" w:hAnsi="宋体" w:eastAsia="宋体" w:cs="宋体"/>
                <w:b w:val="0"/>
                <w:bCs/>
                <w:kern w:val="0"/>
                <w:sz w:val="21"/>
                <w:szCs w:val="21"/>
              </w:rPr>
            </w:pPr>
            <w:r>
              <w:rPr>
                <w:rFonts w:hint="eastAsia" w:ascii="宋体" w:hAnsi="宋体" w:eastAsia="宋体" w:cs="宋体"/>
                <w:sz w:val="21"/>
                <w:szCs w:val="21"/>
              </w:rPr>
              <w:t>招标人指定地点。</w:t>
            </w:r>
          </w:p>
        </w:tc>
      </w:tr>
      <w:tr w14:paraId="3A3C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shd w:val="clear" w:color="auto" w:fill="auto"/>
            <w:vAlign w:val="center"/>
          </w:tcPr>
          <w:p w14:paraId="11607BE6">
            <w:pPr>
              <w:jc w:val="both"/>
              <w:rPr>
                <w:rFonts w:hint="eastAsia" w:ascii="宋体" w:hAnsi="宋体" w:eastAsia="宋体" w:cs="宋体"/>
                <w:b w:val="0"/>
                <w:bCs/>
                <w:color w:val="000000"/>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四</w:t>
            </w:r>
            <w:r>
              <w:rPr>
                <w:rFonts w:hint="eastAsia" w:ascii="宋体" w:hAnsi="宋体" w:eastAsia="宋体" w:cs="宋体"/>
                <w:sz w:val="21"/>
                <w:szCs w:val="21"/>
              </w:rPr>
              <w:t>）付款方式</w:t>
            </w:r>
          </w:p>
        </w:tc>
        <w:tc>
          <w:tcPr>
            <w:tcW w:w="7679" w:type="dxa"/>
            <w:shd w:val="clear" w:color="auto" w:fill="auto"/>
            <w:vAlign w:val="center"/>
          </w:tcPr>
          <w:p w14:paraId="55233BA6">
            <w:pPr>
              <w:spacing w:line="360" w:lineRule="exact"/>
              <w:ind w:right="-55" w:rightChars="-26"/>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cs="宋体"/>
                <w:bCs/>
                <w:sz w:val="21"/>
                <w:szCs w:val="21"/>
                <w:lang w:val="en-US" w:eastAsia="zh-CN"/>
              </w:rPr>
              <w:t>.</w:t>
            </w:r>
            <w:r>
              <w:rPr>
                <w:rFonts w:hint="eastAsia" w:ascii="宋体" w:hAnsi="宋体" w:eastAsia="宋体" w:cs="宋体"/>
                <w:b w:val="0"/>
                <w:bCs/>
                <w:sz w:val="21"/>
                <w:szCs w:val="21"/>
              </w:rPr>
              <w:t>本运维项目按季度付款。即乙方进驻7个工作日内，乙方开具对应金额发票，甲方在收到发票后的15个工作日内支付第一季度（3个月）运维进度款40%，共计人民币大写</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），其余3个季度在乙方完成上一季度服务总结后，甲方支付下一季度运维服务进度款20%，人民币大写</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w:t>
            </w:r>
          </w:p>
          <w:p w14:paraId="001B22FE">
            <w:pPr>
              <w:snapToGrid w:val="0"/>
              <w:spacing w:line="336" w:lineRule="exact"/>
              <w:rPr>
                <w:rFonts w:hint="eastAsia" w:ascii="宋体" w:hAnsi="宋体" w:eastAsia="宋体" w:cs="宋体"/>
                <w:b w:val="0"/>
                <w:bCs/>
                <w:kern w:val="0"/>
                <w:sz w:val="21"/>
                <w:szCs w:val="21"/>
              </w:rPr>
            </w:pPr>
            <w:r>
              <w:rPr>
                <w:rFonts w:hint="eastAsia" w:ascii="宋体" w:hAnsi="宋体" w:eastAsia="宋体" w:cs="宋体"/>
                <w:bCs/>
                <w:sz w:val="21"/>
                <w:szCs w:val="21"/>
              </w:rPr>
              <w:t>2</w:t>
            </w:r>
            <w:r>
              <w:rPr>
                <w:rFonts w:hint="eastAsia" w:ascii="宋体" w:hAnsi="宋体" w:cs="宋体"/>
                <w:bCs/>
                <w:sz w:val="21"/>
                <w:szCs w:val="21"/>
                <w:lang w:val="en-US" w:eastAsia="zh-CN"/>
              </w:rPr>
              <w:t>.</w:t>
            </w:r>
            <w:r>
              <w:rPr>
                <w:rFonts w:hint="eastAsia" w:ascii="宋体" w:hAnsi="宋体" w:eastAsia="宋体" w:cs="宋体"/>
                <w:bCs/>
                <w:sz w:val="21"/>
                <w:szCs w:val="21"/>
              </w:rPr>
              <w:t>中标人申请款项时需同时开具正式足额发票给招标人，否则招标人可以拒绝付款。</w:t>
            </w:r>
          </w:p>
        </w:tc>
      </w:tr>
      <w:tr w14:paraId="13AA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shd w:val="clear" w:color="auto" w:fill="auto"/>
            <w:vAlign w:val="center"/>
          </w:tcPr>
          <w:p w14:paraId="614EAB29">
            <w:pPr>
              <w:snapToGrid w:val="0"/>
              <w:spacing w:line="336" w:lineRule="exact"/>
              <w:rPr>
                <w:rFonts w:hint="eastAsia" w:ascii="宋体" w:hAnsi="宋体" w:eastAsia="宋体" w:cs="宋体"/>
                <w:sz w:val="21"/>
                <w:szCs w:val="21"/>
              </w:rPr>
            </w:pPr>
            <w:r>
              <w:rPr>
                <w:rFonts w:hint="eastAsia" w:ascii="宋体" w:hAnsi="宋体" w:eastAsia="宋体" w:cs="宋体"/>
                <w:sz w:val="21"/>
                <w:szCs w:val="21"/>
                <w:lang w:val="zh-CN"/>
              </w:rPr>
              <w:t>（</w:t>
            </w:r>
            <w:r>
              <w:rPr>
                <w:rFonts w:hint="eastAsia" w:ascii="宋体" w:hAnsi="宋体" w:cs="宋体"/>
                <w:sz w:val="21"/>
                <w:szCs w:val="21"/>
                <w:lang w:val="en-US" w:eastAsia="zh-CN"/>
              </w:rPr>
              <w:t>五</w:t>
            </w:r>
            <w:r>
              <w:rPr>
                <w:rFonts w:hint="eastAsia" w:ascii="宋体" w:hAnsi="宋体" w:eastAsia="宋体" w:cs="宋体"/>
                <w:sz w:val="21"/>
                <w:szCs w:val="21"/>
                <w:lang w:val="zh-CN"/>
              </w:rPr>
              <w:t>）</w:t>
            </w:r>
            <w:r>
              <w:rPr>
                <w:rFonts w:hint="eastAsia" w:ascii="宋体" w:hAnsi="宋体" w:eastAsia="宋体" w:cs="宋体"/>
                <w:sz w:val="21"/>
                <w:szCs w:val="21"/>
              </w:rPr>
              <w:t>验收标准</w:t>
            </w:r>
          </w:p>
          <w:p w14:paraId="69E68B1C">
            <w:pPr>
              <w:jc w:val="center"/>
              <w:rPr>
                <w:rFonts w:hint="eastAsia" w:ascii="宋体" w:hAnsi="宋体" w:eastAsia="宋体" w:cs="宋体"/>
                <w:b w:val="0"/>
                <w:bCs/>
                <w:color w:val="000000"/>
                <w:sz w:val="21"/>
                <w:szCs w:val="21"/>
              </w:rPr>
            </w:pPr>
          </w:p>
        </w:tc>
        <w:tc>
          <w:tcPr>
            <w:tcW w:w="7679" w:type="dxa"/>
            <w:shd w:val="clear" w:color="auto" w:fill="auto"/>
            <w:vAlign w:val="center"/>
          </w:tcPr>
          <w:p w14:paraId="5232809D">
            <w:pPr>
              <w:adjustRightInd w:val="0"/>
              <w:snapToGrid w:val="0"/>
              <w:spacing w:line="360" w:lineRule="exact"/>
              <w:rPr>
                <w:rFonts w:hint="eastAsia" w:ascii="宋体" w:hAnsi="宋体" w:eastAsia="宋体" w:cs="宋体"/>
                <w:spacing w:val="-2"/>
                <w:sz w:val="21"/>
                <w:szCs w:val="21"/>
              </w:rPr>
            </w:pPr>
            <w:r>
              <w:rPr>
                <w:rFonts w:hint="eastAsia" w:ascii="宋体" w:hAnsi="宋体" w:eastAsia="宋体" w:cs="宋体"/>
                <w:spacing w:val="-2"/>
                <w:sz w:val="21"/>
                <w:szCs w:val="21"/>
              </w:rPr>
              <w:t>1.依据询价文件要求的采购需求、供应商报价响应文件承诺以及国家现行相关标准、规范履行合同。</w:t>
            </w:r>
          </w:p>
          <w:p w14:paraId="3E3B15BB">
            <w:pPr>
              <w:snapToGrid w:val="0"/>
              <w:spacing w:line="336" w:lineRule="exact"/>
              <w:rPr>
                <w:rFonts w:hint="eastAsia" w:ascii="宋体" w:hAnsi="宋体" w:eastAsia="宋体" w:cs="宋体"/>
                <w:b w:val="0"/>
                <w:bCs/>
                <w:kern w:val="0"/>
                <w:sz w:val="21"/>
                <w:szCs w:val="21"/>
              </w:rPr>
            </w:pPr>
            <w:r>
              <w:rPr>
                <w:rFonts w:hint="eastAsia" w:ascii="宋体" w:hAnsi="宋体" w:eastAsia="宋体" w:cs="宋体"/>
                <w:spacing w:val="-2"/>
                <w:sz w:val="21"/>
                <w:szCs w:val="21"/>
              </w:rPr>
              <w:t>2.采购人依照国家相关法律法规及行业规定及询价文件要求、供应商报价响应文件承诺进行验收。</w:t>
            </w:r>
          </w:p>
        </w:tc>
      </w:tr>
      <w:tr w14:paraId="5452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shd w:val="clear" w:color="auto" w:fill="auto"/>
            <w:vAlign w:val="center"/>
          </w:tcPr>
          <w:p w14:paraId="53F5F116">
            <w:pPr>
              <w:jc w:val="both"/>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w:t>
            </w:r>
            <w:r>
              <w:rPr>
                <w:rFonts w:hint="eastAsia" w:ascii="宋体" w:hAnsi="宋体" w:cs="宋体"/>
                <w:b w:val="0"/>
                <w:bCs/>
                <w:color w:val="000000"/>
                <w:sz w:val="21"/>
                <w:szCs w:val="21"/>
                <w:lang w:val="en-US" w:eastAsia="zh-CN"/>
              </w:rPr>
              <w:t>六</w:t>
            </w:r>
            <w:r>
              <w:rPr>
                <w:rFonts w:hint="eastAsia" w:ascii="宋体" w:hAnsi="宋体" w:eastAsia="宋体" w:cs="宋体"/>
                <w:b w:val="0"/>
                <w:bCs/>
                <w:color w:val="000000"/>
                <w:sz w:val="21"/>
                <w:szCs w:val="21"/>
                <w:lang w:val="en-US" w:eastAsia="zh-CN"/>
              </w:rPr>
              <w:t>）报价要求</w:t>
            </w:r>
          </w:p>
        </w:tc>
        <w:tc>
          <w:tcPr>
            <w:tcW w:w="7679" w:type="dxa"/>
            <w:shd w:val="clear" w:color="auto" w:fill="auto"/>
            <w:vAlign w:val="center"/>
          </w:tcPr>
          <w:p w14:paraId="593B4D05">
            <w:pPr>
              <w:widowControl/>
              <w:jc w:val="left"/>
              <w:rPr>
                <w:rFonts w:hint="eastAsia" w:ascii="宋体" w:hAnsi="宋体" w:eastAsia="宋体" w:cs="宋体"/>
                <w:b w:val="0"/>
                <w:bCs/>
                <w:kern w:val="0"/>
                <w:sz w:val="21"/>
                <w:szCs w:val="21"/>
              </w:rPr>
            </w:pPr>
            <w:r>
              <w:rPr>
                <w:rFonts w:hint="eastAsia" w:ascii="宋体" w:hAnsi="宋体" w:eastAsia="宋体" w:cs="宋体"/>
                <w:spacing w:val="-2"/>
                <w:sz w:val="21"/>
                <w:szCs w:val="21"/>
              </w:rPr>
              <w:t>本项目采用综合单价方式报价，综合单价应综合考虑完成本项目产生的所有成本、税金及合理利润，具体包含但不限于完成采购标的包含的所有人工费用、差旅费、交通费、故障诊断费</w:t>
            </w:r>
            <w:r>
              <w:rPr>
                <w:rFonts w:hint="eastAsia" w:ascii="宋体" w:hAnsi="宋体" w:eastAsia="宋体" w:cs="宋体"/>
                <w:spacing w:val="-2"/>
                <w:sz w:val="21"/>
                <w:szCs w:val="21"/>
                <w:lang w:eastAsia="zh-CN"/>
              </w:rPr>
              <w:t>、</w:t>
            </w:r>
            <w:r>
              <w:rPr>
                <w:rFonts w:hint="eastAsia" w:ascii="宋体" w:hAnsi="宋体" w:eastAsia="宋体" w:cs="宋体"/>
                <w:spacing w:val="-2"/>
                <w:sz w:val="21"/>
                <w:szCs w:val="21"/>
              </w:rPr>
              <w:t>培训费、保险、税金、利润等所有成本费用。在合同实施时，采购人将不予支付完成本项目必须的但成交人没有列入的费用，并认为此费用已包括在报价中。</w:t>
            </w:r>
          </w:p>
        </w:tc>
      </w:tr>
      <w:tr w14:paraId="16BA2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shd w:val="clear" w:color="auto" w:fill="auto"/>
            <w:vAlign w:val="center"/>
          </w:tcPr>
          <w:p w14:paraId="10BD6F0F">
            <w:pPr>
              <w:jc w:val="both"/>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eastAsia="zh-CN"/>
              </w:rPr>
              <w:t>（</w:t>
            </w:r>
            <w:r>
              <w:rPr>
                <w:rFonts w:hint="eastAsia" w:ascii="宋体" w:hAnsi="宋体" w:cs="宋体"/>
                <w:b w:val="0"/>
                <w:bCs/>
                <w:color w:val="000000"/>
                <w:sz w:val="21"/>
                <w:szCs w:val="21"/>
                <w:lang w:val="en-US" w:eastAsia="zh-CN"/>
              </w:rPr>
              <w:t>七</w:t>
            </w:r>
            <w:r>
              <w:rPr>
                <w:rFonts w:hint="eastAsia" w:ascii="宋体" w:hAnsi="宋体" w:eastAsia="宋体" w:cs="宋体"/>
                <w:b w:val="0"/>
                <w:bCs/>
                <w:color w:val="000000"/>
                <w:sz w:val="21"/>
                <w:szCs w:val="21"/>
                <w:lang w:val="en-US" w:eastAsia="zh-CN"/>
              </w:rPr>
              <w:t>）最高限价</w:t>
            </w:r>
          </w:p>
        </w:tc>
        <w:tc>
          <w:tcPr>
            <w:tcW w:w="7679" w:type="dxa"/>
            <w:shd w:val="clear" w:color="auto" w:fill="auto"/>
            <w:vAlign w:val="center"/>
          </w:tcPr>
          <w:p w14:paraId="1BB77252">
            <w:pPr>
              <w:widowControl/>
              <w:jc w:val="left"/>
              <w:rPr>
                <w:rFonts w:hint="eastAsia" w:ascii="宋体" w:hAnsi="宋体" w:eastAsia="宋体" w:cs="宋体"/>
                <w:b w:val="0"/>
                <w:bCs/>
                <w:kern w:val="0"/>
                <w:sz w:val="21"/>
                <w:szCs w:val="21"/>
              </w:rPr>
            </w:pPr>
            <w:r>
              <w:rPr>
                <w:rFonts w:hint="eastAsia" w:ascii="宋体" w:hAnsi="宋体" w:eastAsia="宋体" w:cs="宋体"/>
                <w:spacing w:val="-2"/>
                <w:sz w:val="21"/>
                <w:szCs w:val="21"/>
              </w:rPr>
              <w:t>本项目预算金额为</w:t>
            </w:r>
            <w:r>
              <w:rPr>
                <w:rFonts w:hint="eastAsia" w:ascii="宋体" w:hAnsi="宋体" w:eastAsia="宋体" w:cs="宋体"/>
                <w:sz w:val="21"/>
                <w:szCs w:val="21"/>
              </w:rPr>
              <w:t>人民币</w:t>
            </w:r>
            <w:r>
              <w:rPr>
                <w:rFonts w:hint="eastAsia" w:ascii="宋体" w:hAnsi="宋体" w:eastAsia="宋体" w:cs="宋体"/>
                <w:sz w:val="21"/>
                <w:szCs w:val="21"/>
                <w:lang w:val="en-US" w:eastAsia="zh-CN"/>
              </w:rPr>
              <w:t>贰拾柒万叁仟元</w:t>
            </w:r>
            <w:r>
              <w:rPr>
                <w:rFonts w:hint="eastAsia" w:ascii="宋体" w:hAnsi="宋体" w:eastAsia="宋体" w:cs="宋体"/>
                <w:sz w:val="21"/>
                <w:szCs w:val="21"/>
              </w:rPr>
              <w:t>整（¥</w:t>
            </w:r>
            <w:r>
              <w:rPr>
                <w:rFonts w:hint="eastAsia" w:ascii="宋体" w:hAnsi="宋体" w:eastAsia="宋体" w:cs="宋体"/>
                <w:sz w:val="21"/>
                <w:szCs w:val="21"/>
                <w:lang w:val="en-US" w:eastAsia="zh-CN"/>
              </w:rPr>
              <w:t>273000</w:t>
            </w:r>
            <w:r>
              <w:rPr>
                <w:rFonts w:hint="eastAsia" w:ascii="宋体" w:hAnsi="宋体" w:eastAsia="宋体" w:cs="宋体"/>
                <w:sz w:val="21"/>
                <w:szCs w:val="21"/>
              </w:rPr>
              <w:t>.00元）</w:t>
            </w:r>
            <w:r>
              <w:rPr>
                <w:rFonts w:hint="eastAsia" w:ascii="宋体" w:hAnsi="宋体" w:eastAsia="宋体" w:cs="宋体"/>
                <w:spacing w:val="-2"/>
                <w:sz w:val="21"/>
                <w:szCs w:val="21"/>
              </w:rPr>
              <w:t>，供应商报价超出参考预算金额的，按无效处理。</w:t>
            </w:r>
          </w:p>
        </w:tc>
      </w:tr>
      <w:tr w14:paraId="0EBCF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2240" w:type="dxa"/>
            <w:shd w:val="clear" w:color="auto" w:fill="auto"/>
            <w:vAlign w:val="center"/>
          </w:tcPr>
          <w:p w14:paraId="26485FB8">
            <w:pPr>
              <w:jc w:val="both"/>
              <w:rPr>
                <w:rFonts w:hint="eastAsia" w:ascii="宋体" w:hAnsi="宋体" w:eastAsia="宋体" w:cs="宋体"/>
                <w:b w:val="0"/>
                <w:bCs/>
                <w:color w:val="000000"/>
                <w:sz w:val="21"/>
                <w:szCs w:val="21"/>
                <w:lang w:eastAsia="zh-CN"/>
              </w:rPr>
            </w:pPr>
            <w:r>
              <w:rPr>
                <w:rFonts w:hint="eastAsia" w:ascii="宋体" w:hAnsi="宋体" w:eastAsia="宋体" w:cs="宋体"/>
                <w:sz w:val="21"/>
                <w:szCs w:val="21"/>
              </w:rPr>
              <w:t>（</w:t>
            </w:r>
            <w:r>
              <w:rPr>
                <w:rFonts w:hint="eastAsia" w:ascii="宋体" w:hAnsi="宋体" w:cs="宋体"/>
                <w:sz w:val="21"/>
                <w:szCs w:val="21"/>
                <w:lang w:val="en-US" w:eastAsia="zh-CN"/>
              </w:rPr>
              <w:t>八</w:t>
            </w:r>
            <w:r>
              <w:rPr>
                <w:rFonts w:hint="eastAsia" w:ascii="宋体" w:hAnsi="宋体" w:eastAsia="宋体" w:cs="宋体"/>
                <w:sz w:val="21"/>
                <w:szCs w:val="21"/>
              </w:rPr>
              <w:t>）</w:t>
            </w:r>
            <w:r>
              <w:rPr>
                <w:rFonts w:hint="eastAsia" w:ascii="宋体" w:hAnsi="宋体" w:eastAsia="宋体" w:cs="宋体"/>
                <w:sz w:val="21"/>
                <w:szCs w:val="21"/>
                <w:lang w:val="zh-CN"/>
              </w:rPr>
              <w:t>其他要求</w:t>
            </w:r>
          </w:p>
        </w:tc>
        <w:tc>
          <w:tcPr>
            <w:tcW w:w="7679" w:type="dxa"/>
            <w:shd w:val="clear" w:color="auto" w:fill="auto"/>
            <w:vAlign w:val="center"/>
          </w:tcPr>
          <w:p w14:paraId="2EA1C312">
            <w:pPr>
              <w:snapToGrid w:val="0"/>
              <w:spacing w:line="336" w:lineRule="exact"/>
              <w:rPr>
                <w:rFonts w:hint="eastAsia" w:ascii="宋体" w:hAnsi="宋体" w:eastAsia="宋体" w:cs="宋体"/>
                <w:b w:val="0"/>
                <w:bCs/>
                <w:kern w:val="0"/>
                <w:sz w:val="21"/>
                <w:szCs w:val="21"/>
              </w:rPr>
            </w:pPr>
            <w:r>
              <w:rPr>
                <w:rFonts w:hint="eastAsia" w:ascii="宋体" w:hAnsi="宋体" w:eastAsia="宋体" w:cs="宋体"/>
                <w:sz w:val="21"/>
                <w:szCs w:val="21"/>
              </w:rPr>
              <w:t>本项目所提供的软件必须具有合法的版权或使用权，如在本项目范围内使用过程中出现版权或使用权纠纷，应由中标人负责</w:t>
            </w:r>
            <w:r>
              <w:rPr>
                <w:rFonts w:hint="eastAsia" w:ascii="宋体" w:hAnsi="宋体" w:eastAsia="宋体" w:cs="宋体"/>
                <w:sz w:val="21"/>
                <w:szCs w:val="21"/>
                <w:lang w:eastAsia="zh-CN"/>
              </w:rPr>
              <w:t>。</w:t>
            </w:r>
          </w:p>
        </w:tc>
      </w:tr>
      <w:tr w14:paraId="4FFF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9919" w:type="dxa"/>
            <w:gridSpan w:val="2"/>
            <w:shd w:val="clear" w:color="auto" w:fill="auto"/>
            <w:vAlign w:val="center"/>
          </w:tcPr>
          <w:p w14:paraId="21A28914">
            <w:pPr>
              <w:pStyle w:val="3"/>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eastAsia="宋体" w:cs="宋体"/>
                <w:b/>
                <w:bCs/>
                <w:color w:val="FF0000"/>
                <w:sz w:val="21"/>
                <w:szCs w:val="21"/>
                <w:highlight w:val="none"/>
                <w:lang w:val="en-US" w:eastAsia="zh-CN"/>
              </w:rPr>
              <w:t>注：</w:t>
            </w:r>
          </w:p>
          <w:p w14:paraId="423982E6">
            <w:pPr>
              <w:pStyle w:val="3"/>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FF0000"/>
                <w:sz w:val="21"/>
                <w:szCs w:val="21"/>
                <w:highlight w:val="none"/>
                <w:lang w:val="en-US" w:eastAsia="zh-CN"/>
              </w:rPr>
            </w:pPr>
            <w:r>
              <w:rPr>
                <w:rFonts w:hint="eastAsia" w:ascii="宋体" w:hAnsi="宋体" w:cs="宋体"/>
                <w:b/>
                <w:bCs/>
                <w:color w:val="FF0000"/>
                <w:sz w:val="21"/>
                <w:szCs w:val="21"/>
                <w:highlight w:val="none"/>
                <w:lang w:val="en-US" w:eastAsia="zh-CN"/>
              </w:rPr>
              <w:t>1.</w:t>
            </w:r>
            <w:r>
              <w:rPr>
                <w:rFonts w:hint="eastAsia" w:ascii="宋体" w:hAnsi="宋体" w:eastAsia="宋体" w:cs="宋体"/>
                <w:b/>
                <w:bCs/>
                <w:color w:val="FF0000"/>
                <w:sz w:val="21"/>
                <w:szCs w:val="21"/>
                <w:highlight w:val="none"/>
                <w:lang w:val="en-US" w:eastAsia="zh-CN"/>
              </w:rPr>
              <w:t>投标公司请认真评估本项目所有交付</w:t>
            </w:r>
            <w:r>
              <w:rPr>
                <w:rFonts w:hint="eastAsia" w:ascii="宋体" w:hAnsi="宋体" w:eastAsia="宋体" w:cs="宋体"/>
                <w:b/>
                <w:bCs/>
                <w:color w:val="FF0000"/>
                <w:sz w:val="21"/>
                <w:szCs w:val="21"/>
                <w:highlight w:val="none"/>
              </w:rPr>
              <w:t>需求</w:t>
            </w:r>
            <w:r>
              <w:rPr>
                <w:rFonts w:hint="eastAsia" w:ascii="宋体" w:hAnsi="宋体" w:eastAsia="宋体" w:cs="宋体"/>
                <w:b/>
                <w:bCs/>
                <w:color w:val="FF0000"/>
                <w:sz w:val="21"/>
                <w:szCs w:val="21"/>
                <w:highlight w:val="none"/>
                <w:lang w:val="en-US" w:eastAsia="zh-CN"/>
              </w:rPr>
              <w:t>表，“</w:t>
            </w:r>
            <w:r>
              <w:rPr>
                <w:rFonts w:hint="eastAsia" w:ascii="宋体" w:hAnsi="宋体" w:eastAsia="宋体" w:cs="宋体"/>
                <w:b/>
                <w:bCs/>
                <w:color w:val="FF0000"/>
                <w:sz w:val="21"/>
                <w:szCs w:val="21"/>
                <w:highlight w:val="none"/>
              </w:rPr>
              <w:t>★</w:t>
            </w:r>
            <w:r>
              <w:rPr>
                <w:rFonts w:hint="eastAsia" w:ascii="宋体" w:hAnsi="宋体" w:eastAsia="宋体" w:cs="宋体"/>
                <w:b/>
                <w:bCs/>
                <w:color w:val="FF0000"/>
                <w:sz w:val="21"/>
                <w:szCs w:val="21"/>
                <w:highlight w:val="none"/>
                <w:lang w:eastAsia="zh-CN"/>
              </w:rPr>
              <w:t>”</w:t>
            </w:r>
            <w:r>
              <w:rPr>
                <w:rFonts w:hint="eastAsia" w:ascii="宋体" w:hAnsi="宋体" w:eastAsia="宋体" w:cs="宋体"/>
                <w:b/>
                <w:bCs/>
                <w:color w:val="FF0000"/>
                <w:sz w:val="21"/>
                <w:szCs w:val="21"/>
                <w:highlight w:val="none"/>
                <w:lang w:val="en-US" w:eastAsia="zh-CN"/>
              </w:rPr>
              <w:t>均为实际响应要求，若有任意一项偏离，投标文件作否决投标处理；“</w:t>
            </w:r>
            <w:r>
              <w:rPr>
                <w:rFonts w:hint="eastAsia" w:ascii="宋体" w:hAnsi="宋体" w:eastAsia="宋体" w:cs="宋体"/>
                <w:b/>
                <w:bCs/>
                <w:color w:val="FF0000"/>
                <w:sz w:val="21"/>
                <w:szCs w:val="21"/>
                <w:highlight w:val="none"/>
              </w:rPr>
              <w:t>▲</w:t>
            </w:r>
            <w:r>
              <w:rPr>
                <w:rFonts w:hint="eastAsia" w:ascii="宋体" w:hAnsi="宋体" w:eastAsia="宋体" w:cs="宋体"/>
                <w:b/>
                <w:bCs/>
                <w:color w:val="FF0000"/>
                <w:sz w:val="21"/>
                <w:szCs w:val="21"/>
                <w:highlight w:val="none"/>
                <w:lang w:eastAsia="zh-CN"/>
              </w:rPr>
              <w:t>”</w:t>
            </w:r>
            <w:r>
              <w:rPr>
                <w:rFonts w:hint="eastAsia" w:ascii="宋体" w:hAnsi="宋体" w:eastAsia="宋体" w:cs="宋体"/>
                <w:b/>
                <w:bCs/>
                <w:color w:val="FF0000"/>
                <w:sz w:val="21"/>
                <w:szCs w:val="21"/>
                <w:highlight w:val="none"/>
                <w:lang w:val="en-US" w:eastAsia="zh-CN"/>
              </w:rPr>
              <w:t>均要求投标</w:t>
            </w:r>
            <w:r>
              <w:rPr>
                <w:rFonts w:hint="eastAsia" w:ascii="宋体" w:hAnsi="宋体" w:eastAsia="宋体" w:cs="宋体"/>
                <w:b/>
                <w:bCs/>
                <w:color w:val="FF0000"/>
                <w:sz w:val="21"/>
                <w:szCs w:val="21"/>
                <w:highlight w:val="none"/>
              </w:rPr>
              <w:t>供应商</w:t>
            </w:r>
            <w:r>
              <w:rPr>
                <w:rFonts w:hint="eastAsia" w:ascii="宋体" w:hAnsi="宋体" w:eastAsia="宋体" w:cs="宋体"/>
                <w:b/>
                <w:bCs/>
                <w:color w:val="FF0000"/>
                <w:sz w:val="21"/>
                <w:szCs w:val="21"/>
                <w:highlight w:val="none"/>
                <w:lang w:val="zh-TW" w:eastAsia="zh-TW"/>
              </w:rPr>
              <w:t>具备</w:t>
            </w:r>
            <w:r>
              <w:rPr>
                <w:rFonts w:hint="eastAsia" w:ascii="宋体" w:hAnsi="宋体" w:eastAsia="宋体" w:cs="宋体"/>
                <w:b/>
                <w:bCs/>
                <w:color w:val="FF0000"/>
                <w:sz w:val="21"/>
                <w:szCs w:val="21"/>
                <w:highlight w:val="none"/>
              </w:rPr>
              <w:t>信息系统运行维护能力证书</w:t>
            </w:r>
            <w:r>
              <w:rPr>
                <w:rFonts w:hint="eastAsia" w:ascii="宋体" w:hAnsi="宋体" w:eastAsia="宋体" w:cs="宋体"/>
                <w:b/>
                <w:bCs/>
                <w:color w:val="FF0000"/>
                <w:sz w:val="21"/>
                <w:szCs w:val="21"/>
                <w:highlight w:val="none"/>
                <w:lang w:val="en-US" w:eastAsia="zh-CN"/>
              </w:rPr>
              <w:t>或提供截图证明等文件，否则被视为不响应。</w:t>
            </w:r>
          </w:p>
          <w:p w14:paraId="47C2533F">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cs="宋体"/>
                <w:b/>
                <w:bCs/>
                <w:color w:val="FF0000"/>
                <w:sz w:val="21"/>
                <w:szCs w:val="21"/>
                <w:highlight w:val="none"/>
                <w:lang w:val="en-US" w:eastAsia="zh-CN"/>
              </w:rPr>
              <w:t>2.本项目使用最低评标价法，不同报价方通过资格审查、符合性审查后进行二次报价,报价最低报价方作为意向成交供应商；二次报价后如出现相同最低报价的情况，则由报价相同的报价方进行再次报价。</w:t>
            </w:r>
          </w:p>
        </w:tc>
      </w:tr>
    </w:tbl>
    <w:p w14:paraId="1045A9B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4"/>
          <w:szCs w:val="24"/>
          <w:highlight w:val="none"/>
          <w:lang w:val="en-US" w:eastAsia="zh-CN"/>
        </w:rPr>
      </w:pPr>
    </w:p>
    <w:p w14:paraId="1902E204">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Theme="minorEastAsia" w:hAnsiTheme="minorEastAsia" w:eastAsiaTheme="minorEastAsia" w:cstheme="minorEastAsia"/>
          <w:b/>
          <w:bCs/>
          <w:color w:val="auto"/>
          <w:sz w:val="21"/>
          <w:szCs w:val="21"/>
          <w:lang w:val="en-US"/>
        </w:rPr>
      </w:pPr>
      <w:r>
        <w:rPr>
          <w:rFonts w:hint="eastAsia" w:asciiTheme="minorEastAsia" w:hAnsiTheme="minorEastAsia" w:eastAsiaTheme="minorEastAsia" w:cstheme="minorEastAsia"/>
          <w:b/>
          <w:bCs/>
          <w:color w:val="auto"/>
          <w:sz w:val="21"/>
          <w:szCs w:val="21"/>
          <w:lang w:val="en-US" w:eastAsia="zh-CN"/>
        </w:rPr>
        <w:t>四、合同主要条款</w:t>
      </w:r>
    </w:p>
    <w:p w14:paraId="14600F7F">
      <w:pPr>
        <w:keepNext w:val="0"/>
        <w:keepLines w:val="0"/>
        <w:pageBreakBefore w:val="0"/>
        <w:kinsoku/>
        <w:wordWrap/>
        <w:overflowPunct/>
        <w:topLinePunct w:val="0"/>
        <w:autoSpaceDE/>
        <w:autoSpaceDN/>
        <w:bidi w:val="0"/>
        <w:adjustRightInd/>
        <w:snapToGrid/>
        <w:spacing w:line="400" w:lineRule="exact"/>
        <w:ind w:left="-8" w:leftChars="0" w:right="-55" w:rightChars="-26" w:firstLine="8"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甲方：</w:t>
      </w:r>
      <w:r>
        <w:rPr>
          <w:rFonts w:hint="eastAsia" w:asciiTheme="minorEastAsia" w:hAnsiTheme="minorEastAsia" w:eastAsiaTheme="minorEastAsia" w:cstheme="minorEastAsia"/>
          <w:b w:val="0"/>
          <w:bCs/>
          <w:sz w:val="21"/>
          <w:szCs w:val="21"/>
          <w:u w:val="single"/>
        </w:rPr>
        <w:t>桂林市人民医院</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（采购人）</w:t>
      </w:r>
    </w:p>
    <w:p w14:paraId="3DB21A64">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乙方：</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（服务商）</w:t>
      </w:r>
    </w:p>
    <w:p w14:paraId="0FB49671">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sz w:val="21"/>
          <w:szCs w:val="21"/>
        </w:rPr>
        <w:t>根据《中华人民共和国政府采购法》、《中华人民共和国民法典》等法律、法规规定</w:t>
      </w:r>
      <w:r>
        <w:rPr>
          <w:rFonts w:hint="eastAsia" w:asciiTheme="minorEastAsia" w:hAnsiTheme="minorEastAsia" w:eastAsiaTheme="minorEastAsia" w:cstheme="minorEastAsia"/>
          <w:b w:val="0"/>
          <w:bCs/>
          <w:color w:val="auto"/>
          <w:sz w:val="21"/>
          <w:szCs w:val="21"/>
        </w:rPr>
        <w:t>，按照</w:t>
      </w:r>
      <w:r>
        <w:rPr>
          <w:rFonts w:hint="eastAsia" w:asciiTheme="minorEastAsia" w:hAnsiTheme="minorEastAsia" w:eastAsiaTheme="minorEastAsia" w:cstheme="minorEastAsia"/>
          <w:b w:val="0"/>
          <w:bCs/>
          <w:color w:val="auto"/>
          <w:sz w:val="21"/>
          <w:szCs w:val="21"/>
          <w:lang w:val="en-US" w:eastAsia="zh-CN"/>
        </w:rPr>
        <w:t>议价</w:t>
      </w:r>
      <w:r>
        <w:rPr>
          <w:rFonts w:hint="eastAsia" w:asciiTheme="minorEastAsia" w:hAnsiTheme="minorEastAsia" w:eastAsiaTheme="minorEastAsia" w:cstheme="minorEastAsia"/>
          <w:b w:val="0"/>
          <w:bCs/>
          <w:color w:val="auto"/>
          <w:sz w:val="21"/>
          <w:szCs w:val="21"/>
        </w:rPr>
        <w:t>文件要求规定条款和服务商的承诺、甲乙双方签订本合同。</w:t>
      </w:r>
    </w:p>
    <w:p w14:paraId="6B6E975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第一条  合同文件</w:t>
      </w:r>
    </w:p>
    <w:p w14:paraId="785181A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本合同所附下列文件是构成本合同不可分割的部分：</w:t>
      </w:r>
    </w:p>
    <w:p w14:paraId="3ADFA5D0">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（1）服务商提交的报价表、项目实施方案（项目运维实施方案、服务管理方案、技术方案、投入技术人员力量等）、服务承诺方案（含运维服务措施、驻场人员安排、工作进度安排、服务质量保证措施等）；</w:t>
      </w:r>
    </w:p>
    <w:p w14:paraId="513948C5">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（2）本合同协议书及有关补充资料；</w:t>
      </w:r>
    </w:p>
    <w:p w14:paraId="7498DD5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第二条  合同标的及合同金额</w:t>
      </w:r>
    </w:p>
    <w:p w14:paraId="64720750">
      <w:pPr>
        <w:keepNext w:val="0"/>
        <w:keepLines w:val="0"/>
        <w:pageBreakBefore w:val="0"/>
        <w:widowControl/>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合同标的：</w:t>
      </w:r>
    </w:p>
    <w:tbl>
      <w:tblPr>
        <w:tblStyle w:val="18"/>
        <w:tblW w:w="9390"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70"/>
        <w:gridCol w:w="630"/>
        <w:gridCol w:w="660"/>
        <w:gridCol w:w="6030"/>
      </w:tblGrid>
      <w:tr w14:paraId="776E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atLeast"/>
        </w:trPr>
        <w:tc>
          <w:tcPr>
            <w:tcW w:w="2070" w:type="dxa"/>
            <w:tcBorders>
              <w:top w:val="single" w:color="auto" w:sz="4" w:space="0"/>
              <w:left w:val="single" w:color="auto" w:sz="4" w:space="0"/>
              <w:bottom w:val="single" w:color="auto" w:sz="4" w:space="0"/>
              <w:right w:val="single" w:color="auto" w:sz="4" w:space="0"/>
            </w:tcBorders>
            <w:shd w:val="clear" w:color="auto" w:fill="auto"/>
            <w:tcMar>
              <w:top w:w="13" w:type="dxa"/>
              <w:left w:w="57" w:type="dxa"/>
              <w:bottom w:w="0" w:type="dxa"/>
              <w:right w:w="57" w:type="dxa"/>
            </w:tcMar>
            <w:vAlign w:val="center"/>
          </w:tcPr>
          <w:p w14:paraId="0A7CA449">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服务名称</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14:paraId="59ED8BA6">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数量</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00F4DCAB">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单位</w:t>
            </w:r>
          </w:p>
        </w:tc>
        <w:tc>
          <w:tcPr>
            <w:tcW w:w="6030" w:type="dxa"/>
            <w:tcBorders>
              <w:top w:val="single" w:color="auto" w:sz="4" w:space="0"/>
              <w:left w:val="single" w:color="auto" w:sz="4" w:space="0"/>
              <w:bottom w:val="single" w:color="auto" w:sz="4" w:space="0"/>
              <w:right w:val="single" w:color="auto" w:sz="4" w:space="0"/>
            </w:tcBorders>
            <w:shd w:val="clear" w:color="auto" w:fill="auto"/>
            <w:vAlign w:val="center"/>
          </w:tcPr>
          <w:p w14:paraId="6F477005">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运维服务承诺</w:t>
            </w:r>
          </w:p>
        </w:tc>
      </w:tr>
      <w:tr w14:paraId="3C32C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8" w:hRule="atLeast"/>
        </w:trPr>
        <w:tc>
          <w:tcPr>
            <w:tcW w:w="2070" w:type="dxa"/>
            <w:tcBorders>
              <w:top w:val="single" w:color="auto" w:sz="4" w:space="0"/>
              <w:left w:val="single" w:color="auto" w:sz="4" w:space="0"/>
              <w:bottom w:val="single" w:color="auto" w:sz="4" w:space="0"/>
              <w:right w:val="single" w:color="auto" w:sz="4" w:space="0"/>
            </w:tcBorders>
            <w:shd w:val="clear" w:color="auto" w:fill="auto"/>
            <w:tcMar>
              <w:top w:w="13" w:type="dxa"/>
              <w:left w:w="57" w:type="dxa"/>
              <w:bottom w:w="0" w:type="dxa"/>
              <w:right w:w="57" w:type="dxa"/>
            </w:tcMar>
            <w:vAlign w:val="center"/>
          </w:tcPr>
          <w:p w14:paraId="00D56DEC">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sz w:val="21"/>
                <w:szCs w:val="21"/>
                <w:u w:val="single"/>
              </w:rPr>
              <w:t>桂林市人民医院网络设备与安全运维服务采购</w:t>
            </w:r>
          </w:p>
        </w:tc>
        <w:tc>
          <w:tcPr>
            <w:tcW w:w="630" w:type="dxa"/>
            <w:tcBorders>
              <w:top w:val="single" w:color="auto" w:sz="4" w:space="0"/>
              <w:left w:val="single" w:color="auto" w:sz="4" w:space="0"/>
              <w:bottom w:val="single" w:color="auto" w:sz="4" w:space="0"/>
              <w:right w:val="single" w:color="auto" w:sz="4" w:space="0"/>
            </w:tcBorders>
            <w:shd w:val="clear" w:color="auto" w:fill="auto"/>
            <w:vAlign w:val="center"/>
          </w:tcPr>
          <w:p w14:paraId="0961AE63">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p>
        </w:tc>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52A2D2D5">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center"/>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项</w:t>
            </w:r>
          </w:p>
        </w:tc>
        <w:tc>
          <w:tcPr>
            <w:tcW w:w="6030" w:type="dxa"/>
            <w:tcBorders>
              <w:top w:val="single" w:color="auto" w:sz="4" w:space="0"/>
              <w:left w:val="single" w:color="auto" w:sz="4" w:space="0"/>
              <w:bottom w:val="single" w:color="auto" w:sz="4" w:space="0"/>
              <w:right w:val="single" w:color="auto" w:sz="4" w:space="0"/>
            </w:tcBorders>
            <w:shd w:val="clear" w:color="auto" w:fill="auto"/>
            <w:vAlign w:val="center"/>
          </w:tcPr>
          <w:p w14:paraId="41BDBAC3">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left"/>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见附件“服务商针对本项目的服务承诺方案（含运维服务措施、驻场人员安排、工作进度安排、服务质量保证措施等）”</w:t>
            </w:r>
          </w:p>
          <w:p w14:paraId="2B2926DA">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jc w:val="left"/>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运维服务详见附件“运维服务目录表”</w:t>
            </w:r>
          </w:p>
        </w:tc>
      </w:tr>
    </w:tbl>
    <w:p w14:paraId="6F5B0DA5">
      <w:pPr>
        <w:keepNext w:val="0"/>
        <w:keepLines w:val="0"/>
        <w:pageBreakBefore w:val="0"/>
        <w:numPr>
          <w:ilvl w:val="0"/>
          <w:numId w:val="0"/>
        </w:numPr>
        <w:kinsoku/>
        <w:wordWrap/>
        <w:overflowPunct/>
        <w:topLinePunct w:val="0"/>
        <w:autoSpaceDE/>
        <w:autoSpaceDN/>
        <w:bidi w:val="0"/>
        <w:adjustRightInd/>
        <w:snapToGrid/>
        <w:spacing w:line="400" w:lineRule="exact"/>
        <w:ind w:leftChars="0" w:right="-55" w:rightChars="-26" w:firstLine="210" w:firstLineChars="1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根据双方确定，合同的总金额为：</w:t>
      </w:r>
    </w:p>
    <w:p w14:paraId="3129C760">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（大写）</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人民币（</w:t>
      </w:r>
      <w:r>
        <w:rPr>
          <w:rFonts w:hint="default" w:ascii="Arial" w:hAnsi="Arial" w:cs="Arial" w:eastAsiaTheme="minorEastAsia"/>
          <w:sz w:val="21"/>
          <w:szCs w:val="21"/>
        </w:rPr>
        <w:t>¥</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rPr>
        <w:t>元）</w:t>
      </w:r>
    </w:p>
    <w:p w14:paraId="546F9EE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第三条  双方责任</w:t>
      </w:r>
    </w:p>
    <w:p w14:paraId="77DBA1FF">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甲方责任</w:t>
      </w:r>
    </w:p>
    <w:p w14:paraId="3A422D54">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1.1及时向乙方提供相关驻场运维人员工作场地，经甲方代表签字确认后成为本合同的组成部分。</w:t>
      </w:r>
    </w:p>
    <w:p w14:paraId="18D85665">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1.2向乙方提供相关制度、流程文件以及三个月磨合期的技术支持，以便乙方能够及时、顺利地进入主动服务期开展工作。</w:t>
      </w:r>
    </w:p>
    <w:p w14:paraId="1538FE0F">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乙方责任</w:t>
      </w:r>
    </w:p>
    <w:p w14:paraId="02F57B6F">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2.1乙方的合同义务不得转让或以其他方式形成实质转移，必须严格自行履行合同责任和义务。</w:t>
      </w:r>
    </w:p>
    <w:p w14:paraId="6C90FA1C">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2.2在合同范围内为甲方提供良好的配套服务。</w:t>
      </w:r>
    </w:p>
    <w:p w14:paraId="0950781C">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2.3 在项目服务过程中，乙方须接受甲方的监督，对甲方所提出的运维意见要及时进行调整和修正。</w:t>
      </w:r>
    </w:p>
    <w:p w14:paraId="2B4648EA">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2.4乙方对项目负有保密义务，未经甲方允许，不得外泄项目任何信息；因乙方擅自外泄项目信息，而造成不良影响或损失的，乙方承担相应责任。</w:t>
      </w:r>
    </w:p>
    <w:p w14:paraId="006810CF">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第四条  权力保证</w:t>
      </w:r>
    </w:p>
    <w:p w14:paraId="30D015FF">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乙方应按合同文件规定的时间向甲方提供使用服务的有关运维技术资料。</w:t>
      </w:r>
    </w:p>
    <w:p w14:paraId="34F08163">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第五条  交付</w:t>
      </w:r>
    </w:p>
    <w:p w14:paraId="1A2ECE3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服务期：壹年，以合同签订的准确时间开始计时。地点：</w:t>
      </w:r>
      <w:r>
        <w:rPr>
          <w:rFonts w:hint="eastAsia" w:asciiTheme="minorEastAsia" w:hAnsiTheme="minorEastAsia" w:eastAsiaTheme="minorEastAsia" w:cstheme="minorEastAsia"/>
          <w:b w:val="0"/>
          <w:bCs/>
          <w:sz w:val="21"/>
          <w:szCs w:val="21"/>
          <w:u w:val="single"/>
        </w:rPr>
        <w:t>广西桂林市甲方指定地点</w:t>
      </w:r>
      <w:r>
        <w:rPr>
          <w:rFonts w:hint="eastAsia" w:asciiTheme="minorEastAsia" w:hAnsiTheme="minorEastAsia" w:eastAsiaTheme="minorEastAsia" w:cstheme="minorEastAsia"/>
          <w:b w:val="0"/>
          <w:bCs/>
          <w:sz w:val="21"/>
          <w:szCs w:val="21"/>
        </w:rPr>
        <w:t>。</w:t>
      </w:r>
    </w:p>
    <w:p w14:paraId="4B40CD41">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服务开始时间：自签订合同之日起1个日历日内进驻甲方指定地点开始提供服务。</w:t>
      </w:r>
    </w:p>
    <w:p w14:paraId="239A3149">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乙方提供不符合合同文件和本合同规定的服务，甲方有权拒绝接受。</w:t>
      </w:r>
    </w:p>
    <w:p w14:paraId="6FAA4030">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第六条  服务考核</w:t>
      </w:r>
    </w:p>
    <w:p w14:paraId="005ED3CE">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乙方在维护工作每满一个季度（即三个月）后，应当对本合同涉及到的所有维护服务形成完整的服务总结，总结中应包含所有设备和服务，在服务满一个季度（即三个月）后的15个工作日内,乙方应将服务总结以纸制介质的形式提交甲方，甲方确认服务总结后，双方在服务总结上签字并加盖公章。</w:t>
      </w:r>
    </w:p>
    <w:p w14:paraId="291EC630">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如属于乙方原因致使维护项目未能通过考核，乙方承担相应的违约责任。</w:t>
      </w:r>
    </w:p>
    <w:p w14:paraId="713EEB5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第七条  税费</w:t>
      </w:r>
    </w:p>
    <w:p w14:paraId="071019C4">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本合同执行中相关的一切税费均由乙方负担。</w:t>
      </w:r>
    </w:p>
    <w:p w14:paraId="090B8315">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第八条  付款方式</w:t>
      </w:r>
    </w:p>
    <w:p w14:paraId="62D1701B">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本运维项目按季度付款。即乙方进驻7个工作日内，乙方开具对应金额发票，甲方在收到发票后的15个工作日内支付第一季度（3个月）运维进度款40%，共计人民币大写</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），其余3个季度在乙方完成上一季度服务总结后，甲方支付下一季度运维服务进度款20%，人民币大写</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w:t>
      </w:r>
    </w:p>
    <w:p w14:paraId="5E3DF88B">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第九条  违约责任</w:t>
      </w:r>
    </w:p>
    <w:p w14:paraId="7FD48C6F">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本协议执行期过程中，乙方在履约过程中违约或终止合同义务的后果完全由乙方自行承担。</w:t>
      </w:r>
    </w:p>
    <w:p w14:paraId="7551B0E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当任何一方不履行或履行的义务不符合本合同规定时视为违约，另一方有权以书面形式通知违约方更正并承担违约责任，违约一方须向对方支付合同总额5%的违约金。而且，将是否继续履行本协议的决定权交给了对方。严重违约时，违约金加倍支付。</w:t>
      </w:r>
    </w:p>
    <w:p w14:paraId="22B78B85">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乙方未按照合同约定时间安排人员驻场运维服务时，按每逾期一天支付合同金额的0.1％向甲方支付违约金。乙方逾期超过7天仍不能将人员到岗驻场，甲方可解除双方合同，无需支付任何费用。造成甲方损失的，由乙方负责赔偿。</w:t>
      </w:r>
    </w:p>
    <w:p w14:paraId="7DCEDE93">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若乙方拟投入服务的技术工程师不能胜任维护工作，甲方在以书面通知其培训半个月后仍无法胜任的，甲方有权提前要求乙方更换合格的技术工程师。</w:t>
      </w:r>
    </w:p>
    <w:p w14:paraId="0DB0C695">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拟投入本项目服务的工程师因工作失误造成甲方设备损坏的，乙方必需全额赔付所损设备，若因乙方原因导致的设备损坏影响到甲方日常工作的，甲方有权向乙方追究相关责任。</w:t>
      </w:r>
    </w:p>
    <w:p w14:paraId="65BDB3CA">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拟投入本项目服务的工程师必须严格遵守政府相关法律和规定，违反信息安全或故意非法盗取信息的，视为乙方严重违约，甲方有权立即中止服务合同，若有违法犯罪行为移交司法部门处理。</w:t>
      </w:r>
    </w:p>
    <w:p w14:paraId="7BB05180">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拟投入服务的工程师因严重违反甲方相关规定，造成较大影响的，视为乙方违约，甲方有权提前解除服务合同。</w:t>
      </w:r>
    </w:p>
    <w:p w14:paraId="6B04170A">
      <w:pPr>
        <w:pStyle w:val="10"/>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8</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本运维服务</w:t>
      </w:r>
      <w:r>
        <w:rPr>
          <w:rFonts w:hint="eastAsia" w:asciiTheme="minorEastAsia" w:hAnsiTheme="minorEastAsia" w:eastAsiaTheme="minorEastAsia" w:cstheme="minorEastAsia"/>
          <w:b w:val="0"/>
          <w:bCs/>
          <w:color w:val="000000"/>
          <w:kern w:val="0"/>
          <w:sz w:val="21"/>
          <w:szCs w:val="21"/>
        </w:rPr>
        <w:t>将运用沟通交流、技术交流、管理与流程相结合的方式，从而提高运维服务质量，提供单位部门满意度，发挥最大的个网络系统工作效率。</w:t>
      </w:r>
    </w:p>
    <w:p w14:paraId="08C09788">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第十条  不可抗力事件处理</w:t>
      </w:r>
    </w:p>
    <w:p w14:paraId="4083BD58">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由于不可抗力原因导致本合同执行无法履行或履行障碍，双方互不承担违约责任。</w:t>
      </w:r>
    </w:p>
    <w:p w14:paraId="4F2B49C3">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不可抗力事件发生后，发现的一方有义务在第一时间内书面通知另一方，待障碍消除随时恢复执行合同，如果无法履行或无必要履行，双方据实结算。</w:t>
      </w:r>
    </w:p>
    <w:p w14:paraId="459E792E">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第十一条  合同争议解决</w:t>
      </w:r>
    </w:p>
    <w:p w14:paraId="12915B4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因履行本合同引起的或与本合同有关的争议，甲乙双方应首先通过友好协商解决，如果协商不能解决，可向桂林市仲裁委员会申请仲裁或向桂林市人民法院提起诉讼。</w:t>
      </w:r>
    </w:p>
    <w:p w14:paraId="5EF1ADEC">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诉讼期间，本合同继续履行。</w:t>
      </w:r>
    </w:p>
    <w:p w14:paraId="39349B7D">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第十二条  合同生效及其它</w:t>
      </w:r>
    </w:p>
    <w:p w14:paraId="7271D485">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合同经甲乙双方法定代表人或授权代表签字并加盖单位公章后生效。</w:t>
      </w:r>
    </w:p>
    <w:p w14:paraId="15CE8974">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合同执行中涉及新增采购资金和采购内容修改或补充的，需经甲方审批，并签订书面补充协议，方可作为另外单独结算。</w:t>
      </w:r>
    </w:p>
    <w:p w14:paraId="4912E81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本合同未尽事宜，遵照《民法典》有关条文执行。</w:t>
      </w:r>
    </w:p>
    <w:p w14:paraId="46A8B3D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第十三条  合同的变更、终止与转让</w:t>
      </w:r>
    </w:p>
    <w:p w14:paraId="2AFEFE74">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除《中华人民共和国政府采购法》第五十条规定的情形外，本合同一经签订，甲乙双方不得擅自变更，中止或终止。</w:t>
      </w:r>
    </w:p>
    <w:p w14:paraId="1C64646E">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乙方不得擅自转让其应履行的合同义务。</w:t>
      </w:r>
    </w:p>
    <w:p w14:paraId="5B65BFD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第十四条  签订本合同依据</w:t>
      </w:r>
    </w:p>
    <w:p w14:paraId="690DA542">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1</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合同文件；</w:t>
      </w:r>
    </w:p>
    <w:p w14:paraId="0FB76231">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color w:val="auto"/>
          <w:sz w:val="21"/>
          <w:szCs w:val="21"/>
        </w:rPr>
      </w:pPr>
      <w:r>
        <w:rPr>
          <w:rFonts w:hint="eastAsia" w:asciiTheme="minorEastAsia" w:hAnsiTheme="minorEastAsia" w:eastAsiaTheme="minorEastAsia" w:cstheme="minorEastAsia"/>
          <w:b w:val="0"/>
          <w:bCs/>
          <w:color w:val="auto"/>
          <w:sz w:val="21"/>
          <w:szCs w:val="21"/>
        </w:rPr>
        <w:t>2</w:t>
      </w:r>
      <w:r>
        <w:rPr>
          <w:rFonts w:hint="eastAsia" w:asciiTheme="minorEastAsia" w:hAnsiTheme="minorEastAsia" w:eastAsiaTheme="minorEastAsia" w:cstheme="minorEastAsia"/>
          <w:b w:val="0"/>
          <w:bCs/>
          <w:color w:val="auto"/>
          <w:sz w:val="21"/>
          <w:szCs w:val="21"/>
          <w:lang w:val="en-US" w:eastAsia="zh-CN"/>
        </w:rPr>
        <w:t>.</w:t>
      </w:r>
      <w:r>
        <w:rPr>
          <w:rFonts w:hint="eastAsia" w:asciiTheme="minorEastAsia" w:hAnsiTheme="minorEastAsia" w:eastAsiaTheme="minorEastAsia" w:cstheme="minorEastAsia"/>
          <w:b w:val="0"/>
          <w:bCs/>
          <w:color w:val="auto"/>
          <w:sz w:val="21"/>
          <w:szCs w:val="21"/>
        </w:rPr>
        <w:t>乙方的报价表；</w:t>
      </w:r>
    </w:p>
    <w:p w14:paraId="3DAB8F8C">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lang w:eastAsia="zh-CN"/>
        </w:rPr>
      </w:pPr>
      <w:r>
        <w:rPr>
          <w:rFonts w:hint="eastAsia" w:asciiTheme="minorEastAsia" w:hAnsiTheme="minorEastAsia" w:eastAsiaTheme="minorEastAsia" w:cstheme="minorEastAsia"/>
          <w:b w:val="0"/>
          <w:bCs/>
          <w:sz w:val="21"/>
          <w:szCs w:val="21"/>
        </w:rPr>
        <w:t>3</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服务承诺方案（项目运维实施方案、服务管理方案、技术方案、拟投入技术人员力量等）</w:t>
      </w:r>
      <w:r>
        <w:rPr>
          <w:rFonts w:hint="eastAsia" w:asciiTheme="minorEastAsia" w:hAnsiTheme="minorEastAsia" w:eastAsiaTheme="minorEastAsia" w:cstheme="minorEastAsia"/>
          <w:b w:val="0"/>
          <w:bCs/>
          <w:sz w:val="21"/>
          <w:szCs w:val="21"/>
          <w:lang w:eastAsia="zh-CN"/>
        </w:rPr>
        <w:t>；</w:t>
      </w:r>
    </w:p>
    <w:p w14:paraId="19AE9AE6">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w:t>
      </w:r>
      <w:r>
        <w:rPr>
          <w:rFonts w:hint="eastAsia" w:asciiTheme="minorEastAsia" w:hAnsiTheme="minorEastAsia" w:eastAsiaTheme="minorEastAsia" w:cstheme="minorEastAsia"/>
          <w:b w:val="0"/>
          <w:bCs/>
          <w:sz w:val="21"/>
          <w:szCs w:val="21"/>
          <w:lang w:val="en-US" w:eastAsia="zh-CN"/>
        </w:rPr>
        <w:t>.</w:t>
      </w:r>
      <w:r>
        <w:rPr>
          <w:rFonts w:hint="eastAsia" w:asciiTheme="minorEastAsia" w:hAnsiTheme="minorEastAsia" w:eastAsiaTheme="minorEastAsia" w:cstheme="minorEastAsia"/>
          <w:b w:val="0"/>
          <w:bCs/>
          <w:sz w:val="21"/>
          <w:szCs w:val="21"/>
        </w:rPr>
        <w:t>运维服务目录表；</w:t>
      </w:r>
    </w:p>
    <w:p w14:paraId="1CFD67F7">
      <w:pPr>
        <w:keepNext w:val="0"/>
        <w:keepLines w:val="0"/>
        <w:pageBreakBefore w:val="0"/>
        <w:kinsoku/>
        <w:wordWrap/>
        <w:overflowPunct/>
        <w:topLinePunct w:val="0"/>
        <w:autoSpaceDE/>
        <w:autoSpaceDN/>
        <w:bidi w:val="0"/>
        <w:adjustRightInd/>
        <w:snapToGrid/>
        <w:spacing w:line="400" w:lineRule="exact"/>
        <w:ind w:left="0" w:leftChars="0" w:right="-55" w:rightChars="-26" w:firstLine="420" w:firstLineChars="20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本合同甲乙双方签字盖章后生效，一式五份，具有同等法律效力，甲方持三份、乙方持</w:t>
      </w:r>
      <w:r>
        <w:rPr>
          <w:rFonts w:hint="eastAsia" w:asciiTheme="minorEastAsia" w:hAnsiTheme="minorEastAsia" w:eastAsiaTheme="minorEastAsia" w:cstheme="minorEastAsia"/>
          <w:b w:val="0"/>
          <w:bCs/>
          <w:sz w:val="21"/>
          <w:szCs w:val="21"/>
          <w:lang w:val="en-US" w:eastAsia="zh-CN"/>
        </w:rPr>
        <w:t>二</w:t>
      </w:r>
      <w:r>
        <w:rPr>
          <w:rFonts w:hint="eastAsia" w:asciiTheme="minorEastAsia" w:hAnsiTheme="minorEastAsia" w:eastAsiaTheme="minorEastAsia" w:cstheme="minorEastAsia"/>
          <w:b w:val="0"/>
          <w:bCs/>
          <w:sz w:val="21"/>
          <w:szCs w:val="21"/>
        </w:rPr>
        <w:t>份。</w:t>
      </w:r>
    </w:p>
    <w:p w14:paraId="0035B8B8">
      <w:pPr>
        <w:keepNext w:val="0"/>
        <w:keepLines w:val="0"/>
        <w:pageBreakBefore w:val="0"/>
        <w:tabs>
          <w:tab w:val="left" w:pos="4320"/>
          <w:tab w:val="left" w:pos="450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p>
    <w:p w14:paraId="13D99A74">
      <w:pPr>
        <w:keepNext w:val="0"/>
        <w:keepLines w:val="0"/>
        <w:pageBreakBefore w:val="0"/>
        <w:tabs>
          <w:tab w:val="left" w:pos="4320"/>
          <w:tab w:val="left" w:pos="450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甲方名称（公章）：</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w:t>
      </w:r>
      <w:r>
        <w:rPr>
          <w:rFonts w:hint="eastAsia" w:asciiTheme="minorEastAsia" w:hAnsiTheme="minorEastAsia" w:eastAsiaTheme="minorEastAsia" w:cstheme="minorEastAsia"/>
          <w:b w:val="0"/>
          <w:bCs/>
          <w:sz w:val="21"/>
          <w:szCs w:val="21"/>
          <w:lang w:val="en-US" w:eastAsia="zh-CN"/>
        </w:rPr>
        <w:t xml:space="preserve"> </w:t>
      </w:r>
      <w:r>
        <w:rPr>
          <w:rFonts w:hint="eastAsia" w:asciiTheme="minorEastAsia" w:hAnsiTheme="minorEastAsia" w:eastAsiaTheme="minorEastAsia" w:cstheme="minorEastAsia"/>
          <w:b w:val="0"/>
          <w:bCs/>
          <w:sz w:val="21"/>
          <w:szCs w:val="21"/>
        </w:rPr>
        <w:t>乙方名称（公章）：</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7001F414">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rPr>
        <w:t>法定代表人：</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法定代表人：</w:t>
      </w:r>
      <w:r>
        <w:rPr>
          <w:rFonts w:hint="eastAsia" w:asciiTheme="minorEastAsia" w:hAnsiTheme="minorEastAsia" w:eastAsiaTheme="minorEastAsia" w:cstheme="minorEastAsia"/>
          <w:b w:val="0"/>
          <w:bCs/>
          <w:sz w:val="21"/>
          <w:szCs w:val="21"/>
          <w:u w:val="single"/>
        </w:rPr>
        <w:t xml:space="preserve">                           </w:t>
      </w:r>
    </w:p>
    <w:p w14:paraId="4BA6F8E2">
      <w:pPr>
        <w:keepNext w:val="0"/>
        <w:keepLines w:val="0"/>
        <w:pageBreakBefore w:val="0"/>
        <w:tabs>
          <w:tab w:val="left" w:pos="468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rPr>
        <w:t>委托代理人：</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委托代理人：</w:t>
      </w:r>
      <w:r>
        <w:rPr>
          <w:rFonts w:hint="eastAsia" w:asciiTheme="minorEastAsia" w:hAnsiTheme="minorEastAsia" w:eastAsiaTheme="minorEastAsia" w:cstheme="minorEastAsia"/>
          <w:b w:val="0"/>
          <w:bCs/>
          <w:sz w:val="21"/>
          <w:szCs w:val="21"/>
          <w:u w:val="single"/>
        </w:rPr>
        <w:t xml:space="preserve">                           </w:t>
      </w:r>
    </w:p>
    <w:p w14:paraId="325A3FC4">
      <w:pPr>
        <w:keepNext w:val="0"/>
        <w:keepLines w:val="0"/>
        <w:pageBreakBefore w:val="0"/>
        <w:tabs>
          <w:tab w:val="left" w:pos="504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rPr>
        <w:t>电  话：</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电   话：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3FE71F3D">
      <w:pPr>
        <w:keepNext w:val="0"/>
        <w:keepLines w:val="0"/>
        <w:pageBreakBefore w:val="0"/>
        <w:tabs>
          <w:tab w:val="left" w:pos="504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开户名称：</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开户名称：</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5D8D2D36">
      <w:pPr>
        <w:keepNext w:val="0"/>
        <w:keepLines w:val="0"/>
        <w:pageBreakBefore w:val="0"/>
        <w:tabs>
          <w:tab w:val="left" w:pos="504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开户银行：</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开户银行：</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58F7EDC3">
      <w:pPr>
        <w:keepNext w:val="0"/>
        <w:keepLines w:val="0"/>
        <w:pageBreakBefore w:val="0"/>
        <w:tabs>
          <w:tab w:val="left" w:pos="5040"/>
        </w:tabs>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u w:val="single"/>
        </w:rPr>
      </w:pPr>
      <w:r>
        <w:rPr>
          <w:rFonts w:hint="eastAsia" w:asciiTheme="minorEastAsia" w:hAnsiTheme="minorEastAsia" w:eastAsiaTheme="minorEastAsia" w:cstheme="minorEastAsia"/>
          <w:b w:val="0"/>
          <w:bCs/>
          <w:sz w:val="21"/>
          <w:szCs w:val="21"/>
        </w:rPr>
        <w:t>银行账号：</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银行账号：</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0B97C1C4">
      <w:pPr>
        <w:keepNext w:val="0"/>
        <w:keepLines w:val="0"/>
        <w:pageBreakBefore w:val="0"/>
        <w:kinsoku/>
        <w:wordWrap/>
        <w:overflowPunct/>
        <w:topLinePunct w:val="0"/>
        <w:autoSpaceDE/>
        <w:autoSpaceDN/>
        <w:bidi w:val="0"/>
        <w:adjustRightInd/>
        <w:snapToGrid/>
        <w:spacing w:line="400" w:lineRule="exact"/>
        <w:ind w:left="0" w:leftChars="0" w:right="-55" w:rightChars="-26" w:firstLine="0" w:firstLineChars="0"/>
        <w:textAlignment w:val="auto"/>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日    期：</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rPr>
        <w:t xml:space="preserve">     日    期：</w:t>
      </w:r>
      <w:r>
        <w:rPr>
          <w:rFonts w:hint="eastAsia" w:asciiTheme="minorEastAsia" w:hAnsiTheme="minorEastAsia" w:eastAsiaTheme="minorEastAsia" w:cstheme="minorEastAsia"/>
          <w:b w:val="0"/>
          <w:bCs/>
          <w:sz w:val="21"/>
          <w:szCs w:val="21"/>
          <w:u w:val="single"/>
        </w:rPr>
        <w:t xml:space="preserve">   </w:t>
      </w:r>
      <w:r>
        <w:rPr>
          <w:rFonts w:hint="eastAsia" w:asciiTheme="minorEastAsia" w:hAnsiTheme="minorEastAsia" w:eastAsiaTheme="minorEastAsia" w:cstheme="minorEastAsia"/>
          <w:b w:val="0"/>
          <w:bCs/>
          <w:sz w:val="21"/>
          <w:szCs w:val="21"/>
          <w:u w:val="single"/>
          <w:lang w:val="en-US" w:eastAsia="zh-CN"/>
        </w:rPr>
        <w:t xml:space="preserve">             </w:t>
      </w:r>
      <w:r>
        <w:rPr>
          <w:rFonts w:hint="eastAsia" w:asciiTheme="minorEastAsia" w:hAnsiTheme="minorEastAsia" w:eastAsiaTheme="minorEastAsia" w:cstheme="minorEastAsia"/>
          <w:b w:val="0"/>
          <w:bCs/>
          <w:sz w:val="21"/>
          <w:szCs w:val="21"/>
          <w:u w:val="single"/>
        </w:rPr>
        <w:t xml:space="preserve">              </w:t>
      </w:r>
    </w:p>
    <w:p w14:paraId="5E6335CD">
      <w:pPr>
        <w:keepNext w:val="0"/>
        <w:keepLines w:val="0"/>
        <w:pageBreakBefore w:val="0"/>
        <w:kinsoku/>
        <w:wordWrap/>
        <w:overflowPunct/>
        <w:topLinePunct w:val="0"/>
        <w:autoSpaceDE/>
        <w:autoSpaceDN/>
        <w:bidi w:val="0"/>
        <w:spacing w:line="400" w:lineRule="exact"/>
        <w:textAlignment w:val="auto"/>
        <w:rPr>
          <w:b w:val="0"/>
          <w:bCs/>
          <w:sz w:val="21"/>
          <w:szCs w:val="21"/>
        </w:rPr>
      </w:pPr>
    </w:p>
    <w:p w14:paraId="3867A5A0">
      <w:pPr>
        <w:keepNext w:val="0"/>
        <w:keepLines w:val="0"/>
        <w:pageBreakBefore w:val="0"/>
        <w:kinsoku/>
        <w:wordWrap/>
        <w:overflowPunct/>
        <w:topLinePunct w:val="0"/>
        <w:autoSpaceDE/>
        <w:autoSpaceDN/>
        <w:bidi w:val="0"/>
        <w:spacing w:line="400" w:lineRule="exact"/>
        <w:jc w:val="both"/>
        <w:textAlignment w:val="auto"/>
        <w:rPr>
          <w:rFonts w:hint="eastAsia" w:ascii="宋体" w:hAnsi="宋体" w:eastAsia="宋体" w:cs="宋体"/>
          <w:b/>
          <w:color w:val="auto"/>
          <w:sz w:val="32"/>
          <w:lang w:val="en-US" w:eastAsia="zh-CN"/>
        </w:rPr>
      </w:pPr>
    </w:p>
    <w:p w14:paraId="340678FB">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5D932618">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66AB3C65">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20A0AD08">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b/>
          <w:color w:val="auto"/>
          <w:sz w:val="32"/>
          <w:lang w:val="en-US" w:eastAsia="zh-CN"/>
        </w:rPr>
      </w:pPr>
    </w:p>
    <w:p w14:paraId="614A2F77">
      <w:pPr>
        <w:jc w:val="center"/>
        <w:rPr>
          <w:rFonts w:hint="eastAsia" w:ascii="宋体" w:hAnsi="宋体" w:eastAsia="宋体" w:cs="宋体"/>
          <w:b/>
          <w:color w:val="auto"/>
          <w:sz w:val="32"/>
          <w:lang w:val="en-US" w:eastAsia="zh-CN"/>
        </w:rPr>
      </w:pPr>
    </w:p>
    <w:p w14:paraId="5E9FA9B9">
      <w:pPr>
        <w:jc w:val="center"/>
        <w:rPr>
          <w:rFonts w:hint="eastAsia" w:ascii="宋体" w:hAnsi="宋体" w:eastAsia="宋体" w:cs="宋体"/>
          <w:b/>
          <w:color w:val="auto"/>
          <w:sz w:val="32"/>
          <w:lang w:val="en-US" w:eastAsia="zh-CN"/>
        </w:rPr>
      </w:pPr>
    </w:p>
    <w:p w14:paraId="1BC99FDD">
      <w:pPr>
        <w:jc w:val="center"/>
        <w:rPr>
          <w:rFonts w:hint="eastAsia" w:ascii="宋体" w:hAnsi="宋体" w:eastAsia="宋体" w:cs="宋体"/>
          <w:b/>
          <w:color w:val="auto"/>
          <w:sz w:val="32"/>
          <w:lang w:val="en-US" w:eastAsia="zh-CN"/>
        </w:rPr>
      </w:pPr>
    </w:p>
    <w:p w14:paraId="6E28455C">
      <w:pPr>
        <w:jc w:val="center"/>
        <w:rPr>
          <w:rFonts w:hint="eastAsia" w:ascii="宋体" w:hAnsi="宋体" w:eastAsia="宋体" w:cs="宋体"/>
          <w:b/>
          <w:color w:val="auto"/>
          <w:sz w:val="32"/>
          <w:lang w:val="en-US" w:eastAsia="zh-CN"/>
        </w:rPr>
      </w:pPr>
    </w:p>
    <w:p w14:paraId="33A82BDE">
      <w:pPr>
        <w:jc w:val="both"/>
        <w:rPr>
          <w:rFonts w:hint="eastAsia" w:ascii="宋体" w:hAnsi="宋体" w:eastAsia="宋体" w:cs="宋体"/>
          <w:b/>
          <w:color w:val="auto"/>
          <w:sz w:val="32"/>
          <w:lang w:val="en-US" w:eastAsia="zh-CN"/>
        </w:rPr>
      </w:pPr>
    </w:p>
    <w:p w14:paraId="42AD29E9">
      <w:pPr>
        <w:jc w:val="center"/>
        <w:rPr>
          <w:rFonts w:hint="eastAsia" w:ascii="宋体" w:hAnsi="宋体" w:eastAsia="宋体" w:cs="宋体"/>
          <w:b/>
          <w:color w:val="auto"/>
          <w:sz w:val="32"/>
          <w:lang w:val="en-US" w:eastAsia="zh-CN"/>
        </w:rPr>
      </w:pPr>
    </w:p>
    <w:p w14:paraId="1230A5B1">
      <w:pPr>
        <w:jc w:val="center"/>
        <w:rPr>
          <w:rFonts w:hint="eastAsia" w:ascii="宋体" w:hAnsi="宋体" w:eastAsia="宋体" w:cs="宋体"/>
          <w:b/>
          <w:color w:val="auto"/>
          <w:sz w:val="32"/>
          <w:lang w:val="en-US" w:eastAsia="zh-CN"/>
        </w:rPr>
      </w:pPr>
      <w:r>
        <w:rPr>
          <w:rFonts w:hint="eastAsia" w:ascii="宋体" w:hAnsi="宋体" w:eastAsia="宋体" w:cs="宋体"/>
          <w:b/>
          <w:color w:val="auto"/>
          <w:sz w:val="32"/>
          <w:lang w:val="en-US" w:eastAsia="zh-CN"/>
        </w:rPr>
        <w:t>第</w:t>
      </w:r>
      <w:r>
        <w:rPr>
          <w:rFonts w:hint="eastAsia" w:ascii="宋体" w:hAnsi="宋体" w:cs="宋体"/>
          <w:b/>
          <w:color w:val="auto"/>
          <w:sz w:val="32"/>
          <w:lang w:val="en-US" w:eastAsia="zh-CN"/>
        </w:rPr>
        <w:t>三</w:t>
      </w:r>
      <w:r>
        <w:rPr>
          <w:rFonts w:hint="eastAsia" w:ascii="宋体" w:hAnsi="宋体" w:eastAsia="宋体" w:cs="宋体"/>
          <w:b/>
          <w:color w:val="auto"/>
          <w:sz w:val="32"/>
          <w:lang w:val="en-US" w:eastAsia="zh-CN"/>
        </w:rPr>
        <w:t>章  投标文件格式</w:t>
      </w:r>
    </w:p>
    <w:p w14:paraId="161DF7F3">
      <w:pPr>
        <w:jc w:val="center"/>
        <w:rPr>
          <w:rFonts w:hint="eastAsia" w:ascii="宋体" w:hAnsi="宋体" w:eastAsia="宋体" w:cs="宋体"/>
          <w:b/>
          <w:color w:val="auto"/>
          <w:sz w:val="32"/>
        </w:rPr>
      </w:pPr>
      <w:r>
        <w:rPr>
          <w:rFonts w:hint="eastAsia" w:ascii="宋体" w:hAnsi="宋体" w:eastAsia="宋体" w:cs="宋体"/>
          <w:b/>
          <w:color w:val="auto"/>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根据贵方项目，项目</w:t>
      </w:r>
      <w:r>
        <w:rPr>
          <w:rFonts w:hint="eastAsia" w:ascii="宋体" w:hAnsi="宋体" w:eastAsia="宋体" w:cs="宋体"/>
          <w:color w:val="auto"/>
          <w:sz w:val="24"/>
          <w:szCs w:val="24"/>
          <w:lang w:val="en-US" w:eastAsia="zh-CN"/>
        </w:rPr>
        <w:t>名称（</w:t>
      </w:r>
      <w:r>
        <w:rPr>
          <w:rFonts w:hint="eastAsia" w:ascii="宋体" w:hAnsi="宋体" w:eastAsia="宋体" w:cs="宋体"/>
          <w:color w:val="auto"/>
          <w:sz w:val="24"/>
          <w:szCs w:val="24"/>
        </w:rPr>
        <w:t>编号</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，签字代表（姓名）经正式授权并代表供应商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供应商单位名称），提交</w:t>
      </w:r>
      <w:r>
        <w:rPr>
          <w:rFonts w:hint="eastAsia" w:ascii="宋体" w:hAnsi="宋体" w:eastAsia="宋体" w:cs="宋体"/>
          <w:color w:val="auto"/>
          <w:sz w:val="24"/>
          <w:szCs w:val="24"/>
          <w:lang w:val="en-US" w:eastAsia="zh-CN"/>
        </w:rPr>
        <w:t>报价</w:t>
      </w:r>
      <w:r>
        <w:rPr>
          <w:rFonts w:hint="eastAsia" w:ascii="宋体" w:hAnsi="宋体" w:eastAsia="宋体" w:cs="宋体"/>
          <w:color w:val="auto"/>
          <w:sz w:val="24"/>
          <w:szCs w:val="24"/>
        </w:rPr>
        <w:t>文件正本一份，副本</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2832C499">
      <w:pPr>
        <w:keepNext w:val="0"/>
        <w:keepLines w:val="0"/>
        <w:pageBreakBefore w:val="0"/>
        <w:widowControl/>
        <w:numPr>
          <w:ilvl w:val="0"/>
          <w:numId w:val="11"/>
        </w:numPr>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1.报价</w:t>
      </w:r>
      <w:r>
        <w:rPr>
          <w:rFonts w:hint="eastAsia" w:ascii="宋体" w:hAnsi="宋体" w:cs="宋体"/>
          <w:color w:val="auto"/>
          <w:sz w:val="24"/>
          <w:lang w:val="en-US" w:eastAsia="zh-CN"/>
        </w:rPr>
        <w:t>（单位：人民币元）</w:t>
      </w:r>
    </w:p>
    <w:tbl>
      <w:tblPr>
        <w:tblStyle w:val="18"/>
        <w:tblW w:w="871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25"/>
        <w:gridCol w:w="1410"/>
        <w:gridCol w:w="3670"/>
        <w:gridCol w:w="1305"/>
      </w:tblGrid>
      <w:tr w14:paraId="271D72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2325" w:type="dxa"/>
            <w:tcBorders>
              <w:top w:val="single" w:color="auto" w:sz="4" w:space="0"/>
              <w:left w:val="single" w:color="auto" w:sz="4" w:space="0"/>
              <w:bottom w:val="single" w:color="auto" w:sz="4" w:space="0"/>
              <w:right w:val="single" w:color="auto" w:sz="4" w:space="0"/>
            </w:tcBorders>
            <w:noWrap w:val="0"/>
            <w:vAlign w:val="center"/>
          </w:tcPr>
          <w:p w14:paraId="2882EBD6">
            <w:pPr>
              <w:jc w:val="center"/>
              <w:rPr>
                <w:rFonts w:hint="default" w:ascii="Arial" w:hAnsi="Arial" w:cs="Arial"/>
                <w:color w:val="auto"/>
                <w:szCs w:val="21"/>
                <w:highlight w:val="none"/>
              </w:rPr>
            </w:pPr>
            <w:r>
              <w:rPr>
                <w:rFonts w:hint="eastAsia" w:ascii="Arial" w:hAnsi="Arial" w:cs="Arial"/>
                <w:color w:val="auto"/>
                <w:szCs w:val="21"/>
                <w:highlight w:val="none"/>
                <w:lang w:val="en-US" w:eastAsia="zh-CN"/>
              </w:rPr>
              <w:t>项目</w:t>
            </w:r>
            <w:r>
              <w:rPr>
                <w:rFonts w:hint="default" w:ascii="Arial" w:hAnsi="Arial" w:cs="Arial"/>
                <w:color w:val="auto"/>
                <w:szCs w:val="21"/>
                <w:highlight w:val="none"/>
              </w:rPr>
              <w:t>名称</w:t>
            </w:r>
          </w:p>
        </w:tc>
        <w:tc>
          <w:tcPr>
            <w:tcW w:w="1410" w:type="dxa"/>
            <w:tcBorders>
              <w:top w:val="single" w:color="auto" w:sz="4" w:space="0"/>
              <w:left w:val="single" w:color="auto" w:sz="4" w:space="0"/>
              <w:bottom w:val="single" w:color="auto" w:sz="4" w:space="0"/>
              <w:right w:val="single" w:color="auto" w:sz="4" w:space="0"/>
            </w:tcBorders>
            <w:noWrap w:val="0"/>
            <w:vAlign w:val="center"/>
          </w:tcPr>
          <w:p w14:paraId="20724966">
            <w:pPr>
              <w:jc w:val="center"/>
              <w:rPr>
                <w:rFonts w:hint="default" w:ascii="Arial" w:hAnsi="Arial" w:cs="Arial"/>
                <w:color w:val="auto"/>
                <w:szCs w:val="21"/>
                <w:highlight w:val="none"/>
              </w:rPr>
            </w:pPr>
            <w:r>
              <w:rPr>
                <w:rFonts w:hint="default" w:ascii="Arial" w:hAnsi="Arial" w:cs="Arial"/>
                <w:color w:val="auto"/>
                <w:szCs w:val="21"/>
                <w:highlight w:val="none"/>
              </w:rPr>
              <w:t>单位及数量</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4A678D10">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报价</w:t>
            </w:r>
          </w:p>
        </w:tc>
        <w:tc>
          <w:tcPr>
            <w:tcW w:w="1305" w:type="dxa"/>
            <w:tcBorders>
              <w:top w:val="single" w:color="auto" w:sz="4" w:space="0"/>
              <w:left w:val="single" w:color="auto" w:sz="4" w:space="0"/>
              <w:bottom w:val="single" w:color="auto" w:sz="4" w:space="0"/>
              <w:right w:val="single" w:color="auto" w:sz="4" w:space="0"/>
            </w:tcBorders>
            <w:noWrap w:val="0"/>
            <w:vAlign w:val="center"/>
          </w:tcPr>
          <w:p w14:paraId="46A2D7A3">
            <w:pPr>
              <w:jc w:val="center"/>
              <w:rPr>
                <w:rFonts w:hint="default" w:ascii="Arial" w:hAnsi="Arial" w:eastAsia="宋体" w:cs="Arial"/>
                <w:color w:val="auto"/>
                <w:szCs w:val="21"/>
                <w:highlight w:val="none"/>
                <w:lang w:val="en-US" w:eastAsia="zh-CN"/>
              </w:rPr>
            </w:pPr>
            <w:r>
              <w:rPr>
                <w:rFonts w:hint="default" w:ascii="Arial" w:hAnsi="Arial" w:cs="Arial"/>
                <w:color w:val="auto"/>
                <w:szCs w:val="21"/>
                <w:highlight w:val="none"/>
                <w:lang w:val="en-US" w:eastAsia="zh-CN"/>
              </w:rPr>
              <w:t>备注</w:t>
            </w:r>
          </w:p>
        </w:tc>
      </w:tr>
      <w:tr w14:paraId="0B41DE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3" w:hRule="exact"/>
          <w:jc w:val="center"/>
        </w:trPr>
        <w:tc>
          <w:tcPr>
            <w:tcW w:w="2325" w:type="dxa"/>
            <w:tcBorders>
              <w:top w:val="single" w:color="auto" w:sz="4" w:space="0"/>
              <w:left w:val="single" w:color="auto" w:sz="4" w:space="0"/>
              <w:bottom w:val="single" w:color="auto" w:sz="4" w:space="0"/>
              <w:right w:val="single" w:color="auto" w:sz="4" w:space="0"/>
            </w:tcBorders>
            <w:noWrap w:val="0"/>
            <w:vAlign w:val="center"/>
          </w:tcPr>
          <w:p w14:paraId="07C8A1DD">
            <w:pPr>
              <w:jc w:val="center"/>
              <w:rPr>
                <w:rFonts w:hint="default" w:ascii="Arial" w:hAnsi="Arial" w:cs="Arial"/>
                <w:color w:val="auto"/>
                <w:spacing w:val="20"/>
                <w:szCs w:val="21"/>
                <w:highlight w:val="none"/>
                <w:u w:val="single"/>
                <w:lang w:val="en-US"/>
              </w:rPr>
            </w:pPr>
            <w:r>
              <w:rPr>
                <w:rFonts w:hint="eastAsia" w:ascii="宋体" w:hAnsi="宋体" w:eastAsia="宋体" w:cs="宋体"/>
                <w:color w:val="auto"/>
                <w:sz w:val="24"/>
                <w:szCs w:val="24"/>
                <w:u w:val="none"/>
              </w:rPr>
              <w:t>桂林市人民医院网络设备与安全运维服务采购</w:t>
            </w:r>
          </w:p>
        </w:tc>
        <w:tc>
          <w:tcPr>
            <w:tcW w:w="1410" w:type="dxa"/>
            <w:tcBorders>
              <w:top w:val="single" w:color="auto" w:sz="4" w:space="0"/>
              <w:left w:val="single" w:color="auto" w:sz="4" w:space="0"/>
              <w:bottom w:val="single" w:color="auto" w:sz="4" w:space="0"/>
              <w:right w:val="single" w:color="auto" w:sz="4" w:space="0"/>
            </w:tcBorders>
            <w:noWrap w:val="0"/>
            <w:vAlign w:val="center"/>
          </w:tcPr>
          <w:p w14:paraId="272C17A6">
            <w:pPr>
              <w:jc w:val="center"/>
              <w:rPr>
                <w:rFonts w:hint="default" w:ascii="Arial" w:hAnsi="Arial" w:eastAsia="宋体" w:cs="Arial"/>
                <w:color w:val="auto"/>
                <w:spacing w:val="20"/>
                <w:szCs w:val="21"/>
                <w:highlight w:val="none"/>
                <w:lang w:val="en-US" w:eastAsia="zh-CN"/>
              </w:rPr>
            </w:pPr>
            <w:r>
              <w:rPr>
                <w:rFonts w:hint="default" w:ascii="Arial" w:hAnsi="Arial" w:cs="Arial"/>
                <w:color w:val="auto"/>
                <w:spacing w:val="20"/>
                <w:szCs w:val="21"/>
                <w:highlight w:val="none"/>
                <w:lang w:val="en-US" w:eastAsia="zh-CN"/>
              </w:rPr>
              <w:t>1项</w:t>
            </w:r>
          </w:p>
        </w:tc>
        <w:tc>
          <w:tcPr>
            <w:tcW w:w="3670" w:type="dxa"/>
            <w:tcBorders>
              <w:top w:val="single" w:color="auto" w:sz="4" w:space="0"/>
              <w:left w:val="single" w:color="auto" w:sz="4" w:space="0"/>
              <w:bottom w:val="single" w:color="auto" w:sz="4" w:space="0"/>
              <w:right w:val="single" w:color="auto" w:sz="4" w:space="0"/>
            </w:tcBorders>
            <w:noWrap w:val="0"/>
            <w:vAlign w:val="center"/>
          </w:tcPr>
          <w:p w14:paraId="6B374798">
            <w:pPr>
              <w:keepNext w:val="0"/>
              <w:keepLines w:val="0"/>
              <w:pageBreakBefore w:val="0"/>
              <w:kinsoku/>
              <w:wordWrap/>
              <w:overflowPunct/>
              <w:topLinePunct w:val="0"/>
              <w:autoSpaceDE/>
              <w:autoSpaceDN/>
              <w:bidi w:val="0"/>
              <w:adjustRightInd/>
              <w:snapToGrid/>
              <w:spacing w:line="440" w:lineRule="exact"/>
              <w:ind w:left="0" w:leftChars="0" w:right="-55" w:rightChars="-26"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（大写）</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none"/>
                <w:lang w:val="en-US" w:eastAsia="zh-CN"/>
              </w:rPr>
              <w:t>元人民币</w:t>
            </w:r>
            <w:r>
              <w:rPr>
                <w:rFonts w:hint="eastAsia" w:ascii="宋体" w:hAnsi="宋体" w:eastAsia="宋体" w:cs="宋体"/>
                <w:color w:val="auto"/>
                <w:sz w:val="24"/>
                <w:szCs w:val="24"/>
              </w:rPr>
              <w:t>（</w:t>
            </w:r>
            <w:r>
              <w:rPr>
                <w:rFonts w:hint="default" w:ascii="Arial" w:hAnsi="Arial" w:eastAsia="宋体" w:cs="Arial"/>
                <w:color w:val="auto"/>
                <w:sz w:val="24"/>
                <w:szCs w:val="24"/>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p>
          <w:p w14:paraId="49F5C516">
            <w:pPr>
              <w:jc w:val="both"/>
              <w:rPr>
                <w:rFonts w:hint="default" w:ascii="Arial" w:hAnsi="Arial" w:cs="Arial"/>
                <w:color w:val="auto"/>
                <w:spacing w:val="20"/>
                <w:szCs w:val="21"/>
                <w:highlight w:val="none"/>
              </w:rPr>
            </w:pPr>
          </w:p>
        </w:tc>
        <w:tc>
          <w:tcPr>
            <w:tcW w:w="1305" w:type="dxa"/>
            <w:tcBorders>
              <w:top w:val="single" w:color="auto" w:sz="4" w:space="0"/>
              <w:left w:val="single" w:color="auto" w:sz="4" w:space="0"/>
              <w:bottom w:val="single" w:color="auto" w:sz="4" w:space="0"/>
              <w:right w:val="single" w:color="auto" w:sz="4" w:space="0"/>
            </w:tcBorders>
            <w:noWrap w:val="0"/>
            <w:vAlign w:val="center"/>
          </w:tcPr>
          <w:p w14:paraId="1EB3DAD9">
            <w:pPr>
              <w:jc w:val="center"/>
              <w:rPr>
                <w:rFonts w:hint="default" w:ascii="Arial" w:hAnsi="Arial" w:cs="Arial"/>
                <w:color w:val="auto"/>
                <w:spacing w:val="20"/>
                <w:szCs w:val="21"/>
                <w:highlight w:val="none"/>
              </w:rPr>
            </w:pPr>
          </w:p>
        </w:tc>
      </w:tr>
      <w:tr w14:paraId="096B87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8" w:hRule="exact"/>
          <w:jc w:val="center"/>
        </w:trPr>
        <w:tc>
          <w:tcPr>
            <w:tcW w:w="8710" w:type="dxa"/>
            <w:gridSpan w:val="4"/>
            <w:tcBorders>
              <w:top w:val="single" w:color="auto" w:sz="4" w:space="0"/>
              <w:left w:val="single" w:color="auto" w:sz="4" w:space="0"/>
              <w:bottom w:val="single" w:color="auto" w:sz="4" w:space="0"/>
              <w:right w:val="single" w:color="auto" w:sz="4" w:space="0"/>
            </w:tcBorders>
            <w:noWrap w:val="0"/>
            <w:vAlign w:val="center"/>
          </w:tcPr>
          <w:p w14:paraId="2EBD812A">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Arial" w:hAnsi="Arial" w:cs="Arial"/>
                <w:b w:val="0"/>
                <w:bCs w:val="0"/>
                <w:color w:val="auto"/>
                <w:spacing w:val="20"/>
                <w:sz w:val="24"/>
                <w:szCs w:val="24"/>
                <w:highlight w:val="none"/>
                <w:lang w:val="en-US" w:eastAsia="zh-CN"/>
              </w:rPr>
            </w:pPr>
            <w:r>
              <w:rPr>
                <w:rFonts w:hint="eastAsia" w:ascii="Arial" w:hAnsi="Arial" w:cs="Arial"/>
                <w:b w:val="0"/>
                <w:bCs w:val="0"/>
                <w:color w:val="auto"/>
                <w:spacing w:val="20"/>
                <w:sz w:val="24"/>
                <w:szCs w:val="24"/>
                <w:highlight w:val="none"/>
                <w:lang w:val="en-US" w:eastAsia="zh-CN"/>
              </w:rPr>
              <w:t>说明：</w:t>
            </w:r>
          </w:p>
          <w:p w14:paraId="779CD117">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b/>
                <w:bCs/>
                <w:color w:val="auto"/>
                <w:spacing w:val="-2"/>
                <w:sz w:val="24"/>
                <w:szCs w:val="24"/>
              </w:rPr>
            </w:pPr>
            <w:r>
              <w:rPr>
                <w:rFonts w:hint="eastAsia" w:ascii="宋体" w:hAnsi="宋体" w:eastAsia="宋体" w:cs="宋体"/>
                <w:b/>
                <w:bCs/>
                <w:color w:val="auto"/>
                <w:spacing w:val="20"/>
                <w:sz w:val="24"/>
                <w:szCs w:val="24"/>
                <w:highlight w:val="none"/>
                <w:lang w:val="en-US" w:eastAsia="zh-CN"/>
              </w:rPr>
              <w:t>1.</w:t>
            </w:r>
            <w:r>
              <w:rPr>
                <w:rFonts w:hint="eastAsia" w:ascii="宋体" w:hAnsi="宋体" w:eastAsia="宋体" w:cs="宋体"/>
                <w:b/>
                <w:bCs/>
                <w:color w:val="auto"/>
                <w:spacing w:val="-2"/>
                <w:sz w:val="24"/>
                <w:szCs w:val="24"/>
              </w:rPr>
              <w:t>本项目采用综合单价方式报价，综合单价应综合考虑完成本项目产生的所有成本、税金及合理利润，具体包含但不限于完成采购标的包含的所有人工费用、差旅费、交通费、故障诊断费</w:t>
            </w:r>
            <w:r>
              <w:rPr>
                <w:rFonts w:hint="eastAsia" w:ascii="宋体" w:hAnsi="宋体" w:eastAsia="宋体" w:cs="宋体"/>
                <w:b/>
                <w:bCs/>
                <w:color w:val="auto"/>
                <w:spacing w:val="-2"/>
                <w:sz w:val="24"/>
                <w:szCs w:val="24"/>
                <w:lang w:eastAsia="zh-CN"/>
              </w:rPr>
              <w:t>、</w:t>
            </w:r>
            <w:r>
              <w:rPr>
                <w:rFonts w:hint="eastAsia" w:ascii="宋体" w:hAnsi="宋体" w:eastAsia="宋体" w:cs="宋体"/>
                <w:b/>
                <w:bCs/>
                <w:color w:val="auto"/>
                <w:spacing w:val="-2"/>
                <w:sz w:val="24"/>
                <w:szCs w:val="24"/>
              </w:rPr>
              <w:t>培训费、保险、税金、利润等所有成本费用。在合同实施时，采购人将不予支付完成本项目必须的但成交人没有列入的费用，并认为此费用已包括在报价中。</w:t>
            </w:r>
          </w:p>
          <w:p w14:paraId="54790EED">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pacing w:val="-2"/>
                <w:sz w:val="24"/>
                <w:szCs w:val="24"/>
                <w:lang w:val="en-US" w:eastAsia="zh-CN"/>
              </w:rPr>
              <w:t>2.</w:t>
            </w:r>
            <w:r>
              <w:rPr>
                <w:rFonts w:hint="eastAsia" w:ascii="宋体" w:hAnsi="宋体" w:eastAsia="宋体" w:cs="宋体"/>
                <w:b/>
                <w:bCs/>
                <w:color w:val="auto"/>
                <w:sz w:val="24"/>
                <w:szCs w:val="24"/>
                <w:lang w:val="en-US" w:eastAsia="zh-CN"/>
              </w:rPr>
              <w:t>各供应商必须就“采购需求”中的所有内容作完整唯一报价，否则，其响应文件无效。</w:t>
            </w:r>
          </w:p>
          <w:p w14:paraId="4400813F">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default" w:ascii="宋体" w:hAnsi="宋体" w:eastAsia="宋体" w:cs="宋体"/>
                <w:b/>
                <w:bCs/>
                <w:color w:val="auto"/>
                <w:spacing w:val="-2"/>
                <w:sz w:val="24"/>
                <w:szCs w:val="24"/>
                <w:lang w:val="en-US" w:eastAsia="zh-CN"/>
              </w:rPr>
            </w:pPr>
            <w:r>
              <w:rPr>
                <w:rFonts w:hint="eastAsia" w:ascii="宋体" w:hAnsi="宋体" w:eastAsia="宋体" w:cs="宋体"/>
                <w:b/>
                <w:bCs/>
                <w:color w:val="auto"/>
                <w:spacing w:val="-2"/>
                <w:sz w:val="24"/>
                <w:szCs w:val="24"/>
                <w:lang w:val="en-US" w:eastAsia="zh-CN"/>
              </w:rPr>
              <w:t>3.</w:t>
            </w:r>
            <w:r>
              <w:rPr>
                <w:rFonts w:hint="eastAsia" w:ascii="宋体" w:hAnsi="宋体" w:eastAsia="宋体" w:cs="宋体"/>
                <w:b/>
                <w:bCs/>
                <w:color w:val="auto"/>
                <w:sz w:val="24"/>
                <w:szCs w:val="24"/>
                <w:lang w:val="en-US" w:eastAsia="zh-CN"/>
              </w:rPr>
              <w:t>报价表须由法定代表人、负责人或相应的委托代理人签字或盖章并加盖供应商公章。当本表由多页构成时，需逐页加盖供应商公章。</w:t>
            </w:r>
          </w:p>
          <w:p w14:paraId="49B781E2">
            <w:pPr>
              <w:jc w:val="both"/>
              <w:rPr>
                <w:rFonts w:hint="eastAsia" w:ascii="Arial" w:hAnsi="Arial" w:eastAsia="宋体" w:cs="Arial"/>
                <w:color w:val="auto"/>
                <w:spacing w:val="20"/>
                <w:szCs w:val="21"/>
                <w:highlight w:val="none"/>
                <w:lang w:val="en-US" w:eastAsia="zh-CN"/>
              </w:rPr>
            </w:pPr>
          </w:p>
        </w:tc>
      </w:tr>
    </w:tbl>
    <w:p w14:paraId="5A0AC672">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lang w:val="en-US" w:eastAsia="zh-CN"/>
        </w:rPr>
        <w:t>2</w:t>
      </w:r>
      <w:r>
        <w:rPr>
          <w:rFonts w:hint="eastAsia" w:asciiTheme="minorEastAsia" w:hAnsiTheme="minorEastAsia" w:eastAsiaTheme="minorEastAsia" w:cstheme="minorEastAsia"/>
          <w:color w:val="auto"/>
          <w:sz w:val="24"/>
          <w:szCs w:val="24"/>
        </w:rPr>
        <w:t>.我方承诺已具备此次</w:t>
      </w:r>
      <w:r>
        <w:rPr>
          <w:rFonts w:hint="eastAsia" w:asciiTheme="minorEastAsia" w:hAnsiTheme="minorEastAsia" w:eastAsiaTheme="minorEastAsia" w:cstheme="minorEastAsia"/>
          <w:color w:val="auto"/>
          <w:sz w:val="24"/>
          <w:szCs w:val="24"/>
          <w:highlight w:val="none"/>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与本项目有关的正式通讯地址为：</w:t>
      </w:r>
    </w:p>
    <w:p w14:paraId="42099DF1">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地址：   </w:t>
      </w:r>
    </w:p>
    <w:p w14:paraId="3586F592">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邮编：               邮箱：</w:t>
      </w:r>
    </w:p>
    <w:p w14:paraId="275C79FA">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办公电话：           传真：</w:t>
      </w:r>
    </w:p>
    <w:p w14:paraId="71AB6066">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委托代理人联系电话：</w:t>
      </w:r>
    </w:p>
    <w:p w14:paraId="6D1732A2">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供应商（公章）：</w:t>
      </w:r>
    </w:p>
    <w:p w14:paraId="3872E85C">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法定代表人（负责人）或相应的委托代理人签字：</w:t>
      </w:r>
    </w:p>
    <w:p w14:paraId="36583B56">
      <w:pPr>
        <w:pStyle w:val="10"/>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日期：</w:t>
      </w:r>
    </w:p>
    <w:p w14:paraId="41F4F4D3">
      <w:pPr>
        <w:spacing w:line="44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5194FE0">
      <w:pPr>
        <w:pStyle w:val="10"/>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auto"/>
          <w:sz w:val="20"/>
          <w:highlight w:val="none"/>
        </w:rPr>
      </w:pPr>
    </w:p>
    <w:p w14:paraId="3DDE050B">
      <w:pPr>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桂林市人民医院</w:t>
      </w:r>
    </w:p>
    <w:p w14:paraId="24E4BAFC">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highlight w:val="none"/>
        </w:rPr>
        <w:t>我（姓名）系（供应商名称）的法定代表人（负责人），现授权委托本单位在职职工（姓名）以我方名义参加</w:t>
      </w:r>
      <w:r>
        <w:rPr>
          <w:rFonts w:hint="eastAsia" w:ascii="宋体" w:hAnsi="宋体" w:eastAsia="宋体" w:cs="宋体"/>
          <w:color w:val="auto"/>
          <w:sz w:val="24"/>
          <w:szCs w:val="24"/>
          <w:highlight w:val="none"/>
          <w:u w:val="single"/>
        </w:rPr>
        <w:t xml:space="preserve">      （项目名称及项目编号）        </w:t>
      </w:r>
      <w:r>
        <w:rPr>
          <w:rFonts w:hint="eastAsia" w:ascii="宋体" w:hAnsi="宋体" w:eastAsia="宋体" w:cs="宋体"/>
          <w:color w:val="auto"/>
          <w:sz w:val="24"/>
          <w:szCs w:val="24"/>
          <w:highlight w:val="none"/>
        </w:rPr>
        <w:t>项目的议价采购活</w:t>
      </w:r>
      <w:r>
        <w:rPr>
          <w:rFonts w:hint="eastAsia" w:ascii="宋体" w:hAnsi="宋体" w:eastAsia="宋体" w:cs="宋体"/>
          <w:color w:val="auto"/>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我方对被授权人的签字事项负全部责任。</w:t>
      </w:r>
    </w:p>
    <w:p w14:paraId="644FFBC8">
      <w:pPr>
        <w:spacing w:line="50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授权委托代理期限：从  年  月  日起至     年  月 日止。</w:t>
      </w:r>
    </w:p>
    <w:p w14:paraId="4EA3F951">
      <w:pPr>
        <w:spacing w:line="440" w:lineRule="exact"/>
        <w:jc w:val="left"/>
        <w:rPr>
          <w:rFonts w:hint="eastAsia" w:ascii="宋体" w:hAnsi="宋体" w:eastAsia="宋体" w:cs="宋体"/>
          <w:color w:val="auto"/>
          <w:sz w:val="24"/>
          <w:szCs w:val="24"/>
          <w:u w:val="single"/>
        </w:rPr>
      </w:pPr>
    </w:p>
    <w:p w14:paraId="6AE0666D">
      <w:pPr>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color w:val="auto"/>
          <w:sz w:val="24"/>
          <w:szCs w:val="24"/>
        </w:rPr>
      </w:pPr>
    </w:p>
    <w:p w14:paraId="7567E879">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我已在下面签字，以资证明。</w:t>
      </w:r>
    </w:p>
    <w:p w14:paraId="37E32C08">
      <w:pPr>
        <w:snapToGrid w:val="0"/>
        <w:spacing w:line="440" w:lineRule="exact"/>
        <w:ind w:firstLine="420"/>
        <w:jc w:val="left"/>
        <w:rPr>
          <w:rFonts w:hint="eastAsia" w:ascii="宋体" w:hAnsi="宋体" w:eastAsia="宋体" w:cs="宋体"/>
          <w:color w:val="auto"/>
          <w:sz w:val="24"/>
          <w:szCs w:val="24"/>
        </w:rPr>
      </w:pPr>
    </w:p>
    <w:p w14:paraId="60C4E8F7">
      <w:pPr>
        <w:snapToGrid w:val="0"/>
        <w:spacing w:line="440" w:lineRule="exact"/>
        <w:ind w:firstLine="420"/>
        <w:jc w:val="left"/>
        <w:rPr>
          <w:rFonts w:hint="eastAsia" w:ascii="宋体" w:hAnsi="宋体" w:eastAsia="宋体" w:cs="宋体"/>
          <w:color w:val="auto"/>
          <w:sz w:val="24"/>
          <w:szCs w:val="24"/>
        </w:rPr>
      </w:pPr>
    </w:p>
    <w:p w14:paraId="60FE99FC">
      <w:pPr>
        <w:snapToGrid w:val="0"/>
        <w:spacing w:line="440" w:lineRule="exact"/>
        <w:ind w:firstLine="42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供应商（公章）：</w:t>
      </w:r>
    </w:p>
    <w:p w14:paraId="714BA9BB">
      <w:pPr>
        <w:snapToGrid w:val="0"/>
        <w:spacing w:line="440" w:lineRule="exact"/>
        <w:ind w:firstLine="420"/>
        <w:jc w:val="left"/>
        <w:rPr>
          <w:rFonts w:hint="eastAsia" w:ascii="宋体" w:hAnsi="宋体" w:eastAsia="宋体" w:cs="宋体"/>
          <w:color w:val="auto"/>
          <w:sz w:val="24"/>
          <w:szCs w:val="24"/>
        </w:rPr>
      </w:pPr>
    </w:p>
    <w:p w14:paraId="63FCDD95">
      <w:pPr>
        <w:snapToGrid w:val="0"/>
        <w:spacing w:line="440" w:lineRule="exact"/>
        <w:ind w:firstLine="420"/>
        <w:jc w:val="left"/>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法定代表人（负责人）签字或盖章：  年  月  日</w:t>
      </w:r>
    </w:p>
    <w:p w14:paraId="6BFA8043">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6CBC01E3">
      <w:pPr>
        <w:spacing w:line="0" w:lineRule="atLeast"/>
        <w:jc w:val="center"/>
        <w:rPr>
          <w:rFonts w:hint="eastAsia" w:ascii="宋体" w:hAnsi="宋体"/>
          <w:b/>
          <w:color w:val="auto"/>
          <w:sz w:val="32"/>
          <w:szCs w:val="32"/>
          <w:highlight w:val="none"/>
        </w:rPr>
      </w:pPr>
      <w:r>
        <w:rPr>
          <w:rFonts w:hint="eastAsia" w:hAnsi="宋体"/>
          <w:b/>
          <w:sz w:val="32"/>
          <w:szCs w:val="32"/>
          <w:lang w:val="en-US" w:eastAsia="zh-CN"/>
        </w:rPr>
        <w:t>需求</w:t>
      </w:r>
      <w:r>
        <w:rPr>
          <w:rFonts w:hint="eastAsia" w:hAnsi="宋体"/>
          <w:b/>
          <w:sz w:val="32"/>
          <w:szCs w:val="32"/>
        </w:rPr>
        <w:t>响应表</w:t>
      </w:r>
    </w:p>
    <w:p w14:paraId="3E0E1206">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p>
    <w:p w14:paraId="5FECE3C2">
      <w:pPr>
        <w:keepNext w:val="0"/>
        <w:keepLines w:val="0"/>
        <w:pageBreakBefore w:val="0"/>
        <w:kinsoku/>
        <w:wordWrap/>
        <w:overflowPunct/>
        <w:topLinePunct w:val="0"/>
        <w:autoSpaceDE/>
        <w:autoSpaceDN/>
        <w:bidi w:val="0"/>
        <w:spacing w:line="42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 xml:space="preserve">             </w:t>
      </w:r>
    </w:p>
    <w:p w14:paraId="74F0EF7D">
      <w:pPr>
        <w:pStyle w:val="10"/>
        <w:keepNext w:val="0"/>
        <w:keepLines w:val="0"/>
        <w:pageBreakBefore w:val="0"/>
        <w:widowControl w:val="0"/>
        <w:kinsoku/>
        <w:wordWrap/>
        <w:overflowPunct/>
        <w:topLinePunct w:val="0"/>
        <w:autoSpaceDE/>
        <w:autoSpaceDN/>
        <w:bidi w:val="0"/>
        <w:adjustRightInd/>
        <w:spacing w:line="420" w:lineRule="exact"/>
        <w:ind w:left="0" w:right="0" w:rightChars="0"/>
        <w:jc w:val="both"/>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3CFFA8FE">
      <w:pPr>
        <w:rPr>
          <w:lang w:val="en-US"/>
        </w:rPr>
      </w:pPr>
      <w:r>
        <w:rPr>
          <w:rFonts w:hint="eastAsia" w:ascii="宋体" w:hAnsi="宋体" w:cs="宋体"/>
          <w:b/>
          <w:bCs w:val="0"/>
          <w:sz w:val="24"/>
          <w:szCs w:val="24"/>
          <w:lang w:val="en-US" w:eastAsia="zh-CN"/>
        </w:rPr>
        <w:t>一、技术要求</w:t>
      </w:r>
      <w:r>
        <w:rPr>
          <w:rFonts w:hint="eastAsia" w:eastAsia="方正大标宋简体"/>
          <w:b w:val="0"/>
          <w:sz w:val="30"/>
          <w:szCs w:val="30"/>
          <w:lang w:val="en-US" w:eastAsia="zh-CN"/>
        </w:rPr>
        <w:t xml:space="preserve">                   </w:t>
      </w:r>
    </w:p>
    <w:tbl>
      <w:tblPr>
        <w:tblStyle w:val="18"/>
        <w:tblW w:w="9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952"/>
        <w:gridCol w:w="725"/>
        <w:gridCol w:w="4548"/>
        <w:gridCol w:w="1890"/>
        <w:gridCol w:w="1190"/>
      </w:tblGrid>
      <w:tr w14:paraId="5056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23" w:type="dxa"/>
            <w:shd w:val="clear" w:color="auto" w:fill="auto"/>
            <w:vAlign w:val="center"/>
          </w:tcPr>
          <w:p w14:paraId="51A70793">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序号</w:t>
            </w:r>
          </w:p>
        </w:tc>
        <w:tc>
          <w:tcPr>
            <w:tcW w:w="952" w:type="dxa"/>
            <w:shd w:val="clear" w:color="auto" w:fill="auto"/>
            <w:vAlign w:val="center"/>
          </w:tcPr>
          <w:p w14:paraId="506728E1">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服务要求</w:t>
            </w:r>
          </w:p>
        </w:tc>
        <w:tc>
          <w:tcPr>
            <w:tcW w:w="725" w:type="dxa"/>
            <w:shd w:val="clear" w:color="auto" w:fill="auto"/>
            <w:vAlign w:val="center"/>
          </w:tcPr>
          <w:p w14:paraId="2B73E06B">
            <w:pPr>
              <w:widowControl/>
              <w:jc w:val="center"/>
              <w:rPr>
                <w:rFonts w:ascii="宋体" w:hAnsi="宋体" w:eastAsia="宋体" w:cs="Arial"/>
                <w:b/>
                <w:bCs/>
                <w:kern w:val="0"/>
                <w:sz w:val="18"/>
                <w:szCs w:val="18"/>
                <w:lang w:val="en-US" w:eastAsia="zh-CN" w:bidi="ar-SA"/>
              </w:rPr>
            </w:pPr>
          </w:p>
        </w:tc>
        <w:tc>
          <w:tcPr>
            <w:tcW w:w="4548" w:type="dxa"/>
            <w:shd w:val="clear" w:color="auto" w:fill="auto"/>
            <w:vAlign w:val="center"/>
          </w:tcPr>
          <w:p w14:paraId="11FB8C96">
            <w:pPr>
              <w:widowControl/>
              <w:jc w:val="center"/>
              <w:rPr>
                <w:rFonts w:hint="eastAsia" w:ascii="宋体" w:hAnsi="宋体" w:eastAsia="宋体" w:cs="Arial"/>
                <w:b/>
                <w:bCs/>
                <w:kern w:val="0"/>
                <w:sz w:val="18"/>
                <w:szCs w:val="18"/>
                <w:lang w:val="en-US" w:eastAsia="zh-CN" w:bidi="ar-SA"/>
              </w:rPr>
            </w:pPr>
            <w:r>
              <w:rPr>
                <w:rFonts w:hint="eastAsia" w:ascii="宋体" w:hAnsi="宋体" w:cs="Arial"/>
                <w:b/>
                <w:bCs/>
                <w:kern w:val="0"/>
                <w:sz w:val="18"/>
                <w:szCs w:val="18"/>
                <w:lang w:val="en-US" w:eastAsia="zh-CN"/>
              </w:rPr>
              <w:t>服务要求内容</w:t>
            </w:r>
          </w:p>
        </w:tc>
        <w:tc>
          <w:tcPr>
            <w:tcW w:w="1890" w:type="dxa"/>
            <w:shd w:val="clear" w:color="auto" w:fill="auto"/>
            <w:vAlign w:val="center"/>
          </w:tcPr>
          <w:p w14:paraId="551B2EE5">
            <w:pPr>
              <w:widowControl/>
              <w:jc w:val="center"/>
              <w:rPr>
                <w:rFonts w:hint="default" w:ascii="宋体" w:hAnsi="宋体" w:eastAsia="宋体" w:cs="Arial"/>
                <w:b/>
                <w:bCs/>
                <w:kern w:val="0"/>
                <w:sz w:val="18"/>
                <w:szCs w:val="18"/>
                <w:lang w:val="en-US" w:eastAsia="zh-CN" w:bidi="ar-SA"/>
              </w:rPr>
            </w:pPr>
            <w:r>
              <w:rPr>
                <w:rFonts w:hint="eastAsia" w:ascii="宋体" w:hAnsi="宋体" w:eastAsia="宋体" w:cs="Arial"/>
                <w:b/>
                <w:bCs/>
                <w:kern w:val="0"/>
                <w:sz w:val="18"/>
                <w:szCs w:val="18"/>
                <w:lang w:val="en-US" w:eastAsia="zh-CN"/>
              </w:rPr>
              <w:t>响应内容</w:t>
            </w:r>
          </w:p>
        </w:tc>
        <w:tc>
          <w:tcPr>
            <w:tcW w:w="1190" w:type="dxa"/>
            <w:shd w:val="clear" w:color="auto" w:fill="auto"/>
            <w:vAlign w:val="center"/>
          </w:tcPr>
          <w:p w14:paraId="0797DF65">
            <w:pPr>
              <w:widowControl/>
              <w:jc w:val="center"/>
              <w:rPr>
                <w:rFonts w:hint="default" w:ascii="宋体" w:hAnsi="宋体" w:eastAsia="宋体" w:cs="Arial"/>
                <w:b/>
                <w:bCs/>
                <w:kern w:val="0"/>
                <w:sz w:val="18"/>
                <w:szCs w:val="18"/>
                <w:lang w:val="en-US" w:eastAsia="zh-CN" w:bidi="ar-SA"/>
              </w:rPr>
            </w:pPr>
            <w:r>
              <w:rPr>
                <w:rFonts w:hint="eastAsia" w:ascii="宋体" w:hAnsi="宋体" w:eastAsia="宋体" w:cs="Arial"/>
                <w:b/>
                <w:bCs/>
                <w:kern w:val="0"/>
                <w:sz w:val="18"/>
                <w:szCs w:val="18"/>
                <w:lang w:val="en-US" w:eastAsia="zh-CN"/>
              </w:rPr>
              <w:t>响应情况</w:t>
            </w:r>
          </w:p>
        </w:tc>
      </w:tr>
      <w:tr w14:paraId="6F98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676E803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952" w:type="dxa"/>
            <w:shd w:val="clear" w:color="auto" w:fill="auto"/>
            <w:vAlign w:val="center"/>
          </w:tcPr>
          <w:p w14:paraId="432F582D">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★网络安全设备运维</w:t>
            </w:r>
          </w:p>
        </w:tc>
        <w:tc>
          <w:tcPr>
            <w:tcW w:w="725" w:type="dxa"/>
            <w:shd w:val="clear" w:color="auto" w:fill="auto"/>
            <w:vAlign w:val="center"/>
          </w:tcPr>
          <w:p w14:paraId="1B7B435E">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31840D21">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一、运维设备对象</w:t>
            </w:r>
          </w:p>
          <w:p w14:paraId="720BBCD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本期项目纳入运维范围的网络安全设备如下：</w:t>
            </w:r>
          </w:p>
          <w:p w14:paraId="4B3825F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生产数据中心和灾备数据中心的所有网络安全设备。</w:t>
            </w:r>
          </w:p>
          <w:p w14:paraId="617DB6B9">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二、运维服务内容</w:t>
            </w:r>
          </w:p>
          <w:p w14:paraId="5BFFE97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本期项目对网络安全运维工作内容要求包括例行操作服务、响应支持服务、优化改善服务和咨询评估服务。具体服务内容要求如下：</w:t>
            </w:r>
          </w:p>
          <w:p w14:paraId="434AFFB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（1）监控</w:t>
            </w:r>
          </w:p>
          <w:p w14:paraId="4F466983">
            <w:pPr>
              <w:pStyle w:val="33"/>
              <w:widowControl w:val="0"/>
              <w:numPr>
                <w:ilvl w:val="0"/>
                <w:numId w:val="1"/>
              </w:numPr>
              <w:spacing w:line="0" w:lineRule="atLeast"/>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rPr>
              <w:t>网络安全设备的健康状况整体运行状态、各项硬件资源开销状况；</w:t>
            </w:r>
          </w:p>
          <w:p w14:paraId="0FDAEEA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链路健康状况如端到端时延变化、链路端口工作稳定性、链路负载百分比、部署路由策略情况下端到端选路变化、路由条目变化；</w:t>
            </w:r>
          </w:p>
          <w:p w14:paraId="3FBA3BE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管理权限用户的行为审计；</w:t>
            </w:r>
          </w:p>
          <w:p w14:paraId="28C9A6A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设备软件配置变动审计；</w:t>
            </w:r>
          </w:p>
          <w:p w14:paraId="4562171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设备日志审计；</w:t>
            </w:r>
          </w:p>
          <w:p w14:paraId="6156EC8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安全事件审计。</w:t>
            </w:r>
          </w:p>
          <w:p w14:paraId="4D574C7E">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kern w:val="2"/>
                <w:sz w:val="21"/>
                <w:szCs w:val="21"/>
              </w:rPr>
              <w:t>预防性检查（性能检查）</w:t>
            </w:r>
          </w:p>
          <w:p w14:paraId="6D144C2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检查网络安全设备非业务繁忙期CPU使用峰值情况；</w:t>
            </w:r>
          </w:p>
          <w:p w14:paraId="444FDAC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检查网络安全设备非业务繁忙期内存使用峰值情况；</w:t>
            </w:r>
          </w:p>
          <w:p w14:paraId="33FF23A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检查设备板卡或模块状态使用情况；</w:t>
            </w:r>
          </w:p>
          <w:p w14:paraId="6DF9426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检查设备机身工作使用情况；</w:t>
            </w:r>
          </w:p>
          <w:p w14:paraId="2576F53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检查主要端口的利用率；</w:t>
            </w:r>
          </w:p>
          <w:p w14:paraId="2D916D0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检查链路的健康状态，包括IP包传输时延、IP包丢失率、IP包误差率、无效IP包（包括攻击性IP包、欺骗性IP包、垃圾IP包等）。</w:t>
            </w:r>
          </w:p>
          <w:p w14:paraId="3FD620A9">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（3）</w:t>
            </w:r>
            <w:r>
              <w:rPr>
                <w:rFonts w:hint="eastAsia" w:ascii="宋体" w:hAnsi="宋体" w:eastAsia="宋体" w:cs="宋体"/>
                <w:b w:val="0"/>
                <w:bCs/>
                <w:kern w:val="2"/>
                <w:sz w:val="21"/>
                <w:szCs w:val="21"/>
              </w:rPr>
              <w:t>预防性检查（脆弱性检查）</w:t>
            </w:r>
          </w:p>
          <w:p w14:paraId="2AD4EC6F">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检查设备链路的冗余度要求；</w:t>
            </w:r>
          </w:p>
          <w:p w14:paraId="624773E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安全事件周期性整理分析；</w:t>
            </w:r>
          </w:p>
          <w:p w14:paraId="1A813FA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设备生命周期与硬件可靠性评估；</w:t>
            </w:r>
          </w:p>
          <w:p w14:paraId="5555222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配件可用性周期性检查。</w:t>
            </w:r>
          </w:p>
          <w:p w14:paraId="4277C40D">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（4）常规作业</w:t>
            </w:r>
          </w:p>
          <w:p w14:paraId="38FA364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设备操作系统软件备份及存档；</w:t>
            </w:r>
          </w:p>
          <w:p w14:paraId="1BF246D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设备软件配置备份及存档；</w:t>
            </w:r>
          </w:p>
          <w:p w14:paraId="1691616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监控系统日志备份及存档；</w:t>
            </w:r>
          </w:p>
          <w:p w14:paraId="3E78E65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监控系统日志数据分析与报告生成；</w:t>
            </w:r>
          </w:p>
          <w:p w14:paraId="4C74992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网络配置变更文件的审核；</w:t>
            </w:r>
          </w:p>
          <w:p w14:paraId="7F952F8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网络配置变更的操作；</w:t>
            </w:r>
          </w:p>
          <w:p w14:paraId="4C19337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网络配置变更的记录；</w:t>
            </w:r>
          </w:p>
          <w:p w14:paraId="2939C8F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网络地址的管理。</w:t>
            </w:r>
          </w:p>
          <w:p w14:paraId="5943BDA1">
            <w:pPr>
              <w:pStyle w:val="33"/>
              <w:widowControl w:val="0"/>
              <w:spacing w:line="0" w:lineRule="atLeast"/>
              <w:rPr>
                <w:rFonts w:hint="eastAsia" w:ascii="宋体" w:hAnsi="宋体" w:eastAsia="宋体" w:cs="宋体"/>
                <w:b w:val="0"/>
                <w:bCs/>
                <w:sz w:val="21"/>
                <w:szCs w:val="21"/>
                <w:lang w:val="zh-CN"/>
              </w:rPr>
            </w:pPr>
            <w:r>
              <w:rPr>
                <w:rFonts w:hint="eastAsia" w:ascii="宋体" w:hAnsi="宋体" w:eastAsia="宋体" w:cs="宋体"/>
                <w:b w:val="0"/>
                <w:bCs/>
                <w:sz w:val="21"/>
                <w:szCs w:val="21"/>
                <w:lang w:val="zh-CN"/>
              </w:rPr>
              <w:t>2</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zh-CN"/>
              </w:rPr>
              <w:t>对</w:t>
            </w:r>
            <w:r>
              <w:rPr>
                <w:rFonts w:hint="eastAsia" w:ascii="宋体" w:hAnsi="宋体" w:eastAsia="宋体" w:cs="宋体"/>
                <w:b w:val="0"/>
                <w:bCs/>
                <w:sz w:val="21"/>
                <w:szCs w:val="21"/>
              </w:rPr>
              <w:t>网络安全设备</w:t>
            </w:r>
            <w:r>
              <w:rPr>
                <w:rFonts w:hint="eastAsia" w:ascii="宋体" w:hAnsi="宋体" w:eastAsia="宋体" w:cs="宋体"/>
                <w:b w:val="0"/>
                <w:bCs/>
                <w:sz w:val="21"/>
                <w:szCs w:val="21"/>
                <w:lang w:val="zh-CN"/>
              </w:rPr>
              <w:t>设备的响应支持服务主要包括事件驱动响应和服务请求响应，具体维护服务要求要求如下表：</w:t>
            </w:r>
          </w:p>
          <w:p w14:paraId="1A0BE07D">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（1）事件驱动响应</w:t>
            </w:r>
          </w:p>
          <w:p w14:paraId="2DBD651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故障定位；</w:t>
            </w:r>
          </w:p>
          <w:p w14:paraId="2BF9988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网络配件更换；</w:t>
            </w:r>
          </w:p>
          <w:p w14:paraId="4FAC311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中断、连通网络连接；</w:t>
            </w:r>
          </w:p>
          <w:p w14:paraId="58D4106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关闭、启动端口；</w:t>
            </w:r>
          </w:p>
          <w:p w14:paraId="7DB2A49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更改、恢复配置；</w:t>
            </w:r>
          </w:p>
          <w:p w14:paraId="15F8682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停止、启动进程。</w:t>
            </w:r>
          </w:p>
          <w:p w14:paraId="4DA04563">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（2）服务请求响应</w:t>
            </w:r>
          </w:p>
          <w:p w14:paraId="3A43D00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增加、降低网络接入的数量或速度；</w:t>
            </w:r>
          </w:p>
          <w:p w14:paraId="1FBEDE7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更改网络设备配置；</w:t>
            </w:r>
          </w:p>
          <w:p w14:paraId="188D280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启动、关闭端口或服务；</w:t>
            </w:r>
          </w:p>
          <w:p w14:paraId="25DC6E87">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更换、更新或升级设备软件。</w:t>
            </w:r>
          </w:p>
          <w:p w14:paraId="0FFFAD4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网络安全的优化改善服务</w:t>
            </w:r>
          </w:p>
          <w:p w14:paraId="7CFFA6F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（1）根据应用系统特点和运行需求，对网络安全设备进行调整，主要包括： </w:t>
            </w:r>
          </w:p>
          <w:p w14:paraId="71FE865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1）网络或路由策略调整；</w:t>
            </w:r>
          </w:p>
          <w:p w14:paraId="60CAB29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2）设备或链路负载调整；</w:t>
            </w:r>
          </w:p>
          <w:p w14:paraId="5108EFD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3）安全策略调整；</w:t>
            </w:r>
          </w:p>
          <w:p w14:paraId="42220EE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4）监控对象覆盖范围调整；</w:t>
            </w:r>
          </w:p>
          <w:p w14:paraId="3803F4F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5）局部交换优化；</w:t>
            </w:r>
          </w:p>
          <w:p w14:paraId="5D68640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6）局部冗余优化。</w:t>
            </w:r>
          </w:p>
          <w:p w14:paraId="6730E74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（2）增强性改进</w:t>
            </w:r>
          </w:p>
          <w:p w14:paraId="26740A78">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根据应用系统的特点和运行需求，通过对网络安全设备的运行记录、趋势的分析，对网络安全设备配置参数进行调整和优化，主要包括：</w:t>
            </w:r>
          </w:p>
          <w:p w14:paraId="3FCCC88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1）硬件设备优化，如网络安全设备硬件资源分配、系统软件升级、带宽资源分配和调整等；</w:t>
            </w:r>
          </w:p>
          <w:p w14:paraId="28E9112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2）整体网络架构变动设计及优化；</w:t>
            </w:r>
          </w:p>
          <w:p w14:paraId="4ECFDF4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3）网络架构容量变化，如网络子系统的增减等；</w:t>
            </w:r>
          </w:p>
          <w:p w14:paraId="1F70AEB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4）网络拓扑调整变化等系统功能变化，如新增功能区、新增安全系统、新增审计系统等；</w:t>
            </w:r>
          </w:p>
          <w:p w14:paraId="0CCDE2B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5）路由协议应用及部署调整；</w:t>
            </w:r>
          </w:p>
          <w:p w14:paraId="27EA10E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6）整体安全策略收紧；</w:t>
            </w:r>
          </w:p>
          <w:p w14:paraId="616B71D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7）交换优化；</w:t>
            </w:r>
          </w:p>
          <w:p w14:paraId="6883A7C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8）冗余优化。</w:t>
            </w:r>
          </w:p>
          <w:p w14:paraId="27BC2F3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（3）预防性改进</w:t>
            </w:r>
          </w:p>
          <w:p w14:paraId="73677BE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根据对网络安全设备的运行记录、趋势的分析，结合应用系统的需求，发现网络及安全设备的脆弱点，有针对性地进行改进性作业，主要包括：</w:t>
            </w:r>
          </w:p>
          <w:p w14:paraId="68F201B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1）配置参数优化，例如关闭不必要的服务、打开缺省的增强功能（CEF等）、加快三层网络路由收敛速度、加快二层网络生成树收敛速度等；</w:t>
            </w:r>
          </w:p>
          <w:p w14:paraId="4557051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2）安全优化，例如密码加密，TELNET控制，入侵防护策略等；</w:t>
            </w:r>
          </w:p>
          <w:p w14:paraId="47DB7A8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3）提高软件配置命令可读性。</w:t>
            </w:r>
          </w:p>
          <w:p w14:paraId="510F16F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网络安全设备的咨询评估服务</w:t>
            </w:r>
          </w:p>
          <w:p w14:paraId="46B81CB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对网络安全设备的咨询评估服务内容要求主要包括： </w:t>
            </w:r>
          </w:p>
          <w:p w14:paraId="08358803">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网络实际负荷与承载能力分析；</w:t>
            </w:r>
          </w:p>
          <w:p w14:paraId="797CEAF1">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2）网络预期负荷与承载能力分析与建议；</w:t>
            </w:r>
          </w:p>
          <w:p w14:paraId="7CAAB4E5">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3）网络架构变动分析与建议；</w:t>
            </w:r>
          </w:p>
          <w:p w14:paraId="7EA9ED9A">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4）网络路由策略变动分析与建议；</w:t>
            </w:r>
          </w:p>
          <w:p w14:paraId="4EE04B73">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5）网络安全策略变动分析与建议；</w:t>
            </w:r>
          </w:p>
          <w:p w14:paraId="3B0E0139">
            <w:pPr>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6）网络配置调优分析与建议等。</w:t>
            </w:r>
          </w:p>
        </w:tc>
        <w:tc>
          <w:tcPr>
            <w:tcW w:w="1890" w:type="dxa"/>
            <w:shd w:val="clear" w:color="auto" w:fill="auto"/>
            <w:vAlign w:val="center"/>
          </w:tcPr>
          <w:p w14:paraId="21E5698C">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3F179E02">
            <w:pPr>
              <w:widowControl/>
              <w:jc w:val="center"/>
              <w:rPr>
                <w:rFonts w:hint="eastAsia" w:ascii="宋体" w:hAnsi="宋体" w:eastAsia="宋体" w:cs="宋体"/>
                <w:b w:val="0"/>
                <w:bCs/>
                <w:kern w:val="0"/>
                <w:sz w:val="21"/>
                <w:szCs w:val="21"/>
              </w:rPr>
            </w:pPr>
          </w:p>
        </w:tc>
      </w:tr>
      <w:tr w14:paraId="798D7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0E386CFE">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952" w:type="dxa"/>
            <w:shd w:val="clear" w:color="auto" w:fill="auto"/>
            <w:vAlign w:val="center"/>
          </w:tcPr>
          <w:p w14:paraId="0906F1E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★网络设备运维</w:t>
            </w:r>
          </w:p>
        </w:tc>
        <w:tc>
          <w:tcPr>
            <w:tcW w:w="725" w:type="dxa"/>
            <w:shd w:val="clear" w:color="auto" w:fill="auto"/>
            <w:vAlign w:val="center"/>
          </w:tcPr>
          <w:p w14:paraId="52D94AAF">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14DC982D">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一、运维设备对象</w:t>
            </w:r>
          </w:p>
          <w:p w14:paraId="1952C98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本期项目纳入运维范围的网络设备如下：</w:t>
            </w:r>
          </w:p>
          <w:p w14:paraId="55F2152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（1）生产数据中心和灾备数据中心的所有核心交换机、接入交换机、汇聚交换机。</w:t>
            </w:r>
          </w:p>
          <w:p w14:paraId="6AE6F82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（2）楼层机柜的所有接入交换机、汇聚交换机。</w:t>
            </w:r>
          </w:p>
          <w:p w14:paraId="38C66C4D">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二、运维服务内容</w:t>
            </w:r>
          </w:p>
          <w:p w14:paraId="4E9F226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本期项目对网络设备运维工作内容要求包括例行操作服务、响应支持服务、优化改善服务和咨询评估服务。具体服务内容要求如下：</w:t>
            </w:r>
          </w:p>
          <w:p w14:paraId="65D130D5">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（1）监控</w:t>
            </w:r>
          </w:p>
          <w:p w14:paraId="4BA878E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网络设备的健康状况整体运行状态、各项硬件资源开销状况；</w:t>
            </w:r>
          </w:p>
          <w:p w14:paraId="06624B2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链路健康状况如端到端时延变化、链路端口工作稳定性、链路负载百分比、部署路由策略情况下端到端选路变化、路由条目变化；</w:t>
            </w:r>
          </w:p>
          <w:p w14:paraId="5575F573">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管理权限用户的行为审计；</w:t>
            </w:r>
          </w:p>
          <w:p w14:paraId="7C23678F">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设备软件配置变动审计；</w:t>
            </w:r>
          </w:p>
          <w:p w14:paraId="39D37E3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设备日志审计；</w:t>
            </w:r>
          </w:p>
          <w:p w14:paraId="60606389">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安全事件审计。</w:t>
            </w:r>
          </w:p>
          <w:p w14:paraId="59E53AC0">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kern w:val="2"/>
                <w:sz w:val="21"/>
                <w:szCs w:val="21"/>
              </w:rPr>
              <w:t>预防性检查（性能检查）</w:t>
            </w:r>
          </w:p>
          <w:p w14:paraId="5383865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检查网络设备非业务繁忙期CPU使用峰值情况；</w:t>
            </w:r>
          </w:p>
          <w:p w14:paraId="49EED1E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检查网络设备非业务繁忙期内存使用峰值情况；</w:t>
            </w:r>
          </w:p>
          <w:p w14:paraId="5849B02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检查设备板卡或模块状态使用情况；</w:t>
            </w:r>
          </w:p>
          <w:p w14:paraId="543C90E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检查设备机身工作使用情况；</w:t>
            </w:r>
          </w:p>
          <w:p w14:paraId="77BF230F">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检查主要端口的利用率；</w:t>
            </w:r>
          </w:p>
          <w:p w14:paraId="38738DC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检查链路的健康状态，包括IP包传输时延、IP包丢失率、IP包误差率、无效IP包（包括攻击性IP包、欺骗性IP包、垃圾IP包等）。</w:t>
            </w:r>
          </w:p>
          <w:p w14:paraId="4946B93B">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（3）</w:t>
            </w:r>
            <w:r>
              <w:rPr>
                <w:rFonts w:hint="eastAsia" w:ascii="宋体" w:hAnsi="宋体" w:eastAsia="宋体" w:cs="宋体"/>
                <w:b w:val="0"/>
                <w:bCs/>
                <w:kern w:val="2"/>
                <w:sz w:val="21"/>
                <w:szCs w:val="21"/>
              </w:rPr>
              <w:t>预防性检查（脆弱性检查）</w:t>
            </w:r>
          </w:p>
          <w:p w14:paraId="5723DCDC">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检查设备链路的冗余度要求；</w:t>
            </w:r>
          </w:p>
          <w:p w14:paraId="56D7C7B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安全事件周期性整理分析；</w:t>
            </w:r>
          </w:p>
          <w:p w14:paraId="7F4CA3AF">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设备生命周期与硬件可靠性评估；</w:t>
            </w:r>
          </w:p>
          <w:p w14:paraId="17A2065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配件可用性周期性检查。</w:t>
            </w:r>
          </w:p>
          <w:p w14:paraId="6694CDA7">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（4）常规作业</w:t>
            </w:r>
          </w:p>
          <w:p w14:paraId="321A1C0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设备操作系统软件备份及存档；</w:t>
            </w:r>
          </w:p>
          <w:p w14:paraId="0836928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设备软件配置备份及存档；</w:t>
            </w:r>
          </w:p>
          <w:p w14:paraId="78707E86">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监控系统日志备份及存档；</w:t>
            </w:r>
          </w:p>
          <w:p w14:paraId="78A30D9B">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监控系统日志数据分析与报告生成；</w:t>
            </w:r>
          </w:p>
          <w:p w14:paraId="45F4D934">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网络配置变更文件的审核；</w:t>
            </w:r>
          </w:p>
          <w:p w14:paraId="1F4CDD5D">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网络配置变更的操作；</w:t>
            </w:r>
          </w:p>
          <w:p w14:paraId="12276360">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网络配置变更的记录；</w:t>
            </w:r>
          </w:p>
          <w:p w14:paraId="2817C4DD">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网络地址的管理。</w:t>
            </w:r>
          </w:p>
          <w:p w14:paraId="13E2C16C">
            <w:pPr>
              <w:pStyle w:val="33"/>
              <w:widowControl w:val="0"/>
              <w:spacing w:line="0" w:lineRule="atLeast"/>
              <w:rPr>
                <w:rFonts w:hint="eastAsia" w:ascii="宋体" w:hAnsi="宋体" w:eastAsia="宋体" w:cs="宋体"/>
                <w:b w:val="0"/>
                <w:bCs/>
                <w:sz w:val="21"/>
                <w:szCs w:val="21"/>
                <w:lang w:val="zh-CN"/>
              </w:rPr>
            </w:pPr>
            <w:r>
              <w:rPr>
                <w:rFonts w:hint="eastAsia" w:ascii="宋体" w:hAnsi="宋体" w:eastAsia="宋体" w:cs="宋体"/>
                <w:b w:val="0"/>
                <w:bCs/>
                <w:sz w:val="21"/>
                <w:szCs w:val="21"/>
                <w:lang w:val="zh-CN"/>
              </w:rPr>
              <w:t>2</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zh-CN"/>
              </w:rPr>
              <w:t>对</w:t>
            </w:r>
            <w:r>
              <w:rPr>
                <w:rFonts w:hint="eastAsia" w:ascii="宋体" w:hAnsi="宋体" w:eastAsia="宋体" w:cs="宋体"/>
                <w:b w:val="0"/>
                <w:bCs/>
                <w:sz w:val="21"/>
                <w:szCs w:val="21"/>
              </w:rPr>
              <w:t>网络设备</w:t>
            </w:r>
            <w:r>
              <w:rPr>
                <w:rFonts w:hint="eastAsia" w:ascii="宋体" w:hAnsi="宋体" w:eastAsia="宋体" w:cs="宋体"/>
                <w:b w:val="0"/>
                <w:bCs/>
                <w:sz w:val="21"/>
                <w:szCs w:val="21"/>
                <w:lang w:val="zh-CN"/>
              </w:rPr>
              <w:t>的响应支持服务主要包括事件驱动响应和服务请求响应，具体维护服务要求要求如下表：</w:t>
            </w:r>
          </w:p>
          <w:p w14:paraId="02CEB809">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（1）事件驱动响应</w:t>
            </w:r>
          </w:p>
          <w:p w14:paraId="570B892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故障定位；</w:t>
            </w:r>
          </w:p>
          <w:p w14:paraId="45DEC5A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网络配件更换；</w:t>
            </w:r>
          </w:p>
          <w:p w14:paraId="69B0427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中断、连通网络连接；</w:t>
            </w:r>
          </w:p>
          <w:p w14:paraId="438EB622">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关闭、启动端口；</w:t>
            </w:r>
          </w:p>
          <w:p w14:paraId="6D7A990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更改、恢复配置；</w:t>
            </w:r>
          </w:p>
          <w:p w14:paraId="40FF7425">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停止、启动进程。</w:t>
            </w:r>
          </w:p>
          <w:p w14:paraId="38A174D2">
            <w:pPr>
              <w:pStyle w:val="33"/>
              <w:widowControl w:val="0"/>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（2）服务请求响应</w:t>
            </w:r>
          </w:p>
          <w:p w14:paraId="4D8A9501">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增加、降低网络接入的数量或速度；</w:t>
            </w:r>
          </w:p>
          <w:p w14:paraId="321459B8">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更改网络设备配置；</w:t>
            </w:r>
          </w:p>
          <w:p w14:paraId="76243E3E">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启动、关闭端口或服务；</w:t>
            </w:r>
          </w:p>
          <w:p w14:paraId="21A402BA">
            <w:pPr>
              <w:pStyle w:val="33"/>
              <w:widowControl w:val="0"/>
              <w:numPr>
                <w:ilvl w:val="0"/>
                <w:numId w:val="1"/>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更换、更新或升级设备软件。</w:t>
            </w:r>
          </w:p>
          <w:p w14:paraId="5B30BFAC">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网络设备的优化改善服务</w:t>
            </w:r>
          </w:p>
          <w:p w14:paraId="70FD812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（1）根据应用系统特点和运行需求，对网络设备进行调整，主要包括： </w:t>
            </w:r>
          </w:p>
          <w:p w14:paraId="3C951FE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1）网络或路由策略调整；</w:t>
            </w:r>
          </w:p>
          <w:p w14:paraId="5485E84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2）设备或链路负载调整；</w:t>
            </w:r>
          </w:p>
          <w:p w14:paraId="67C4427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3）安全策略调整；</w:t>
            </w:r>
          </w:p>
          <w:p w14:paraId="188FAE7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4）监控对象覆盖范围调整；</w:t>
            </w:r>
          </w:p>
          <w:p w14:paraId="1931A35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5）局部交换优化；</w:t>
            </w:r>
          </w:p>
          <w:p w14:paraId="78F6929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6）局部冗余优化。</w:t>
            </w:r>
          </w:p>
          <w:p w14:paraId="3E4C608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（2）增强性改进</w:t>
            </w:r>
          </w:p>
          <w:p w14:paraId="1217003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根据应用系统的特点和运行需求，通过对网络设备的运行记录、趋势的分析，对网络设备配置参数进行调整和优化，主要包括：</w:t>
            </w:r>
          </w:p>
          <w:p w14:paraId="2C6A609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1）硬件设备优化，如网络设备硬件资源分配、系统软件升级、带宽资源分配和调整等；</w:t>
            </w:r>
          </w:p>
          <w:p w14:paraId="15A9B4C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2）整体网络架构变动设计及优化；</w:t>
            </w:r>
          </w:p>
          <w:p w14:paraId="1D5486B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3）网络架构容量变化，如网络子系统的增减等；</w:t>
            </w:r>
          </w:p>
          <w:p w14:paraId="2F949F9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4）网络拓扑调整变化等系统功能变化，如新增功能区、新增安全系统、新增审计系统等；</w:t>
            </w:r>
          </w:p>
          <w:p w14:paraId="08236D1D">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5）路由协议应用及部署调整；</w:t>
            </w:r>
          </w:p>
          <w:p w14:paraId="6C55A688">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6）整体安全策略收紧；</w:t>
            </w:r>
          </w:p>
          <w:p w14:paraId="34A1829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7）交换优化；</w:t>
            </w:r>
          </w:p>
          <w:p w14:paraId="3AF3D6A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8）冗余优化。</w:t>
            </w:r>
          </w:p>
          <w:p w14:paraId="02EA849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（3）预防性改进</w:t>
            </w:r>
          </w:p>
          <w:p w14:paraId="287B325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根据对网络及安全设备的运行记录、趋势的分析，结合应用系统的需求，发现网络及安全设备的脆弱点，有针对性地进行改进性作业，主要包括：</w:t>
            </w:r>
          </w:p>
          <w:p w14:paraId="7003A41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1）配置参数优化，例如关闭不必要的服务、打开缺省的增强功能（CEF等）、加快三层网络路由收敛速度、加快二层网络生成树收敛速度等；</w:t>
            </w:r>
          </w:p>
          <w:p w14:paraId="42B15F6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2）安全优化，例如密码加密，TELNET控制等；</w:t>
            </w:r>
          </w:p>
          <w:p w14:paraId="4A78AA4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3）提高软件配置命令可读性。</w:t>
            </w:r>
          </w:p>
          <w:p w14:paraId="149CCADA">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r>
              <w:rPr>
                <w:rFonts w:hint="eastAsia" w:ascii="宋体" w:hAnsi="宋体" w:cs="宋体"/>
                <w:b w:val="0"/>
                <w:bCs/>
                <w:kern w:val="0"/>
                <w:sz w:val="21"/>
                <w:szCs w:val="21"/>
                <w:lang w:val="en-US" w:eastAsia="zh-CN"/>
              </w:rPr>
              <w:t>.</w:t>
            </w:r>
            <w:r>
              <w:rPr>
                <w:rFonts w:hint="eastAsia" w:ascii="宋体" w:hAnsi="宋体" w:eastAsia="宋体" w:cs="宋体"/>
                <w:b w:val="0"/>
                <w:bCs/>
                <w:kern w:val="0"/>
                <w:sz w:val="21"/>
                <w:szCs w:val="21"/>
              </w:rPr>
              <w:t>网络设备的咨询评估服务</w:t>
            </w:r>
          </w:p>
          <w:p w14:paraId="572DE1D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对网络设备的咨询评估服务内容要求主要包括： </w:t>
            </w:r>
          </w:p>
          <w:p w14:paraId="5DBE4D16">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1）网络实际负荷与承载能力分析；</w:t>
            </w:r>
          </w:p>
          <w:p w14:paraId="56615D6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2）网络预期负荷与承载能力分析与建议；</w:t>
            </w:r>
          </w:p>
          <w:p w14:paraId="58739EB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3）网络架构变动分析与建议；</w:t>
            </w:r>
          </w:p>
          <w:p w14:paraId="4911C242">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4）网络路由策略变动分析与建议；</w:t>
            </w:r>
          </w:p>
          <w:p w14:paraId="60E789EF">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5）网络安全策略变动分析与建议；</w:t>
            </w:r>
          </w:p>
          <w:p w14:paraId="35F77B87">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6）网络配置调优分析与建议等。</w:t>
            </w:r>
          </w:p>
        </w:tc>
        <w:tc>
          <w:tcPr>
            <w:tcW w:w="1890" w:type="dxa"/>
            <w:shd w:val="clear" w:color="auto" w:fill="auto"/>
            <w:vAlign w:val="center"/>
          </w:tcPr>
          <w:p w14:paraId="24943FC3">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2B81172A">
            <w:pPr>
              <w:widowControl/>
              <w:jc w:val="center"/>
              <w:rPr>
                <w:rFonts w:hint="eastAsia" w:ascii="宋体" w:hAnsi="宋体" w:eastAsia="宋体" w:cs="宋体"/>
                <w:b w:val="0"/>
                <w:bCs/>
                <w:kern w:val="0"/>
                <w:sz w:val="21"/>
                <w:szCs w:val="21"/>
              </w:rPr>
            </w:pPr>
          </w:p>
        </w:tc>
      </w:tr>
      <w:tr w14:paraId="25E8A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6D9950A6">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952" w:type="dxa"/>
            <w:shd w:val="clear" w:color="auto" w:fill="auto"/>
            <w:vAlign w:val="center"/>
          </w:tcPr>
          <w:p w14:paraId="0054BD81">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★服务器运维服务</w:t>
            </w:r>
          </w:p>
        </w:tc>
        <w:tc>
          <w:tcPr>
            <w:tcW w:w="725" w:type="dxa"/>
            <w:shd w:val="clear" w:color="auto" w:fill="auto"/>
            <w:vAlign w:val="center"/>
          </w:tcPr>
          <w:p w14:paraId="24A8424B">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3674F331">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本期项目对服务器和相关主要设备维护的服务内容要求包括例行操作服务、响应支持服务、优化改善服务和咨询评估服务。具体服务内容要求如下：</w:t>
            </w:r>
          </w:p>
          <w:p w14:paraId="71D07642">
            <w:pPr>
              <w:rPr>
                <w:rFonts w:hint="eastAsia" w:ascii="宋体" w:hAnsi="宋体" w:eastAsia="宋体" w:cs="宋体"/>
                <w:b/>
                <w:bCs w:val="0"/>
                <w:kern w:val="0"/>
                <w:sz w:val="21"/>
                <w:szCs w:val="21"/>
              </w:rPr>
            </w:pPr>
            <w:r>
              <w:rPr>
                <w:rFonts w:hint="eastAsia" w:ascii="宋体" w:hAnsi="宋体" w:cs="宋体"/>
                <w:b/>
                <w:bCs w:val="0"/>
                <w:kern w:val="0"/>
                <w:sz w:val="21"/>
                <w:szCs w:val="21"/>
                <w:lang w:val="en-US" w:eastAsia="zh-CN"/>
              </w:rPr>
              <w:t>一、</w:t>
            </w:r>
            <w:r>
              <w:rPr>
                <w:rFonts w:hint="eastAsia" w:ascii="宋体" w:hAnsi="宋体" w:eastAsia="宋体" w:cs="宋体"/>
                <w:b/>
                <w:bCs w:val="0"/>
                <w:kern w:val="0"/>
                <w:sz w:val="21"/>
                <w:szCs w:val="21"/>
              </w:rPr>
              <w:t>服务器及相关设备的例行操作服务</w:t>
            </w:r>
          </w:p>
          <w:p w14:paraId="1529CC1B">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服务器及相关设备的例行操作服务包括：监控、预防性检查、常规作业。具体服务内容要求如下：</w:t>
            </w:r>
          </w:p>
          <w:p w14:paraId="0BB67D7E">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日常巡检：驻场运维人员须每日进行巡检工作。重点是对服务器及相关设备的运行状态、运行性能、资源使用分配情况进行监控，以便了解其是否满足运行要求。主要监控服务需求如下表所示，服务周期每日一次。</w:t>
            </w:r>
          </w:p>
          <w:p w14:paraId="36722D85">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监控主机服务器LED面板运行错误码和指示灯 </w:t>
            </w:r>
          </w:p>
          <w:p w14:paraId="2F4D15E1">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监控服务器电源工作状态指示灯 </w:t>
            </w:r>
          </w:p>
          <w:p w14:paraId="4FD19FC0">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监控服务器硬盘工作状态指示灯 </w:t>
            </w:r>
          </w:p>
          <w:p w14:paraId="7CBE6231">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监控服务器CPU使用比例情况 </w:t>
            </w:r>
          </w:p>
          <w:p w14:paraId="1CE35C3B">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监控操作系统重要文件系统空间使用情况 </w:t>
            </w:r>
          </w:p>
          <w:p w14:paraId="2CC17B32">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监控服务器内存使用情况等 </w:t>
            </w:r>
          </w:p>
          <w:p w14:paraId="2D112D29">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 xml:space="preserve">监控服务器系统日志 </w:t>
            </w:r>
          </w:p>
          <w:p w14:paraId="44EE71E8">
            <w:pPr>
              <w:pStyle w:val="33"/>
              <w:widowControl w:val="0"/>
              <w:numPr>
                <w:ilvl w:val="0"/>
                <w:numId w:val="2"/>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监控服务器磁盘IO</w:t>
            </w:r>
          </w:p>
          <w:p w14:paraId="3C2851B8">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预防性检查：在监控服务的基础上，对服务器及存储设备进行预防性检查，包括：性能检查、脆弱性检查。主要预防性检查要求如下表所示，服务周期每日一次。</w:t>
            </w:r>
          </w:p>
          <w:p w14:paraId="14902C9E">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检查服务器非业务繁忙期CPU使用峰值情况 </w:t>
            </w:r>
          </w:p>
          <w:p w14:paraId="1CCA05D5">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检查服务器非业务繁忙期内存使用峰值情况 </w:t>
            </w:r>
          </w:p>
          <w:p w14:paraId="5AC34244">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检查操作系统重要文件系统空间使用情况 </w:t>
            </w:r>
          </w:p>
          <w:p w14:paraId="2396F06A">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检查服务器IO读写情况 </w:t>
            </w:r>
          </w:p>
          <w:p w14:paraId="51A006C7">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查数据流网络流量情况等</w:t>
            </w:r>
          </w:p>
          <w:p w14:paraId="43B5BEEB">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检查服务器关键硬件部件是否满足运行冗余度要求 </w:t>
            </w:r>
          </w:p>
          <w:p w14:paraId="670484A5">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当前操作系统版本是否安装相关风险补丁 </w:t>
            </w:r>
          </w:p>
          <w:p w14:paraId="74382FD1">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是否关闭不必要的服务进程 </w:t>
            </w:r>
          </w:p>
          <w:p w14:paraId="3EE6362F">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重要业务数据文件或操作系统文件空间使用是否达到预定阀值 </w:t>
            </w:r>
          </w:p>
          <w:p w14:paraId="493DCB91">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关键机密系统数据安全防护设置是否满足要求 </w:t>
            </w:r>
          </w:p>
          <w:p w14:paraId="3ABD37FD">
            <w:pPr>
              <w:pStyle w:val="25"/>
              <w:numPr>
                <w:ilvl w:val="0"/>
                <w:numId w:val="3"/>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系统使用资源是否超过预定阀值</w:t>
            </w:r>
          </w:p>
          <w:p w14:paraId="335E4E5C">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常规作业：对服务器及相关设备的常规作业主要要求如下表所示，服务周期是每个月一次。</w:t>
            </w:r>
          </w:p>
          <w:p w14:paraId="6F5B733B">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设备清洁 </w:t>
            </w:r>
          </w:p>
          <w:p w14:paraId="659920D0">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输入、输出设备读写测试（光驱、内置磁带机） </w:t>
            </w:r>
          </w:p>
          <w:p w14:paraId="767E1643">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配置文件备份 </w:t>
            </w:r>
          </w:p>
          <w:p w14:paraId="1074F403">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过期运行日志清理 </w:t>
            </w:r>
          </w:p>
          <w:p w14:paraId="45D74A08">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网络通讯正常性测试 </w:t>
            </w:r>
          </w:p>
          <w:p w14:paraId="58CDC302">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 xml:space="preserve">临时文件清理 </w:t>
            </w:r>
          </w:p>
          <w:p w14:paraId="3184D5B0">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端口访问测试</w:t>
            </w:r>
          </w:p>
          <w:p w14:paraId="3A7DA64D">
            <w:pPr>
              <w:pStyle w:val="25"/>
              <w:numPr>
                <w:ilvl w:val="0"/>
                <w:numId w:val="4"/>
              </w:numPr>
              <w:ind w:left="420" w:leftChars="0" w:firstLineChars="0"/>
              <w:contextualSpacing/>
              <w:jc w:val="left"/>
              <w:rPr>
                <w:rFonts w:hint="eastAsia" w:ascii="宋体" w:hAnsi="宋体" w:eastAsia="宋体" w:cs="宋体"/>
                <w:b w:val="0"/>
                <w:bCs/>
                <w:sz w:val="21"/>
                <w:szCs w:val="21"/>
              </w:rPr>
            </w:pPr>
            <w:r>
              <w:rPr>
                <w:rFonts w:hint="eastAsia" w:ascii="宋体" w:hAnsi="宋体" w:eastAsia="宋体" w:cs="宋体"/>
                <w:b w:val="0"/>
                <w:bCs/>
                <w:sz w:val="21"/>
                <w:szCs w:val="21"/>
              </w:rPr>
              <w:t>服务器及相关设备性能有优化调节</w:t>
            </w:r>
          </w:p>
          <w:p w14:paraId="43B96186">
            <w:pPr>
              <w:jc w:val="left"/>
              <w:rPr>
                <w:rFonts w:hint="eastAsia" w:ascii="宋体" w:hAnsi="宋体" w:eastAsia="宋体" w:cs="宋体"/>
                <w:b/>
                <w:bCs w:val="0"/>
                <w:kern w:val="0"/>
                <w:sz w:val="21"/>
                <w:szCs w:val="21"/>
              </w:rPr>
            </w:pPr>
            <w:r>
              <w:rPr>
                <w:rFonts w:hint="eastAsia" w:ascii="宋体" w:hAnsi="宋体" w:cs="宋体"/>
                <w:b/>
                <w:bCs w:val="0"/>
                <w:kern w:val="0"/>
                <w:sz w:val="21"/>
                <w:szCs w:val="21"/>
                <w:lang w:val="en-US" w:eastAsia="zh-CN"/>
              </w:rPr>
              <w:t>二、</w:t>
            </w:r>
            <w:r>
              <w:rPr>
                <w:rFonts w:hint="eastAsia" w:ascii="宋体" w:hAnsi="宋体" w:eastAsia="宋体" w:cs="宋体"/>
                <w:b/>
                <w:bCs w:val="0"/>
                <w:kern w:val="0"/>
                <w:sz w:val="21"/>
                <w:szCs w:val="21"/>
              </w:rPr>
              <w:t>服务器及相关设备的故障响应及支持服务</w:t>
            </w:r>
          </w:p>
          <w:p w14:paraId="7A7773C4">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系统故障诊断及检修：针对设备的软、硬件故障引起的业务中断或运行效率无法满足正常运行要求，而进行的响应服务，当系统出现问题时，服务方常驻人员要及时对问题进行诊断、分析，并解决问题。</w:t>
            </w:r>
          </w:p>
          <w:p w14:paraId="3B412EF7">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服务器重启；</w:t>
            </w:r>
          </w:p>
          <w:p w14:paraId="0EDB69DC">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操作系统恢复；</w:t>
            </w:r>
          </w:p>
          <w:p w14:paraId="6FAE7EC8">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更换故障部件，包括主板、电源、CPU、内存、硬盘等；</w:t>
            </w:r>
          </w:p>
          <w:p w14:paraId="21407A16">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网络通讯设置修正等；</w:t>
            </w:r>
          </w:p>
          <w:p w14:paraId="2A1C018F">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服务器无法正常运作时进行诊断检修；</w:t>
            </w:r>
          </w:p>
          <w:p w14:paraId="0CA7982D">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服务器运行速度较正常慢时进行诊断及调整；</w:t>
            </w:r>
          </w:p>
          <w:p w14:paraId="50B2A30B">
            <w:pPr>
              <w:pStyle w:val="33"/>
              <w:widowControl w:val="0"/>
              <w:numPr>
                <w:ilvl w:val="0"/>
                <w:numId w:val="5"/>
              </w:numPr>
              <w:spacing w:line="0" w:lineRule="atLeast"/>
              <w:rPr>
                <w:rFonts w:hint="eastAsia" w:ascii="宋体" w:hAnsi="宋体" w:eastAsia="宋体" w:cs="宋体"/>
                <w:b w:val="0"/>
                <w:bCs/>
                <w:sz w:val="21"/>
                <w:szCs w:val="21"/>
              </w:rPr>
            </w:pPr>
            <w:r>
              <w:rPr>
                <w:rFonts w:hint="eastAsia" w:ascii="宋体" w:hAnsi="宋体" w:eastAsia="宋体" w:cs="宋体"/>
                <w:b w:val="0"/>
                <w:bCs/>
                <w:sz w:val="21"/>
                <w:szCs w:val="21"/>
              </w:rPr>
              <w:t>网络中出现病毒或木马进行杀毒和防控。</w:t>
            </w:r>
          </w:p>
          <w:p w14:paraId="388F705C">
            <w:pPr>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在对应的服务级别和服务响应级别要求响应，如现场无法解决，二线工程师必须到场解决问题</w:t>
            </w:r>
          </w:p>
          <w:p w14:paraId="37F5C929">
            <w:pPr>
              <w:jc w:val="left"/>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服务请求响应。根据应用系统运行需要而进行的响应服务。</w:t>
            </w:r>
          </w:p>
          <w:p w14:paraId="6833D884">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设备搬迁；</w:t>
            </w:r>
          </w:p>
          <w:p w14:paraId="498E6011">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设备停机演练；</w:t>
            </w:r>
          </w:p>
          <w:p w14:paraId="19970374">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设备清洁维护；</w:t>
            </w:r>
          </w:p>
          <w:p w14:paraId="734695E2">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检查及数据整理；</w:t>
            </w:r>
          </w:p>
          <w:p w14:paraId="4E7EECC0">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系统参数调整；</w:t>
            </w:r>
          </w:p>
          <w:p w14:paraId="293077DD">
            <w:pPr>
              <w:pStyle w:val="33"/>
              <w:widowControl w:val="0"/>
              <w:numPr>
                <w:ilvl w:val="0"/>
                <w:numId w:val="6"/>
              </w:numPr>
              <w:spacing w:line="0" w:lineRule="atLeast"/>
              <w:ind w:left="0" w:leftChars="0" w:firstLine="0" w:firstLineChars="0"/>
              <w:rPr>
                <w:rFonts w:hint="eastAsia" w:ascii="宋体" w:hAnsi="宋体" w:eastAsia="宋体" w:cs="宋体"/>
                <w:b w:val="0"/>
                <w:bCs/>
                <w:sz w:val="21"/>
                <w:szCs w:val="21"/>
              </w:rPr>
            </w:pPr>
            <w:r>
              <w:rPr>
                <w:rFonts w:hint="eastAsia" w:ascii="宋体" w:hAnsi="宋体" w:eastAsia="宋体" w:cs="宋体"/>
                <w:b w:val="0"/>
                <w:bCs/>
                <w:sz w:val="21"/>
                <w:szCs w:val="21"/>
              </w:rPr>
              <w:t>文件系统空间扩容等。</w:t>
            </w:r>
          </w:p>
          <w:p w14:paraId="11D16C97">
            <w:pPr>
              <w:jc w:val="left"/>
              <w:rPr>
                <w:rFonts w:hint="eastAsia" w:ascii="宋体" w:hAnsi="宋体" w:eastAsia="宋体" w:cs="宋体"/>
                <w:b w:val="0"/>
                <w:bCs/>
                <w:kern w:val="0"/>
                <w:sz w:val="21"/>
                <w:szCs w:val="21"/>
              </w:rPr>
            </w:pPr>
            <w:r>
              <w:rPr>
                <w:rFonts w:hint="eastAsia" w:ascii="宋体" w:hAnsi="宋体" w:eastAsia="宋体" w:cs="宋体"/>
                <w:b w:val="0"/>
                <w:bCs/>
                <w:sz w:val="21"/>
                <w:szCs w:val="21"/>
              </w:rPr>
              <w:t>采购人会提前24小时通知，中标人须按要求配合。（7×24小时）</w:t>
            </w:r>
          </w:p>
        </w:tc>
        <w:tc>
          <w:tcPr>
            <w:tcW w:w="1890" w:type="dxa"/>
            <w:shd w:val="clear" w:color="auto" w:fill="auto"/>
            <w:vAlign w:val="center"/>
          </w:tcPr>
          <w:p w14:paraId="2C715D65">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3FCB8125">
            <w:pPr>
              <w:widowControl/>
              <w:jc w:val="center"/>
              <w:rPr>
                <w:rFonts w:hint="eastAsia" w:ascii="宋体" w:hAnsi="宋体" w:eastAsia="宋体" w:cs="宋体"/>
                <w:b w:val="0"/>
                <w:bCs/>
                <w:kern w:val="0"/>
                <w:sz w:val="21"/>
                <w:szCs w:val="21"/>
              </w:rPr>
            </w:pPr>
          </w:p>
        </w:tc>
      </w:tr>
      <w:tr w14:paraId="7F01B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17A8E562">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tc>
        <w:tc>
          <w:tcPr>
            <w:tcW w:w="952" w:type="dxa"/>
            <w:shd w:val="clear" w:color="auto" w:fill="auto"/>
            <w:vAlign w:val="center"/>
          </w:tcPr>
          <w:p w14:paraId="6F70511A">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★存储设备与存储交换机运维服务</w:t>
            </w:r>
          </w:p>
        </w:tc>
        <w:tc>
          <w:tcPr>
            <w:tcW w:w="725" w:type="dxa"/>
            <w:shd w:val="clear" w:color="auto" w:fill="auto"/>
            <w:vAlign w:val="center"/>
          </w:tcPr>
          <w:p w14:paraId="086D9682">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3D851A85">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一、远程技术支持服务</w:t>
            </w:r>
          </w:p>
          <w:p w14:paraId="7B9E4587">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提供7×24小时的电话技术支持服务，内容包括技术咨询及系统故障处理。</w:t>
            </w:r>
          </w:p>
          <w:p w14:paraId="7FEC7711">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技术咨询服务的内容包括系统技术咨询，系统改进意见，研究解决技术难题等。</w:t>
            </w:r>
          </w:p>
          <w:p w14:paraId="0DDE99DC">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在出现系统故障的情况下，通过远程支持方式进行系统故障隔离，提交系统故障报告，直至解决系统故障等。</w:t>
            </w:r>
          </w:p>
          <w:p w14:paraId="46136854">
            <w:pPr>
              <w:pStyle w:val="3"/>
              <w:spacing w:line="240" w:lineRule="auto"/>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系统运行日常技术支持服务由专门的技术工程师负责，随时解决系统运行中出现的任何技术问题。</w:t>
            </w:r>
          </w:p>
          <w:p w14:paraId="79DA09E1">
            <w:pPr>
              <w:rPr>
                <w:rFonts w:hint="eastAsia" w:ascii="宋体" w:hAnsi="宋体" w:eastAsia="宋体" w:cs="宋体"/>
                <w:b/>
                <w:bCs w:val="0"/>
                <w:sz w:val="21"/>
                <w:szCs w:val="21"/>
              </w:rPr>
            </w:pPr>
            <w:r>
              <w:rPr>
                <w:rFonts w:hint="eastAsia" w:ascii="宋体" w:hAnsi="宋体" w:eastAsia="宋体" w:cs="宋体"/>
                <w:b/>
                <w:bCs w:val="0"/>
                <w:sz w:val="21"/>
                <w:szCs w:val="21"/>
              </w:rPr>
              <w:t>二、定期维护</w:t>
            </w:r>
          </w:p>
          <w:p w14:paraId="3BAC3B7B">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1.</w:t>
            </w:r>
            <w:r>
              <w:rPr>
                <w:rFonts w:hint="eastAsia" w:ascii="宋体" w:hAnsi="宋体" w:eastAsia="宋体" w:cs="宋体"/>
                <w:b w:val="0"/>
                <w:bCs/>
                <w:sz w:val="21"/>
                <w:szCs w:val="21"/>
              </w:rPr>
              <w:t>在整个系统运维服务过程中，对于7×24服务的客户，公司派富有经验的工程师深入用户所在地，专门负责运维支撑系统运行情况监视，及时发现问题、解决问题。</w:t>
            </w:r>
          </w:p>
          <w:p w14:paraId="603D1EFA">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2.</w:t>
            </w:r>
            <w:r>
              <w:rPr>
                <w:rFonts w:hint="eastAsia" w:ascii="宋体" w:hAnsi="宋体" w:eastAsia="宋体" w:cs="宋体"/>
                <w:b w:val="0"/>
                <w:bCs/>
                <w:sz w:val="21"/>
                <w:szCs w:val="21"/>
              </w:rPr>
              <w:t>对所维护的系统，定期（每个星期）进行现场检测，并对相关资源提出替换或改正意见。</w:t>
            </w:r>
          </w:p>
          <w:p w14:paraId="0C78F4A1">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在维护过程中，主要由系统维护与客户支持人员来完成，同时对客户方技术人员进行现场培训。</w:t>
            </w:r>
          </w:p>
          <w:p w14:paraId="649D0672">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4.</w:t>
            </w:r>
            <w:r>
              <w:rPr>
                <w:rFonts w:hint="eastAsia" w:ascii="宋体" w:hAnsi="宋体" w:eastAsia="宋体" w:cs="宋体"/>
                <w:b w:val="0"/>
                <w:bCs/>
                <w:sz w:val="21"/>
                <w:szCs w:val="21"/>
              </w:rPr>
              <w:t>对于系统维护过程中在其它某一节点发现的带有普遍性的问题和软件错误等，我公司将及时通知用户做好预防工作，并提供解决方法。</w:t>
            </w:r>
          </w:p>
          <w:p w14:paraId="1AB757AC">
            <w:pPr>
              <w:rPr>
                <w:rFonts w:hint="eastAsia" w:ascii="宋体" w:hAnsi="宋体" w:eastAsia="宋体" w:cs="宋体"/>
                <w:b/>
                <w:bCs w:val="0"/>
                <w:sz w:val="21"/>
                <w:szCs w:val="21"/>
              </w:rPr>
            </w:pPr>
            <w:r>
              <w:rPr>
                <w:rFonts w:hint="eastAsia" w:ascii="宋体" w:hAnsi="宋体" w:eastAsia="宋体" w:cs="宋体"/>
                <w:b/>
                <w:bCs w:val="0"/>
                <w:sz w:val="21"/>
                <w:szCs w:val="21"/>
              </w:rPr>
              <w:t>三、系统故障服务</w:t>
            </w:r>
          </w:p>
          <w:p w14:paraId="06AFCE01">
            <w:pPr>
              <w:pStyle w:val="3"/>
              <w:spacing w:line="240" w:lineRule="auto"/>
              <w:rPr>
                <w:rFonts w:hint="eastAsia" w:ascii="宋体" w:hAnsi="宋体" w:eastAsia="宋体" w:cs="宋体"/>
                <w:b w:val="0"/>
                <w:bCs/>
                <w:sz w:val="21"/>
                <w:szCs w:val="21"/>
              </w:rPr>
            </w:pPr>
            <w:r>
              <w:rPr>
                <w:rFonts w:hint="eastAsia" w:ascii="宋体" w:hAnsi="宋体" w:eastAsia="宋体" w:cs="宋体"/>
                <w:b w:val="0"/>
                <w:bCs/>
                <w:sz w:val="21"/>
                <w:szCs w:val="21"/>
              </w:rPr>
              <w:t>当系统因某种原因导致出现系统故障，我们将提供快捷服务，解决系统故障，把用户的损失降到最低。对用户的系统故障服务做以下的具体安排和承诺：</w:t>
            </w:r>
          </w:p>
          <w:p w14:paraId="6202DE07">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1.</w:t>
            </w:r>
            <w:r>
              <w:rPr>
                <w:rFonts w:hint="eastAsia" w:ascii="宋体" w:hAnsi="宋体" w:eastAsia="宋体" w:cs="宋体"/>
                <w:b w:val="0"/>
                <w:bCs/>
                <w:sz w:val="21"/>
                <w:szCs w:val="21"/>
              </w:rPr>
              <w:t>当系统发生重大系统故障时，承诺30分钟内响应，在1个小时内到达现场，24小时内解决问题。</w:t>
            </w:r>
          </w:p>
          <w:p w14:paraId="232329B7">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2.</w:t>
            </w:r>
            <w:r>
              <w:rPr>
                <w:rFonts w:hint="eastAsia" w:ascii="宋体" w:hAnsi="宋体" w:eastAsia="宋体" w:cs="宋体"/>
                <w:b w:val="0"/>
                <w:bCs/>
                <w:sz w:val="21"/>
                <w:szCs w:val="21"/>
              </w:rPr>
              <w:t>对发生的系统故障能够及时找出原因告诉用户，并给出系统的调整方案，避免此类系统故障的再度发生。</w:t>
            </w:r>
          </w:p>
          <w:p w14:paraId="52E2B932">
            <w:pPr>
              <w:pStyle w:val="3"/>
              <w:spacing w:line="240" w:lineRule="auto"/>
              <w:rPr>
                <w:rFonts w:hint="eastAsia" w:ascii="宋体" w:hAnsi="宋体" w:eastAsia="宋体" w:cs="宋体"/>
                <w:b w:val="0"/>
                <w:bCs/>
                <w:sz w:val="21"/>
                <w:szCs w:val="21"/>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如有必要，可对用户做系统故障解决办法的培训。</w:t>
            </w:r>
          </w:p>
        </w:tc>
        <w:tc>
          <w:tcPr>
            <w:tcW w:w="1890" w:type="dxa"/>
            <w:shd w:val="clear" w:color="auto" w:fill="auto"/>
            <w:vAlign w:val="center"/>
          </w:tcPr>
          <w:p w14:paraId="2CDA9463">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264EADF0">
            <w:pPr>
              <w:widowControl/>
              <w:jc w:val="center"/>
              <w:rPr>
                <w:rFonts w:hint="eastAsia" w:ascii="宋体" w:hAnsi="宋体" w:eastAsia="宋体" w:cs="宋体"/>
                <w:b w:val="0"/>
                <w:bCs/>
                <w:kern w:val="0"/>
                <w:sz w:val="21"/>
                <w:szCs w:val="21"/>
              </w:rPr>
            </w:pPr>
          </w:p>
        </w:tc>
      </w:tr>
      <w:tr w14:paraId="1C93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54796013">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5</w:t>
            </w:r>
          </w:p>
        </w:tc>
        <w:tc>
          <w:tcPr>
            <w:tcW w:w="952" w:type="dxa"/>
            <w:shd w:val="clear" w:color="auto" w:fill="auto"/>
            <w:vAlign w:val="center"/>
          </w:tcPr>
          <w:p w14:paraId="584D531C">
            <w:pPr>
              <w:widowControl/>
              <w:jc w:val="center"/>
              <w:rPr>
                <w:rFonts w:hint="eastAsia" w:ascii="宋体" w:hAnsi="宋体" w:eastAsia="宋体" w:cs="宋体"/>
                <w:b w:val="0"/>
                <w:bCs/>
                <w:color w:val="auto"/>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auto"/>
                <w:kern w:val="0"/>
                <w:sz w:val="21"/>
                <w:szCs w:val="21"/>
                <w:lang w:val="en-US" w:eastAsia="zh-CN"/>
              </w:rPr>
              <w:t>协助</w:t>
            </w:r>
            <w:r>
              <w:rPr>
                <w:rFonts w:hint="eastAsia" w:ascii="宋体" w:hAnsi="宋体" w:eastAsia="宋体" w:cs="宋体"/>
                <w:b w:val="0"/>
                <w:bCs/>
                <w:color w:val="auto"/>
                <w:kern w:val="0"/>
                <w:sz w:val="21"/>
                <w:szCs w:val="21"/>
              </w:rPr>
              <w:t>等保测评服务</w:t>
            </w:r>
          </w:p>
        </w:tc>
        <w:tc>
          <w:tcPr>
            <w:tcW w:w="725" w:type="dxa"/>
            <w:shd w:val="clear" w:color="auto" w:fill="auto"/>
            <w:vAlign w:val="center"/>
          </w:tcPr>
          <w:p w14:paraId="3D0ABE7A">
            <w:pPr>
              <w:jc w:val="center"/>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定制</w:t>
            </w:r>
          </w:p>
        </w:tc>
        <w:tc>
          <w:tcPr>
            <w:tcW w:w="4548" w:type="dxa"/>
            <w:shd w:val="clear" w:color="auto" w:fill="auto"/>
            <w:vAlign w:val="center"/>
          </w:tcPr>
          <w:p w14:paraId="48742BAC">
            <w:pPr>
              <w:jc w:val="both"/>
              <w:rPr>
                <w:rFonts w:hint="eastAsia" w:ascii="宋体" w:hAnsi="宋体" w:eastAsia="宋体" w:cs="宋体"/>
                <w:b/>
                <w:bCs w:val="0"/>
                <w:kern w:val="0"/>
                <w:sz w:val="21"/>
                <w:szCs w:val="21"/>
                <w:highlight w:val="none"/>
                <w:lang w:eastAsia="zh-CN"/>
              </w:rPr>
            </w:pPr>
            <w:r>
              <w:rPr>
                <w:rFonts w:hint="eastAsia" w:ascii="宋体" w:hAnsi="宋体" w:eastAsia="宋体" w:cs="宋体"/>
                <w:b/>
                <w:bCs w:val="0"/>
                <w:kern w:val="0"/>
                <w:sz w:val="21"/>
                <w:szCs w:val="21"/>
                <w:highlight w:val="none"/>
                <w:lang w:val="en-US" w:eastAsia="zh-CN"/>
              </w:rPr>
              <w:t>协助</w:t>
            </w:r>
            <w:r>
              <w:rPr>
                <w:rFonts w:hint="eastAsia" w:ascii="宋体" w:hAnsi="宋体" w:eastAsia="宋体" w:cs="宋体"/>
                <w:b/>
                <w:bCs w:val="0"/>
                <w:kern w:val="0"/>
                <w:sz w:val="21"/>
                <w:szCs w:val="21"/>
                <w:highlight w:val="none"/>
              </w:rPr>
              <w:t>等保预测评服务</w:t>
            </w:r>
          </w:p>
          <w:p w14:paraId="057406D0">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1</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评估目的</w:t>
            </w:r>
          </w:p>
          <w:p w14:paraId="77B4FFAB">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对信息系统进行安全等级评估是国家推行等级保护制度的一个重要环节，也是对信息系统进行安全建设和管理的重要组成部分。</w:t>
            </w:r>
          </w:p>
          <w:p w14:paraId="0D7D09C5">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等级评估不同于按照等级保护要求进行的等保差距分析。风险评估的目标是深入、详细地检查信息系统的安全风险状况，而差距分析则是按照等保的所有要求进行符合性检查，检查信息系统现状与国家等保要求之间的符合程度。可以说，风险评估的结果更能体现是客户信息系统技术层面的安全现状，比差距分析结果在技术上更加深入。风险评估的结果和差距分析结果都是整改建议方案的输入。</w:t>
            </w:r>
          </w:p>
          <w:p w14:paraId="1B746C0F">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通过专业的等级评估服务，协助用户完成以下的目标：</w:t>
            </w:r>
          </w:p>
          <w:p w14:paraId="30E20FD4">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了解信息系统的管理、网络和系统安全现状；</w:t>
            </w:r>
          </w:p>
          <w:p w14:paraId="7EDC34A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确定可能对资产造成危害的威胁；</w:t>
            </w:r>
          </w:p>
          <w:p w14:paraId="06C6A46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确定威胁实施的可能性；</w:t>
            </w:r>
          </w:p>
          <w:p w14:paraId="4F89FEF8">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lang w:val="en-US" w:eastAsia="zh-CN" w:bidi="ar-SA"/>
              </w:rPr>
            </w:pPr>
            <w:r>
              <w:rPr>
                <w:rFonts w:hint="eastAsia" w:ascii="宋体" w:hAnsi="宋体" w:eastAsia="宋体" w:cs="宋体"/>
                <w:b w:val="0"/>
                <w:bCs/>
                <w:kern w:val="0"/>
                <w:sz w:val="21"/>
                <w:szCs w:val="21"/>
                <w:highlight w:val="none"/>
                <w:lang w:val="en-US" w:eastAsia="zh-CN" w:bidi="ar-SA"/>
              </w:rPr>
              <w:t>对可能受到威胁影响的资产确定其价值、敏感性和严重性，以及相应的级别，确定哪些资产是最重要的；</w:t>
            </w:r>
          </w:p>
          <w:p w14:paraId="0A89A892">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对最重要的、最敏感的资产，确定一旦威胁发生其潜在的损失或破坏；</w:t>
            </w:r>
          </w:p>
          <w:p w14:paraId="7E963B3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明确信息系统的已有安全措施的有效性；</w:t>
            </w:r>
          </w:p>
          <w:p w14:paraId="0EB14C3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明晰信息系统的安全管理需求。</w:t>
            </w:r>
          </w:p>
          <w:p w14:paraId="27FAF6E3">
            <w:pPr>
              <w:pStyle w:val="33"/>
              <w:widowControl w:val="0"/>
              <w:numPr>
                <w:ilvl w:val="0"/>
                <w:numId w:val="0"/>
              </w:numPr>
              <w:spacing w:line="0" w:lineRule="atLeast"/>
              <w:ind w:leftChars="0"/>
              <w:jc w:val="both"/>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评估内容</w:t>
            </w:r>
          </w:p>
          <w:p w14:paraId="44C88CB5">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资产识别与赋值</w:t>
            </w:r>
          </w:p>
          <w:p w14:paraId="4CADE9F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主机安全性评估</w:t>
            </w:r>
          </w:p>
          <w:p w14:paraId="0FF0505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数据库安全性评估</w:t>
            </w:r>
          </w:p>
          <w:p w14:paraId="577EEB95">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安全设备评估</w:t>
            </w:r>
          </w:p>
          <w:p w14:paraId="6075C14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现场风险评估用到的主要评估方法包括：</w:t>
            </w:r>
          </w:p>
          <w:p w14:paraId="1986F59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漏洞扫描</w:t>
            </w:r>
          </w:p>
          <w:p w14:paraId="5FBE621D">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控制台审计</w:t>
            </w:r>
          </w:p>
          <w:p w14:paraId="270B76FC">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技术访谈</w:t>
            </w:r>
          </w:p>
          <w:p w14:paraId="0A4988E7">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3</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评估分析</w:t>
            </w:r>
          </w:p>
          <w:p w14:paraId="432AB933">
            <w:pPr>
              <w:jc w:val="both"/>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根据现场收集的信息及对这些信息的分析，评估小组形成定级信息系统的弱点评估报告、风险评估报告等文档，使客户充分了解信息系统存在的风险，作为等保差距分析的一项重要输入，并作为后续整改建设的重要依据。</w:t>
            </w:r>
          </w:p>
        </w:tc>
        <w:tc>
          <w:tcPr>
            <w:tcW w:w="1890" w:type="dxa"/>
            <w:shd w:val="clear" w:color="auto" w:fill="auto"/>
            <w:vAlign w:val="center"/>
          </w:tcPr>
          <w:p w14:paraId="6AAD3C0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1190" w:type="dxa"/>
            <w:shd w:val="clear" w:color="auto" w:fill="auto"/>
            <w:vAlign w:val="center"/>
          </w:tcPr>
          <w:p w14:paraId="2718E840">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项</w:t>
            </w:r>
          </w:p>
        </w:tc>
      </w:tr>
      <w:tr w14:paraId="418BE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589F9BB5">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c>
          <w:tcPr>
            <w:tcW w:w="952" w:type="dxa"/>
            <w:shd w:val="clear" w:color="auto" w:fill="auto"/>
            <w:vAlign w:val="center"/>
          </w:tcPr>
          <w:p w14:paraId="17DFFC06">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★网络安全事件应急响应服务</w:t>
            </w:r>
          </w:p>
        </w:tc>
        <w:tc>
          <w:tcPr>
            <w:tcW w:w="725" w:type="dxa"/>
            <w:shd w:val="clear" w:color="auto" w:fill="auto"/>
            <w:vAlign w:val="center"/>
          </w:tcPr>
          <w:p w14:paraId="02B9A55F">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02A3CFF2">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一、</w:t>
            </w:r>
            <w:r>
              <w:rPr>
                <w:rFonts w:hint="eastAsia" w:ascii="宋体" w:hAnsi="宋体" w:eastAsia="宋体" w:cs="宋体"/>
                <w:b/>
                <w:bCs w:val="0"/>
                <w:sz w:val="21"/>
                <w:szCs w:val="21"/>
                <w:highlight w:val="none"/>
              </w:rPr>
              <w:t>服务目标</w:t>
            </w:r>
          </w:p>
          <w:p w14:paraId="45C525C0">
            <w:p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确保桂林市人民医院的IT应急事件能够快速响应和准确诊断，使信息系统迅速回复，确保桂林市人民医院信息系统网络安全事件导致的损失最小化。</w:t>
            </w:r>
          </w:p>
          <w:p w14:paraId="69BF3264">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二、</w:t>
            </w:r>
            <w:r>
              <w:rPr>
                <w:rFonts w:hint="eastAsia" w:ascii="宋体" w:hAnsi="宋体" w:eastAsia="宋体" w:cs="宋体"/>
                <w:b/>
                <w:bCs w:val="0"/>
                <w:sz w:val="21"/>
                <w:szCs w:val="21"/>
                <w:highlight w:val="none"/>
              </w:rPr>
              <w:t>服务范围</w:t>
            </w:r>
          </w:p>
          <w:p w14:paraId="6380C708">
            <w:p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桂林市人民医院信息系统发生的信息安全突发事件。</w:t>
            </w:r>
          </w:p>
          <w:p w14:paraId="35AAAE48">
            <w:pPr>
              <w:suppressAutoHyphens/>
              <w:rPr>
                <w:rFonts w:hint="eastAsia" w:ascii="宋体" w:hAnsi="宋体" w:eastAsia="宋体" w:cs="宋体"/>
                <w:b/>
                <w:bCs w:val="0"/>
                <w:sz w:val="21"/>
                <w:szCs w:val="21"/>
                <w:highlight w:val="none"/>
              </w:rPr>
            </w:pPr>
            <w:r>
              <w:rPr>
                <w:rFonts w:hint="eastAsia" w:ascii="宋体" w:hAnsi="宋体" w:cs="宋体"/>
                <w:b/>
                <w:bCs w:val="0"/>
                <w:sz w:val="21"/>
                <w:szCs w:val="21"/>
                <w:highlight w:val="none"/>
                <w:lang w:val="en-US" w:eastAsia="zh-CN"/>
              </w:rPr>
              <w:t>三、</w:t>
            </w:r>
            <w:r>
              <w:rPr>
                <w:rFonts w:hint="eastAsia" w:ascii="宋体" w:hAnsi="宋体" w:eastAsia="宋体" w:cs="宋体"/>
                <w:b/>
                <w:bCs w:val="0"/>
                <w:sz w:val="21"/>
                <w:szCs w:val="21"/>
                <w:highlight w:val="none"/>
              </w:rPr>
              <w:t>服务内容</w:t>
            </w:r>
          </w:p>
          <w:p w14:paraId="23E0322C">
            <w:pPr>
              <w:suppressAutoHyphens/>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1.</w:t>
            </w:r>
            <w:r>
              <w:rPr>
                <w:rFonts w:hint="eastAsia" w:ascii="宋体" w:hAnsi="宋体" w:eastAsia="宋体" w:cs="宋体"/>
                <w:b w:val="0"/>
                <w:bCs/>
                <w:sz w:val="21"/>
                <w:szCs w:val="21"/>
                <w:highlight w:val="none"/>
              </w:rPr>
              <w:t>需要处理的紧急安全事件包括：</w:t>
            </w:r>
          </w:p>
          <w:p w14:paraId="3F34AC7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系统性能严重下降，或者当机，导致系统无法正常运行；</w:t>
            </w:r>
          </w:p>
          <w:p w14:paraId="7F81DE5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网络性能严重下降，或者当机，导致系统无法正常运行；</w:t>
            </w:r>
          </w:p>
          <w:p w14:paraId="175A99A3">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非授权访问，通过入侵的方式进入到未被授权访问的网络中，而导致数据信息泄漏；</w:t>
            </w:r>
          </w:p>
          <w:p w14:paraId="7A5C19F2">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信息泄密，数据在传输中因数据被截取、篡改而造成信息的更改；</w:t>
            </w:r>
          </w:p>
          <w:p w14:paraId="0F2B3064">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拒绝服务，正常用户不能正常访问服务器提供的相关服务；</w:t>
            </w:r>
          </w:p>
          <w:p w14:paraId="746C9062">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大面积感染计算机病毒或蠕虫；</w:t>
            </w:r>
          </w:p>
          <w:p w14:paraId="0EACB258">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设备故障导致网络或系统崩溃；</w:t>
            </w:r>
          </w:p>
          <w:p w14:paraId="0236F97B">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误操作导致网络或系统崩溃；</w:t>
            </w:r>
          </w:p>
          <w:p w14:paraId="72ACB4E2">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业务中断</w:t>
            </w:r>
          </w:p>
          <w:p w14:paraId="14D3568A">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大规模病毒爆发</w:t>
            </w:r>
          </w:p>
          <w:p w14:paraId="10B16DF6">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网络瘫痪</w:t>
            </w:r>
          </w:p>
          <w:p w14:paraId="3CDF5935">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rPr>
            </w:pPr>
            <w:r>
              <w:rPr>
                <w:rFonts w:hint="eastAsia" w:ascii="宋体" w:hAnsi="宋体" w:eastAsia="宋体" w:cs="宋体"/>
                <w:b w:val="0"/>
                <w:bCs/>
                <w:sz w:val="21"/>
                <w:szCs w:val="21"/>
              </w:rPr>
              <w:t>主机或网络异常事件</w:t>
            </w:r>
          </w:p>
          <w:p w14:paraId="22BB32AE">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数据丢失</w:t>
            </w:r>
          </w:p>
          <w:p w14:paraId="52FC3591">
            <w:pPr>
              <w:suppressAutoHyphens/>
              <w:rPr>
                <w:rFonts w:hint="eastAsia" w:ascii="宋体" w:hAnsi="宋体" w:eastAsia="宋体" w:cs="宋体"/>
                <w:b w:val="0"/>
                <w:bCs/>
                <w:sz w:val="21"/>
                <w:szCs w:val="21"/>
                <w:highlight w:val="none"/>
              </w:rPr>
            </w:pPr>
            <w:r>
              <w:rPr>
                <w:rFonts w:hint="eastAsia" w:ascii="宋体" w:hAnsi="宋体" w:cs="宋体"/>
                <w:b w:val="0"/>
                <w:bCs/>
                <w:sz w:val="21"/>
                <w:szCs w:val="21"/>
                <w:highlight w:val="none"/>
                <w:lang w:val="en-US" w:eastAsia="zh-CN"/>
              </w:rPr>
              <w:t>2.</w:t>
            </w:r>
            <w:r>
              <w:rPr>
                <w:rFonts w:hint="eastAsia" w:ascii="宋体" w:hAnsi="宋体" w:eastAsia="宋体" w:cs="宋体"/>
                <w:b w:val="0"/>
                <w:bCs/>
                <w:sz w:val="21"/>
                <w:szCs w:val="21"/>
                <w:highlight w:val="none"/>
              </w:rPr>
              <w:t>应急响应服务主要包括以下内容：</w:t>
            </w:r>
          </w:p>
          <w:p w14:paraId="6A2BE19F">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排查故障，隔离关键数据；</w:t>
            </w:r>
          </w:p>
          <w:p w14:paraId="56EE5E04">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攻击手段分析，提供应急方案或工具软件；</w:t>
            </w:r>
          </w:p>
          <w:p w14:paraId="08FDA968">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定位攻击来源，提出安全建议；</w:t>
            </w:r>
          </w:p>
          <w:p w14:paraId="7D7D79D0">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数据及网络业务恢复。</w:t>
            </w:r>
          </w:p>
          <w:p w14:paraId="3D0FB586">
            <w:pPr>
              <w:numPr>
                <w:ilvl w:val="0"/>
                <w:numId w:val="7"/>
              </w:numPr>
              <w:suppressAutoHyphens/>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提供的应急响应服务方式：</w:t>
            </w:r>
          </w:p>
          <w:p w14:paraId="0C774312">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远程响应和现场服务，在处理紧急事件时，通常先尝试通过远程接入的方式定位并解决问题，如果条件不允许或不能解决问题，将尽可能快的赶赴事件现场进行处理。</w:t>
            </w:r>
          </w:p>
          <w:p w14:paraId="1E4D6711">
            <w:pPr>
              <w:pStyle w:val="33"/>
              <w:widowControl w:val="0"/>
              <w:numPr>
                <w:ilvl w:val="0"/>
                <w:numId w:val="6"/>
              </w:numPr>
              <w:spacing w:line="0" w:lineRule="atLeast"/>
              <w:ind w:left="0" w:leftChars="0" w:firstLine="0" w:firstLineChars="0"/>
              <w:jc w:val="both"/>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为桂林市人民医院的突发安全事件提供7×24小时的电话技术支持，在工作时间内半小时响应，4小时内到达现场，非工作时间内8小时到达现场。</w:t>
            </w:r>
          </w:p>
          <w:p w14:paraId="1A77A72C">
            <w:pPr>
              <w:pStyle w:val="33"/>
              <w:widowControl w:val="0"/>
              <w:numPr>
                <w:ilvl w:val="0"/>
                <w:numId w:val="6"/>
              </w:numPr>
              <w:spacing w:line="0" w:lineRule="atLeast"/>
              <w:ind w:left="0" w:leftChars="0" w:firstLine="0" w:firstLineChars="0"/>
              <w:jc w:val="both"/>
              <w:rPr>
                <w:rFonts w:hint="eastAsia" w:ascii="宋体" w:hAnsi="宋体" w:eastAsia="宋体" w:cs="宋体"/>
                <w:b w:val="0"/>
                <w:bCs/>
                <w:kern w:val="0"/>
                <w:sz w:val="21"/>
                <w:szCs w:val="21"/>
                <w:highlight w:val="none"/>
              </w:rPr>
            </w:pPr>
            <w:r>
              <w:rPr>
                <w:rFonts w:hint="eastAsia" w:ascii="宋体" w:hAnsi="宋体" w:eastAsia="宋体" w:cs="宋体"/>
                <w:b w:val="0"/>
                <w:bCs/>
                <w:sz w:val="21"/>
                <w:szCs w:val="21"/>
                <w:highlight w:val="none"/>
              </w:rPr>
              <w:t>中标方管理层领导须熟悉采购人信息系统和网络安全情况，发生紧急情况时，中标方须派出管理层领导到达现场，进行资源调度和应急保障。</w:t>
            </w:r>
          </w:p>
        </w:tc>
        <w:tc>
          <w:tcPr>
            <w:tcW w:w="1890" w:type="dxa"/>
            <w:shd w:val="clear" w:color="auto" w:fill="auto"/>
            <w:vAlign w:val="center"/>
          </w:tcPr>
          <w:p w14:paraId="3D558B87">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44D48881">
            <w:pPr>
              <w:widowControl/>
              <w:jc w:val="center"/>
              <w:rPr>
                <w:rFonts w:hint="eastAsia" w:ascii="宋体" w:hAnsi="宋体" w:eastAsia="宋体" w:cs="宋体"/>
                <w:b w:val="0"/>
                <w:bCs/>
                <w:kern w:val="0"/>
                <w:sz w:val="21"/>
                <w:szCs w:val="21"/>
              </w:rPr>
            </w:pPr>
          </w:p>
        </w:tc>
      </w:tr>
      <w:tr w14:paraId="5DF7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253C5964">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7</w:t>
            </w:r>
          </w:p>
        </w:tc>
        <w:tc>
          <w:tcPr>
            <w:tcW w:w="952" w:type="dxa"/>
            <w:shd w:val="clear" w:color="auto" w:fill="auto"/>
            <w:vAlign w:val="center"/>
          </w:tcPr>
          <w:p w14:paraId="6F01F27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★安全培训服务</w:t>
            </w:r>
          </w:p>
        </w:tc>
        <w:tc>
          <w:tcPr>
            <w:tcW w:w="725" w:type="dxa"/>
            <w:shd w:val="clear" w:color="auto" w:fill="auto"/>
            <w:vAlign w:val="center"/>
          </w:tcPr>
          <w:p w14:paraId="361A994A">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551AC2C8">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安全培训服务内容</w:t>
            </w:r>
          </w:p>
          <w:p w14:paraId="70A59F49">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为桂林市人民医院定制编写网络安全态势、网络安全技术培训课程。安全培训是增强信息系统使用人员、IT 维护人员和安全管理人员的安全意识、技能和知识的有效途径和方式。通过对不同层面人员有针对性的培训，可以逐渐提高员工的安全意识和安全技能，使之能够符合相关信息安全工作岗位的能力要求，降低由于人为原因引发的安全风险。通过人员的培训和教育可以解决信息安全人才少、人员数量和技能都存在差距的问题，从而全面提高桂林市人民医院整体的信息安全水平。</w:t>
            </w:r>
          </w:p>
          <w:p w14:paraId="14A58AA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安全培训须包括以下三类：</w:t>
            </w:r>
          </w:p>
          <w:p w14:paraId="2DDBEC22">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安全意识培训</w:t>
            </w:r>
          </w:p>
          <w:p w14:paraId="61178E3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安全意识培训是针对相关人员的安全培训和教育，目的是加强相关人员的信息安全教育，增强相关信息安全意识和技术水平，降低由于人为原因引发的安全风险，从而整体提高桂林市</w:t>
            </w:r>
            <w:r>
              <w:rPr>
                <w:rFonts w:hint="eastAsia" w:ascii="宋体" w:hAnsi="宋体" w:eastAsia="宋体" w:cs="宋体"/>
                <w:b w:val="0"/>
                <w:bCs/>
                <w:kern w:val="0"/>
                <w:sz w:val="21"/>
                <w:szCs w:val="21"/>
                <w:lang w:eastAsia="zh-CN"/>
              </w:rPr>
              <w:t>人民医院</w:t>
            </w:r>
            <w:r>
              <w:rPr>
                <w:rFonts w:hint="eastAsia" w:ascii="宋体" w:hAnsi="宋体" w:eastAsia="宋体" w:cs="宋体"/>
                <w:b w:val="0"/>
                <w:bCs/>
                <w:kern w:val="0"/>
                <w:sz w:val="21"/>
                <w:szCs w:val="21"/>
              </w:rPr>
              <w:t>整体的信息安全水平。</w:t>
            </w:r>
          </w:p>
          <w:p w14:paraId="60770F8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针对相关人员的安全培训和教育工作，主要包括：</w:t>
            </w:r>
          </w:p>
          <w:p w14:paraId="5D7D16BE">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建立对信息安全的正确认识</w:t>
            </w:r>
          </w:p>
          <w:p w14:paraId="1669A1D4">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信息安全的基本原则和惯例</w:t>
            </w:r>
          </w:p>
          <w:p w14:paraId="6252F9FE">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可能面临的威胁和风险</w:t>
            </w:r>
          </w:p>
          <w:p w14:paraId="01D4D69C">
            <w:pPr>
              <w:pStyle w:val="25"/>
              <w:numPr>
                <w:ilvl w:val="0"/>
                <w:numId w:val="8"/>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养成良好的安全习惯</w:t>
            </w:r>
          </w:p>
          <w:p w14:paraId="5BD83B33">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管理类培训</w:t>
            </w:r>
          </w:p>
          <w:p w14:paraId="3F4D486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管理类培训是针对信息安全管理相关的内容进行的培训。主要目的是在行业内推行、实施已建立的信息安全体系，提高信息安全管理水平。管理类培训应针对不同层面、不同职责、不同岗位的人员分别进行培训。从而达到管理培训有针对性、有步骤、有计划地进行。主要内容包括：</w:t>
            </w:r>
          </w:p>
          <w:p w14:paraId="3D11C16A">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信息安全体系培训</w:t>
            </w:r>
          </w:p>
          <w:p w14:paraId="4D7C381C">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介绍安全体系的概念、目的、结构、内容和方法。</w:t>
            </w:r>
          </w:p>
          <w:p w14:paraId="2CC2DEE3">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 xml:space="preserve">概念和目的 </w:t>
            </w:r>
          </w:p>
          <w:p w14:paraId="48C26993">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安全体系的内容</w:t>
            </w:r>
          </w:p>
          <w:p w14:paraId="735F60BE">
            <w:pPr>
              <w:pStyle w:val="25"/>
              <w:numPr>
                <w:ilvl w:val="0"/>
                <w:numId w:val="9"/>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安全体系的运行和维护</w:t>
            </w:r>
          </w:p>
          <w:p w14:paraId="64BC457D">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技术类培训</w:t>
            </w:r>
          </w:p>
          <w:p w14:paraId="0515EDA0">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技术类培训是针对专职和兼职的信息安全工作人员的培训，其目的主要是提高信息安全工作人员的技术水平和安全素质，能够符合相关信息安全工作岗位的能力要求。主要包括：</w:t>
            </w:r>
          </w:p>
          <w:p w14:paraId="012BBF53">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网络基础设施安全培训</w:t>
            </w:r>
          </w:p>
          <w:p w14:paraId="4C3BB0CF">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主机系统安全培训</w:t>
            </w:r>
          </w:p>
          <w:p w14:paraId="017C515B">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数据库系统安全培训</w:t>
            </w:r>
          </w:p>
          <w:p w14:paraId="26BFCF86">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应用系统安全培训</w:t>
            </w:r>
          </w:p>
          <w:p w14:paraId="79407DCB">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信息系统安全威胁</w:t>
            </w:r>
          </w:p>
          <w:p w14:paraId="096BB23A">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常见信息系统入侵技术</w:t>
            </w:r>
          </w:p>
          <w:p w14:paraId="32FC762A">
            <w:pPr>
              <w:pStyle w:val="25"/>
              <w:numPr>
                <w:ilvl w:val="0"/>
                <w:numId w:val="10"/>
              </w:numPr>
              <w:ind w:left="0" w:leftChars="0" w:firstLine="0" w:firstLineChars="0"/>
              <w:contextualSpacing/>
              <w:rPr>
                <w:rFonts w:hint="eastAsia" w:ascii="宋体" w:hAnsi="宋体" w:eastAsia="宋体" w:cs="宋体"/>
                <w:b w:val="0"/>
                <w:bCs/>
                <w:sz w:val="21"/>
                <w:szCs w:val="21"/>
              </w:rPr>
            </w:pPr>
            <w:r>
              <w:rPr>
                <w:rFonts w:hint="eastAsia" w:ascii="宋体" w:hAnsi="宋体" w:eastAsia="宋体" w:cs="宋体"/>
                <w:b w:val="0"/>
                <w:bCs/>
                <w:sz w:val="21"/>
                <w:szCs w:val="21"/>
              </w:rPr>
              <w:t>信息系统防护体系</w:t>
            </w:r>
          </w:p>
          <w:p w14:paraId="7807A495">
            <w:pPr>
              <w:pStyle w:val="25"/>
              <w:numPr>
                <w:ilvl w:val="0"/>
                <w:numId w:val="10"/>
              </w:numPr>
              <w:ind w:left="0" w:leftChars="0" w:firstLine="0" w:firstLineChars="0"/>
              <w:jc w:val="left"/>
              <w:rPr>
                <w:rFonts w:hint="eastAsia" w:ascii="宋体" w:hAnsi="宋体" w:eastAsia="宋体" w:cs="宋体"/>
                <w:b w:val="0"/>
                <w:bCs/>
                <w:sz w:val="21"/>
                <w:szCs w:val="21"/>
              </w:rPr>
            </w:pPr>
            <w:r>
              <w:rPr>
                <w:rFonts w:hint="eastAsia" w:ascii="宋体" w:hAnsi="宋体" w:eastAsia="宋体" w:cs="宋体"/>
                <w:b w:val="0"/>
                <w:bCs/>
                <w:sz w:val="21"/>
                <w:szCs w:val="21"/>
              </w:rPr>
              <w:t>风险评估与等级保护</w:t>
            </w:r>
          </w:p>
        </w:tc>
        <w:tc>
          <w:tcPr>
            <w:tcW w:w="1890" w:type="dxa"/>
            <w:shd w:val="clear" w:color="auto" w:fill="auto"/>
            <w:vAlign w:val="center"/>
          </w:tcPr>
          <w:p w14:paraId="1413AD03">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3E3EC253">
            <w:pPr>
              <w:widowControl/>
              <w:jc w:val="center"/>
              <w:rPr>
                <w:rFonts w:hint="eastAsia" w:ascii="宋体" w:hAnsi="宋体" w:eastAsia="宋体" w:cs="宋体"/>
                <w:b w:val="0"/>
                <w:bCs/>
                <w:kern w:val="0"/>
                <w:sz w:val="21"/>
                <w:szCs w:val="21"/>
              </w:rPr>
            </w:pPr>
          </w:p>
        </w:tc>
      </w:tr>
      <w:tr w14:paraId="48181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45A2F0AF">
            <w:pPr>
              <w:widowControl/>
              <w:jc w:val="center"/>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952" w:type="dxa"/>
            <w:shd w:val="clear" w:color="auto" w:fill="auto"/>
            <w:vAlign w:val="center"/>
          </w:tcPr>
          <w:p w14:paraId="573148EB">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kern w:val="2"/>
                <w:sz w:val="21"/>
                <w:szCs w:val="21"/>
              </w:rPr>
              <w:t>重要时期保障服务</w:t>
            </w:r>
          </w:p>
        </w:tc>
        <w:tc>
          <w:tcPr>
            <w:tcW w:w="725" w:type="dxa"/>
            <w:shd w:val="clear" w:color="auto" w:fill="auto"/>
            <w:vAlign w:val="center"/>
          </w:tcPr>
          <w:p w14:paraId="2602D02E">
            <w:pPr>
              <w:jc w:val="center"/>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定制</w:t>
            </w:r>
          </w:p>
        </w:tc>
        <w:tc>
          <w:tcPr>
            <w:tcW w:w="4548" w:type="dxa"/>
            <w:shd w:val="clear" w:color="auto" w:fill="auto"/>
            <w:vAlign w:val="center"/>
          </w:tcPr>
          <w:p w14:paraId="6DA281A3">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一、</w:t>
            </w:r>
            <w:r>
              <w:rPr>
                <w:rFonts w:hint="eastAsia" w:ascii="宋体" w:hAnsi="宋体" w:eastAsia="宋体" w:cs="宋体"/>
                <w:b w:val="0"/>
                <w:bCs/>
                <w:color w:val="000000"/>
                <w:kern w:val="2"/>
                <w:sz w:val="21"/>
                <w:szCs w:val="21"/>
              </w:rPr>
              <w:t>服务商须提供特定时期的安全保障服务，内容主要包括特定时期安全值班。</w:t>
            </w:r>
          </w:p>
          <w:p w14:paraId="45A28D86">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kern w:val="2"/>
                <w:sz w:val="21"/>
                <w:szCs w:val="21"/>
                <w:lang w:val="en-US" w:eastAsia="zh-CN"/>
              </w:rPr>
              <w:t>二、</w:t>
            </w:r>
            <w:r>
              <w:rPr>
                <w:rFonts w:hint="eastAsia" w:ascii="宋体" w:hAnsi="宋体" w:eastAsia="宋体" w:cs="宋体"/>
                <w:b w:val="0"/>
                <w:bCs/>
                <w:color w:val="000000"/>
                <w:sz w:val="21"/>
                <w:szCs w:val="21"/>
              </w:rPr>
              <w:t>根据时间表，在特定时期提供安全专家值班表，按照我院需求安排专人远程及驻场值班，确保我院可以在第一时间得到专业支持和应急响应。</w:t>
            </w:r>
          </w:p>
          <w:p w14:paraId="23270287">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sz w:val="21"/>
                <w:szCs w:val="21"/>
                <w:lang w:val="en-US" w:eastAsia="zh-CN"/>
              </w:rPr>
              <w:t>三、</w:t>
            </w:r>
            <w:r>
              <w:rPr>
                <w:rFonts w:hint="eastAsia" w:ascii="宋体" w:hAnsi="宋体" w:eastAsia="宋体" w:cs="宋体"/>
                <w:b w:val="0"/>
                <w:bCs/>
                <w:color w:val="000000"/>
                <w:kern w:val="2"/>
                <w:sz w:val="21"/>
                <w:szCs w:val="21"/>
              </w:rPr>
              <w:t>重大活动期间，应急响应须提升响应级别，紧急故障由人员现场解决，解决时间按照我院对安全应急工作的划分而定，最长不应超过一个小时,如须二线专家解决的，响应时间不得超过10分钟。</w:t>
            </w:r>
          </w:p>
          <w:p w14:paraId="0111637A">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四、</w:t>
            </w:r>
            <w:r>
              <w:rPr>
                <w:rFonts w:hint="eastAsia" w:ascii="宋体" w:hAnsi="宋体" w:eastAsia="宋体" w:cs="宋体"/>
                <w:b w:val="0"/>
                <w:bCs/>
                <w:color w:val="000000"/>
                <w:kern w:val="2"/>
                <w:sz w:val="21"/>
                <w:szCs w:val="21"/>
              </w:rPr>
              <w:t>针对医院上级监管部门下发的风险报告做第一时间的技术确认和响应工作，协助医院完成漏洞的修补、问题的处置及业务的安全加固工作。</w:t>
            </w:r>
          </w:p>
          <w:p w14:paraId="6C224D4F">
            <w:pPr>
              <w:pStyle w:val="25"/>
              <w:numPr>
                <w:ilvl w:val="0"/>
                <w:numId w:val="0"/>
              </w:numPr>
              <w:jc w:val="left"/>
              <w:rPr>
                <w:rFonts w:hint="eastAsia" w:ascii="宋体" w:hAnsi="宋体" w:eastAsia="宋体" w:cs="宋体"/>
                <w:b w:val="0"/>
                <w:bCs/>
                <w:color w:val="000000"/>
                <w:kern w:val="2"/>
                <w:sz w:val="21"/>
                <w:szCs w:val="21"/>
              </w:rPr>
            </w:pPr>
            <w:r>
              <w:rPr>
                <w:rFonts w:hint="eastAsia" w:ascii="宋体" w:hAnsi="宋体" w:cs="宋体"/>
                <w:b w:val="0"/>
                <w:bCs/>
                <w:color w:val="000000"/>
                <w:kern w:val="2"/>
                <w:sz w:val="21"/>
                <w:szCs w:val="21"/>
                <w:lang w:val="en-US" w:eastAsia="zh-CN"/>
              </w:rPr>
              <w:t>五、</w:t>
            </w:r>
            <w:r>
              <w:rPr>
                <w:rFonts w:hint="eastAsia" w:ascii="宋体" w:hAnsi="宋体" w:eastAsia="宋体" w:cs="宋体"/>
                <w:b w:val="0"/>
                <w:bCs/>
                <w:color w:val="000000"/>
                <w:kern w:val="2"/>
                <w:sz w:val="21"/>
                <w:szCs w:val="21"/>
              </w:rPr>
              <w:t>7*24小时业务安全监控平台，包括暴露面监测、漏洞分析、高危漏洞ODAY漏洞检测、可用性监测、专家值守状态、业务篡改处置等功能。</w:t>
            </w:r>
          </w:p>
          <w:p w14:paraId="1464D1C6">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kern w:val="2"/>
                <w:sz w:val="21"/>
                <w:szCs w:val="21"/>
                <w:lang w:val="en-US" w:eastAsia="zh-CN"/>
              </w:rPr>
              <w:t>六、</w:t>
            </w:r>
            <w:r>
              <w:rPr>
                <w:rFonts w:hint="eastAsia" w:ascii="宋体" w:hAnsi="宋体" w:eastAsia="宋体" w:cs="宋体"/>
                <w:b w:val="0"/>
                <w:bCs/>
                <w:color w:val="000000"/>
                <w:kern w:val="2"/>
                <w:sz w:val="21"/>
                <w:szCs w:val="21"/>
                <w:lang w:val="en-US" w:eastAsia="zh-CN"/>
              </w:rPr>
              <w:t>交付成果：</w:t>
            </w:r>
            <w:r>
              <w:rPr>
                <w:rFonts w:hint="eastAsia" w:ascii="宋体" w:hAnsi="宋体" w:eastAsia="宋体" w:cs="宋体"/>
                <w:b w:val="0"/>
                <w:bCs/>
                <w:color w:val="000000"/>
                <w:kern w:val="2"/>
                <w:sz w:val="21"/>
                <w:szCs w:val="21"/>
              </w:rPr>
              <w:t>包括但不限于</w:t>
            </w:r>
          </w:p>
          <w:p w14:paraId="58488B8C">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《特殊时期安全值守服务值班表》；</w:t>
            </w:r>
          </w:p>
          <w:p w14:paraId="4C574699">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2</w:t>
            </w:r>
            <w:r>
              <w:rPr>
                <w:rFonts w:hint="eastAsia" w:cs="宋体"/>
                <w:b w:val="0"/>
                <w:bCs/>
                <w:color w:val="000000"/>
                <w:sz w:val="21"/>
                <w:szCs w:val="21"/>
                <w:lang w:val="en-US" w:eastAsia="zh-CN"/>
              </w:rPr>
              <w:t>.</w:t>
            </w:r>
            <w:r>
              <w:rPr>
                <w:rFonts w:hint="eastAsia" w:ascii="宋体" w:hAnsi="宋体" w:eastAsia="宋体" w:cs="宋体"/>
                <w:b w:val="0"/>
                <w:bCs/>
                <w:color w:val="000000"/>
                <w:sz w:val="21"/>
                <w:szCs w:val="21"/>
              </w:rPr>
              <w:t>《特殊时期安全值守服务总结报告》</w:t>
            </w:r>
          </w:p>
          <w:p w14:paraId="41EA065F">
            <w:pPr>
              <w:adjustRightInd/>
              <w:spacing w:line="300" w:lineRule="exact"/>
              <w:ind w:firstLine="0" w:firstLineChars="0"/>
              <w:jc w:val="both"/>
              <w:textAlignment w:val="auto"/>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七、</w:t>
            </w:r>
            <w:r>
              <w:rPr>
                <w:rFonts w:hint="eastAsia" w:ascii="宋体" w:hAnsi="宋体" w:eastAsia="宋体" w:cs="宋体"/>
                <w:b w:val="0"/>
                <w:bCs/>
                <w:color w:val="000000"/>
                <w:sz w:val="21"/>
                <w:szCs w:val="21"/>
                <w:lang w:val="en-US" w:eastAsia="zh-CN"/>
              </w:rPr>
              <w:t>驻场要求：</w:t>
            </w:r>
          </w:p>
          <w:p w14:paraId="5E874FBD">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人员具有专业的安全运维知识和安全值守经验；</w:t>
            </w:r>
          </w:p>
          <w:p w14:paraId="17591010">
            <w:pPr>
              <w:adjustRightInd/>
              <w:spacing w:line="300" w:lineRule="exact"/>
              <w:ind w:firstLine="0" w:firstLineChars="0"/>
              <w:jc w:val="both"/>
              <w:textAlignment w:val="auto"/>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2.</w:t>
            </w:r>
            <w:r>
              <w:rPr>
                <w:rFonts w:hint="eastAsia" w:ascii="宋体" w:hAnsi="宋体" w:eastAsia="宋体" w:cs="宋体"/>
                <w:b w:val="0"/>
                <w:bCs/>
                <w:color w:val="000000"/>
                <w:sz w:val="21"/>
                <w:szCs w:val="21"/>
              </w:rPr>
              <w:t xml:space="preserve">值守期间全天5×8小时工作制，但须7×24小时响应； </w:t>
            </w:r>
          </w:p>
          <w:p w14:paraId="726E9105">
            <w:pPr>
              <w:pStyle w:val="25"/>
              <w:numPr>
                <w:ilvl w:val="0"/>
                <w:numId w:val="0"/>
              </w:numPr>
              <w:jc w:val="left"/>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3</w:t>
            </w:r>
            <w:r>
              <w:rPr>
                <w:rFonts w:hint="eastAsia" w:cs="宋体"/>
                <w:b w:val="0"/>
                <w:bCs/>
                <w:color w:val="000000"/>
                <w:sz w:val="21"/>
                <w:szCs w:val="21"/>
                <w:lang w:val="en-US" w:eastAsia="zh-CN"/>
              </w:rPr>
              <w:t>.</w:t>
            </w:r>
            <w:r>
              <w:rPr>
                <w:rFonts w:hint="eastAsia" w:ascii="宋体" w:hAnsi="宋体" w:eastAsia="宋体" w:cs="宋体"/>
                <w:b w:val="0"/>
                <w:bCs/>
                <w:color w:val="000000"/>
                <w:sz w:val="21"/>
                <w:szCs w:val="21"/>
              </w:rPr>
              <w:t>详细记录安全值守过程。</w:t>
            </w:r>
          </w:p>
          <w:p w14:paraId="377E5A88">
            <w:pPr>
              <w:pStyle w:val="25"/>
              <w:numPr>
                <w:ilvl w:val="0"/>
                <w:numId w:val="0"/>
              </w:numPr>
              <w:jc w:val="left"/>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八、</w:t>
            </w:r>
            <w:r>
              <w:rPr>
                <w:rFonts w:hint="eastAsia" w:ascii="宋体" w:hAnsi="宋体" w:eastAsia="宋体" w:cs="宋体"/>
                <w:b w:val="0"/>
                <w:bCs/>
                <w:color w:val="000000"/>
                <w:sz w:val="21"/>
                <w:szCs w:val="21"/>
              </w:rPr>
              <w:t>服务年内，按照我院的特殊时期值守需求，提供全年2次的现场特殊时期安全值守服务。</w:t>
            </w:r>
          </w:p>
        </w:tc>
        <w:tc>
          <w:tcPr>
            <w:tcW w:w="1890" w:type="dxa"/>
            <w:shd w:val="clear" w:color="auto" w:fill="auto"/>
            <w:vAlign w:val="center"/>
          </w:tcPr>
          <w:p w14:paraId="6F061903">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6F45D347">
            <w:pPr>
              <w:widowControl/>
              <w:jc w:val="center"/>
              <w:rPr>
                <w:rFonts w:hint="eastAsia" w:ascii="宋体" w:hAnsi="宋体" w:eastAsia="宋体" w:cs="宋体"/>
                <w:b w:val="0"/>
                <w:bCs/>
                <w:kern w:val="0"/>
                <w:sz w:val="21"/>
                <w:szCs w:val="21"/>
              </w:rPr>
            </w:pPr>
          </w:p>
        </w:tc>
      </w:tr>
      <w:tr w14:paraId="3C4E8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2D36FB2E">
            <w:pPr>
              <w:widowControl/>
              <w:jc w:val="center"/>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9</w:t>
            </w:r>
          </w:p>
        </w:tc>
        <w:tc>
          <w:tcPr>
            <w:tcW w:w="952" w:type="dxa"/>
            <w:shd w:val="clear" w:color="auto" w:fill="auto"/>
            <w:vAlign w:val="center"/>
          </w:tcPr>
          <w:p w14:paraId="0BEFEBF8">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★驻场运维服务</w:t>
            </w:r>
          </w:p>
        </w:tc>
        <w:tc>
          <w:tcPr>
            <w:tcW w:w="725" w:type="dxa"/>
            <w:shd w:val="clear" w:color="auto" w:fill="auto"/>
            <w:vAlign w:val="center"/>
          </w:tcPr>
          <w:p w14:paraId="6CD9D189">
            <w:pPr>
              <w:jc w:val="cente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定制</w:t>
            </w:r>
          </w:p>
        </w:tc>
        <w:tc>
          <w:tcPr>
            <w:tcW w:w="4548" w:type="dxa"/>
            <w:shd w:val="clear" w:color="auto" w:fill="auto"/>
            <w:vAlign w:val="center"/>
          </w:tcPr>
          <w:p w14:paraId="2A01DE3E">
            <w:pPr>
              <w:rPr>
                <w:rFonts w:hint="eastAsia" w:ascii="宋体" w:hAnsi="宋体" w:eastAsia="宋体" w:cs="宋体"/>
                <w:b/>
                <w:bCs w:val="0"/>
                <w:kern w:val="0"/>
                <w:sz w:val="21"/>
                <w:szCs w:val="21"/>
                <w:highlight w:val="none"/>
              </w:rPr>
            </w:pPr>
            <w:r>
              <w:rPr>
                <w:rFonts w:hint="eastAsia" w:ascii="宋体" w:hAnsi="宋体" w:eastAsia="宋体" w:cs="宋体"/>
                <w:b/>
                <w:bCs w:val="0"/>
                <w:kern w:val="0"/>
                <w:sz w:val="21"/>
                <w:szCs w:val="21"/>
                <w:highlight w:val="none"/>
              </w:rPr>
              <w:t>一、驻场运维人员要求</w:t>
            </w:r>
          </w:p>
          <w:p w14:paraId="1E5E5909">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服务提供商应承诺为本项目成立服务项目组，项目组服务成员不少于</w:t>
            </w:r>
            <w:r>
              <w:rPr>
                <w:rFonts w:hint="eastAsia" w:ascii="宋体" w:hAnsi="宋体" w:eastAsia="宋体" w:cs="宋体"/>
                <w:b w:val="0"/>
                <w:bCs/>
                <w:kern w:val="0"/>
                <w:sz w:val="21"/>
                <w:szCs w:val="21"/>
                <w:highlight w:val="none"/>
                <w:lang w:val="en-US" w:eastAsia="zh-CN"/>
              </w:rPr>
              <w:t>6</w:t>
            </w:r>
            <w:r>
              <w:rPr>
                <w:rFonts w:hint="eastAsia" w:ascii="宋体" w:hAnsi="宋体" w:eastAsia="宋体" w:cs="宋体"/>
                <w:b w:val="0"/>
                <w:bCs/>
                <w:kern w:val="0"/>
                <w:sz w:val="21"/>
                <w:szCs w:val="21"/>
                <w:highlight w:val="none"/>
              </w:rPr>
              <w:t>人，设备运维服务驻场</w:t>
            </w:r>
            <w:r>
              <w:rPr>
                <w:rFonts w:hint="eastAsia" w:ascii="宋体" w:hAnsi="宋体" w:eastAsia="宋体" w:cs="宋体"/>
                <w:b w:val="0"/>
                <w:bCs/>
                <w:kern w:val="0"/>
                <w:sz w:val="21"/>
                <w:szCs w:val="21"/>
                <w:highlight w:val="none"/>
                <w:lang w:val="en-US" w:eastAsia="zh-CN"/>
              </w:rPr>
              <w:t>2</w:t>
            </w:r>
            <w:r>
              <w:rPr>
                <w:rFonts w:hint="eastAsia" w:ascii="宋体" w:hAnsi="宋体" w:eastAsia="宋体" w:cs="宋体"/>
                <w:b w:val="0"/>
                <w:bCs/>
                <w:kern w:val="0"/>
                <w:sz w:val="21"/>
                <w:szCs w:val="21"/>
                <w:highlight w:val="none"/>
              </w:rPr>
              <w:t>人，二线服务人员不少于4人。项目组协助采购人不断改进安全管理水平，组织、管理本项目所负责的维护服务工作</w:t>
            </w:r>
            <w:r>
              <w:rPr>
                <w:rFonts w:hint="eastAsia" w:ascii="宋体" w:hAnsi="宋体" w:eastAsia="宋体" w:cs="宋体"/>
                <w:b w:val="0"/>
                <w:bCs/>
                <w:kern w:val="0"/>
                <w:sz w:val="21"/>
                <w:szCs w:val="21"/>
                <w:highlight w:val="none"/>
                <w:lang w:eastAsia="zh-CN"/>
              </w:rPr>
              <w:t>，</w:t>
            </w:r>
            <w:r>
              <w:rPr>
                <w:rFonts w:hint="eastAsia" w:ascii="宋体" w:hAnsi="宋体" w:eastAsia="宋体" w:cs="宋体"/>
                <w:b w:val="0"/>
                <w:bCs/>
                <w:kern w:val="0"/>
                <w:sz w:val="21"/>
                <w:szCs w:val="21"/>
                <w:highlight w:val="none"/>
                <w:lang w:val="en-US" w:eastAsia="zh-CN"/>
              </w:rPr>
              <w:t>项目技术人员有</w:t>
            </w:r>
            <w:r>
              <w:rPr>
                <w:rFonts w:hint="eastAsia" w:ascii="宋体" w:hAnsi="宋体" w:eastAsia="宋体" w:cs="宋体"/>
                <w:b w:val="0"/>
                <w:bCs/>
                <w:sz w:val="21"/>
                <w:szCs w:val="21"/>
                <w:highlight w:val="none"/>
                <w:lang w:val="en-US" w:eastAsia="zh-CN"/>
              </w:rPr>
              <w:t>RHCSA软件系统操作</w:t>
            </w:r>
            <w:r>
              <w:rPr>
                <w:rFonts w:hint="eastAsia" w:ascii="宋体" w:hAnsi="宋体" w:eastAsia="宋体" w:cs="宋体"/>
                <w:b w:val="0"/>
                <w:bCs/>
                <w:color w:val="auto"/>
                <w:sz w:val="21"/>
                <w:szCs w:val="21"/>
                <w:highlight w:val="none"/>
              </w:rPr>
              <w:t>工程师</w:t>
            </w:r>
            <w:r>
              <w:rPr>
                <w:rFonts w:hint="eastAsia" w:ascii="宋体" w:hAnsi="宋体" w:eastAsia="宋体" w:cs="宋体"/>
                <w:b w:val="0"/>
                <w:bCs/>
                <w:kern w:val="0"/>
                <w:sz w:val="21"/>
                <w:szCs w:val="21"/>
                <w:highlight w:val="none"/>
              </w:rPr>
              <w:t>。本项目服务小组具体要求如下：</w:t>
            </w:r>
          </w:p>
          <w:p w14:paraId="4F5FE664">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1</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一线驻场运维服务工程师，不少于</w:t>
            </w:r>
            <w:r>
              <w:rPr>
                <w:rFonts w:hint="eastAsia" w:ascii="宋体" w:hAnsi="宋体" w:eastAsia="宋体" w:cs="宋体"/>
                <w:b w:val="0"/>
                <w:bCs/>
                <w:kern w:val="0"/>
                <w:sz w:val="21"/>
                <w:szCs w:val="21"/>
                <w:highlight w:val="none"/>
                <w:lang w:val="en-US" w:eastAsia="zh-CN"/>
              </w:rPr>
              <w:t>2</w:t>
            </w:r>
            <w:r>
              <w:rPr>
                <w:rFonts w:hint="eastAsia" w:ascii="宋体" w:hAnsi="宋体" w:eastAsia="宋体" w:cs="宋体"/>
                <w:b w:val="0"/>
                <w:bCs/>
                <w:kern w:val="0"/>
                <w:sz w:val="21"/>
                <w:szCs w:val="21"/>
                <w:highlight w:val="none"/>
              </w:rPr>
              <w:t>人驻场；</w:t>
            </w:r>
          </w:p>
          <w:p w14:paraId="52CE8B02">
            <w:pPr>
              <w:rPr>
                <w:rFonts w:hint="eastAsia" w:ascii="宋体" w:hAnsi="宋体" w:eastAsia="宋体" w:cs="宋体"/>
                <w:b w:val="0"/>
                <w:bCs/>
                <w:kern w:val="0"/>
                <w:sz w:val="21"/>
                <w:szCs w:val="21"/>
                <w:highlight w:val="none"/>
              </w:rPr>
            </w:pPr>
            <w:r>
              <w:rPr>
                <w:rFonts w:hint="eastAsia" w:ascii="宋体" w:hAnsi="宋体" w:eastAsia="宋体" w:cs="宋体"/>
                <w:b w:val="0"/>
                <w:bCs/>
                <w:kern w:val="0"/>
                <w:sz w:val="21"/>
                <w:szCs w:val="21"/>
                <w:highlight w:val="none"/>
              </w:rPr>
              <w:t>2</w:t>
            </w:r>
            <w:r>
              <w:rPr>
                <w:rFonts w:hint="eastAsia" w:ascii="宋体" w:hAnsi="宋体" w:cs="宋体"/>
                <w:b w:val="0"/>
                <w:bCs/>
                <w:kern w:val="0"/>
                <w:sz w:val="21"/>
                <w:szCs w:val="21"/>
                <w:highlight w:val="none"/>
                <w:lang w:val="en-US" w:eastAsia="zh-CN"/>
              </w:rPr>
              <w:t>.</w:t>
            </w:r>
            <w:r>
              <w:rPr>
                <w:rFonts w:hint="eastAsia" w:ascii="宋体" w:hAnsi="宋体" w:eastAsia="宋体" w:cs="宋体"/>
                <w:b w:val="0"/>
                <w:bCs/>
                <w:kern w:val="0"/>
                <w:sz w:val="21"/>
                <w:szCs w:val="21"/>
                <w:highlight w:val="none"/>
              </w:rPr>
              <w:t>二线支持团队运维服务工程师，不少于4人；</w:t>
            </w:r>
          </w:p>
          <w:p w14:paraId="3033179C">
            <w:pPr>
              <w:pStyle w:val="3"/>
              <w:spacing w:line="240" w:lineRule="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w:t>
            </w:r>
            <w:r>
              <w:rPr>
                <w:rFonts w:hint="eastAsia" w:ascii="宋体" w:hAnsi="宋体" w:cs="宋体"/>
                <w:b w:val="0"/>
                <w:bCs/>
                <w:sz w:val="21"/>
                <w:szCs w:val="21"/>
                <w:highlight w:val="none"/>
                <w:lang w:val="en-US" w:eastAsia="zh-CN"/>
              </w:rPr>
              <w:t>.</w:t>
            </w:r>
            <w:r>
              <w:rPr>
                <w:rFonts w:hint="eastAsia" w:ascii="宋体" w:hAnsi="宋体" w:eastAsia="宋体" w:cs="宋体"/>
                <w:b w:val="0"/>
                <w:bCs/>
                <w:sz w:val="21"/>
                <w:szCs w:val="21"/>
                <w:highlight w:val="none"/>
              </w:rPr>
              <w:t>一线驻场团队运维服务工程师资质要求，不少于1个HC</w:t>
            </w:r>
            <w:r>
              <w:rPr>
                <w:rFonts w:hint="eastAsia" w:ascii="宋体" w:hAnsi="宋体" w:eastAsia="宋体" w:cs="宋体"/>
                <w:b w:val="0"/>
                <w:bCs/>
                <w:sz w:val="21"/>
                <w:szCs w:val="21"/>
                <w:highlight w:val="none"/>
                <w:lang w:val="en-US" w:eastAsia="zh-CN"/>
              </w:rPr>
              <w:t>IE高级</w:t>
            </w:r>
            <w:r>
              <w:rPr>
                <w:rFonts w:hint="eastAsia" w:ascii="宋体" w:hAnsi="宋体" w:eastAsia="宋体" w:cs="宋体"/>
                <w:b w:val="0"/>
                <w:bCs/>
                <w:sz w:val="21"/>
                <w:szCs w:val="21"/>
                <w:highlight w:val="none"/>
              </w:rPr>
              <w:t>认证工程师，</w:t>
            </w:r>
            <w:r>
              <w:rPr>
                <w:rFonts w:hint="eastAsia" w:ascii="宋体" w:hAnsi="宋体" w:eastAsia="宋体" w:cs="宋体"/>
                <w:b w:val="0"/>
                <w:bCs/>
                <w:color w:val="auto"/>
                <w:sz w:val="21"/>
                <w:szCs w:val="21"/>
                <w:highlight w:val="none"/>
              </w:rPr>
              <w:t>不少于2个HCI</w:t>
            </w:r>
            <w:r>
              <w:rPr>
                <w:rFonts w:hint="eastAsia" w:ascii="宋体" w:hAnsi="宋体" w:eastAsia="宋体" w:cs="宋体"/>
                <w:b w:val="0"/>
                <w:bCs/>
                <w:color w:val="auto"/>
                <w:sz w:val="21"/>
                <w:szCs w:val="21"/>
                <w:highlight w:val="none"/>
                <w:lang w:val="en-US" w:eastAsia="zh-CN"/>
              </w:rPr>
              <w:t>P以上</w:t>
            </w:r>
            <w:r>
              <w:rPr>
                <w:rFonts w:hint="eastAsia" w:ascii="宋体" w:hAnsi="宋体" w:eastAsia="宋体" w:cs="宋体"/>
                <w:b w:val="0"/>
                <w:bCs/>
                <w:color w:val="auto"/>
                <w:sz w:val="21"/>
                <w:szCs w:val="21"/>
                <w:highlight w:val="none"/>
              </w:rPr>
              <w:t>路由交换认证工程师；</w:t>
            </w:r>
            <w:r>
              <w:rPr>
                <w:rFonts w:hint="eastAsia" w:ascii="宋体" w:hAnsi="宋体" w:eastAsia="宋体" w:cs="宋体"/>
                <w:b w:val="0"/>
                <w:bCs/>
                <w:sz w:val="21"/>
                <w:szCs w:val="21"/>
                <w:highlight w:val="none"/>
              </w:rPr>
              <w:t>二线支持团队运维服务工程师资质要求，不少于</w:t>
            </w:r>
            <w:r>
              <w:rPr>
                <w:rFonts w:hint="eastAsia" w:ascii="宋体" w:hAnsi="宋体" w:eastAsia="宋体" w:cs="宋体"/>
                <w:b w:val="0"/>
                <w:bCs/>
                <w:sz w:val="21"/>
                <w:szCs w:val="21"/>
                <w:highlight w:val="none"/>
                <w:lang w:val="en-US" w:eastAsia="zh-CN"/>
              </w:rPr>
              <w:t>4</w:t>
            </w:r>
            <w:r>
              <w:rPr>
                <w:rFonts w:hint="eastAsia" w:ascii="宋体" w:hAnsi="宋体" w:eastAsia="宋体" w:cs="宋体"/>
                <w:b w:val="0"/>
                <w:bCs/>
                <w:sz w:val="21"/>
                <w:szCs w:val="21"/>
                <w:highlight w:val="none"/>
              </w:rPr>
              <w:t>个</w:t>
            </w:r>
            <w:r>
              <w:rPr>
                <w:rFonts w:hint="eastAsia" w:ascii="宋体" w:hAnsi="宋体" w:eastAsia="宋体" w:cs="宋体"/>
                <w:b w:val="0"/>
                <w:bCs/>
                <w:sz w:val="21"/>
                <w:szCs w:val="21"/>
                <w:highlight w:val="none"/>
                <w:lang w:val="en-US" w:eastAsia="zh-CN"/>
              </w:rPr>
              <w:t>HC</w:t>
            </w:r>
            <w:r>
              <w:rPr>
                <w:rFonts w:hint="eastAsia" w:ascii="宋体" w:hAnsi="宋体" w:eastAsia="宋体" w:cs="宋体"/>
                <w:b w:val="0"/>
                <w:bCs/>
                <w:sz w:val="21"/>
                <w:szCs w:val="21"/>
                <w:highlight w:val="none"/>
              </w:rPr>
              <w:t>SP认证工程师，不少于2个</w:t>
            </w:r>
            <w:r>
              <w:rPr>
                <w:rFonts w:hint="eastAsia" w:ascii="宋体" w:hAnsi="宋体" w:eastAsia="宋体" w:cs="宋体"/>
                <w:b w:val="0"/>
                <w:bCs/>
                <w:sz w:val="21"/>
                <w:szCs w:val="21"/>
                <w:highlight w:val="none"/>
                <w:lang w:val="en-US" w:eastAsia="zh-CN"/>
              </w:rPr>
              <w:t>中级网络</w:t>
            </w:r>
            <w:r>
              <w:rPr>
                <w:rFonts w:hint="eastAsia" w:ascii="宋体" w:hAnsi="宋体" w:eastAsia="宋体" w:cs="宋体"/>
                <w:b w:val="0"/>
                <w:bCs/>
                <w:sz w:val="21"/>
                <w:szCs w:val="21"/>
                <w:highlight w:val="none"/>
              </w:rPr>
              <w:t>工程师</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不少于2个信息系统运维工程师</w:t>
            </w:r>
            <w:r>
              <w:rPr>
                <w:rFonts w:hint="eastAsia" w:ascii="宋体" w:hAnsi="宋体" w:eastAsia="宋体" w:cs="宋体"/>
                <w:b w:val="0"/>
                <w:bCs/>
                <w:sz w:val="21"/>
                <w:szCs w:val="21"/>
                <w:highlight w:val="none"/>
              </w:rPr>
              <w:t>。</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为确保服务质量和能力，投标要求提供不少于30人团队社保证明及所有一线，二线工程师(最近半年至少1个月以上)的社保证明</w:t>
            </w:r>
            <w:r>
              <w:rPr>
                <w:rFonts w:hint="eastAsia" w:ascii="宋体" w:hAnsi="宋体" w:cs="宋体"/>
                <w:b w:val="0"/>
                <w:bCs/>
                <w:sz w:val="21"/>
                <w:szCs w:val="21"/>
                <w:highlight w:val="none"/>
                <w:lang w:val="en-US" w:eastAsia="zh-CN"/>
              </w:rPr>
              <w:t>。</w:t>
            </w:r>
          </w:p>
          <w:p w14:paraId="4F4F1681">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二、运维服务过程控制要求</w:t>
            </w:r>
          </w:p>
          <w:p w14:paraId="292C151D">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报表服务：每周、月、季度、半年度、年度都要对信息系统运行情况进行监控，形成分析报表。报表内容可以包括服务月报表等；</w:t>
            </w:r>
          </w:p>
          <w:p w14:paraId="0BDCA14A">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知识库管理：服务方负责积累、丰富运维知识库，并根据日常运维管理工作进行整理、汇总、归纳、和更新；</w:t>
            </w:r>
          </w:p>
          <w:p w14:paraId="1E5444A7">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维护工程师每周提交技术文档，并由服务台将技术资料整理后输入到知识库系统中，项目服务人员可从系统中找到相应的技术资料，提高日常维护的工作效率，一般用户可以通过查询IT知识库，提高用户的操作水平及技能；</w:t>
            </w:r>
          </w:p>
          <w:p w14:paraId="63FFBC23">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例会要求，每月10号下午，举行一次服务项目月度例会，服务方的项目驻场经理、项目经理及用户方有关领导参加，会议听取用户意见，对存在的问题在会议后两天内向用户递交《整改报告》，整改报告内容应该包括整改计划、整改内容等，整改报告在下月月度例会时再次递交给用户评价。</w:t>
            </w:r>
          </w:p>
          <w:p w14:paraId="2023D688">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三、文档要求</w:t>
            </w:r>
          </w:p>
          <w:p w14:paraId="642819F4">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服务提供商需要提供包括但不限于以下交付物：</w:t>
            </w:r>
          </w:p>
          <w:p w14:paraId="33CA614E">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1.</w:t>
            </w:r>
            <w:r>
              <w:rPr>
                <w:rFonts w:hint="eastAsia" w:ascii="宋体" w:hAnsi="宋体" w:eastAsia="宋体" w:cs="宋体"/>
                <w:b w:val="0"/>
                <w:bCs/>
                <w:kern w:val="0"/>
                <w:sz w:val="21"/>
                <w:szCs w:val="21"/>
              </w:rPr>
              <w:t>《巡检报告》：服务提供商需根据巡检内容提供巡检报告。</w:t>
            </w:r>
          </w:p>
          <w:p w14:paraId="279FE66C">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2.</w:t>
            </w:r>
            <w:r>
              <w:rPr>
                <w:rFonts w:hint="eastAsia" w:ascii="宋体" w:hAnsi="宋体" w:eastAsia="宋体" w:cs="宋体"/>
                <w:b w:val="0"/>
                <w:bCs/>
                <w:kern w:val="0"/>
                <w:sz w:val="21"/>
                <w:szCs w:val="21"/>
              </w:rPr>
              <w:t>《重大故障报告》：业务系统发生故障后，需要处理故障并填写重大故障报告。</w:t>
            </w:r>
          </w:p>
          <w:p w14:paraId="543782DC">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3.</w:t>
            </w:r>
            <w:r>
              <w:rPr>
                <w:rFonts w:hint="eastAsia" w:ascii="宋体" w:hAnsi="宋体" w:eastAsia="宋体" w:cs="宋体"/>
                <w:b w:val="0"/>
                <w:bCs/>
                <w:kern w:val="0"/>
                <w:sz w:val="21"/>
                <w:szCs w:val="21"/>
              </w:rPr>
              <w:t>《年度总结》：服务提供商需提供年度总结报告。</w:t>
            </w:r>
          </w:p>
          <w:p w14:paraId="3E2582F8">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4.</w:t>
            </w:r>
            <w:r>
              <w:rPr>
                <w:rFonts w:hint="eastAsia" w:ascii="宋体" w:hAnsi="宋体" w:eastAsia="宋体" w:cs="宋体"/>
                <w:b w:val="0"/>
                <w:bCs/>
                <w:kern w:val="0"/>
                <w:sz w:val="21"/>
                <w:szCs w:val="21"/>
              </w:rPr>
              <w:t>《维护报告》：定期（月、季、半年、年）提交维护报告，包含各类设备、软件、系统等维护、检测、维修报告。</w:t>
            </w:r>
          </w:p>
          <w:p w14:paraId="1A0726B4">
            <w:pPr>
              <w:rPr>
                <w:rFonts w:hint="eastAsia" w:ascii="宋体" w:hAnsi="宋体" w:eastAsia="宋体" w:cs="宋体"/>
                <w:b w:val="0"/>
                <w:bCs/>
                <w:kern w:val="0"/>
                <w:sz w:val="21"/>
                <w:szCs w:val="21"/>
              </w:rPr>
            </w:pPr>
            <w:r>
              <w:rPr>
                <w:rFonts w:hint="eastAsia" w:ascii="宋体" w:hAnsi="宋体" w:cs="宋体"/>
                <w:b w:val="0"/>
                <w:bCs/>
                <w:kern w:val="0"/>
                <w:sz w:val="21"/>
                <w:szCs w:val="21"/>
                <w:lang w:val="en-US" w:eastAsia="zh-CN"/>
              </w:rPr>
              <w:t>5.</w:t>
            </w:r>
            <w:r>
              <w:rPr>
                <w:rFonts w:hint="eastAsia" w:ascii="宋体" w:hAnsi="宋体" w:eastAsia="宋体" w:cs="宋体"/>
                <w:b w:val="0"/>
                <w:bCs/>
                <w:kern w:val="0"/>
                <w:sz w:val="21"/>
                <w:szCs w:val="21"/>
              </w:rPr>
              <w:t>《运维管理制度》：工作流程、人员考核制度（月度考核）。</w:t>
            </w:r>
          </w:p>
          <w:p w14:paraId="2FA341AF">
            <w:pPr>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6.</w:t>
            </w:r>
            <w:r>
              <w:rPr>
                <w:rFonts w:hint="eastAsia" w:ascii="宋体" w:hAnsi="宋体" w:eastAsia="宋体" w:cs="宋体"/>
                <w:b w:val="0"/>
                <w:bCs/>
                <w:kern w:val="0"/>
                <w:sz w:val="21"/>
                <w:szCs w:val="21"/>
              </w:rPr>
              <w:t>《维护手册》：相应的系统检测指南，规范系统检测步骤等，最终建成维护文档库</w:t>
            </w:r>
            <w:r>
              <w:rPr>
                <w:rFonts w:hint="eastAsia" w:ascii="宋体" w:hAnsi="宋体" w:cs="宋体"/>
                <w:b w:val="0"/>
                <w:bCs/>
                <w:kern w:val="0"/>
                <w:sz w:val="21"/>
                <w:szCs w:val="21"/>
                <w:lang w:eastAsia="zh-CN"/>
              </w:rPr>
              <w:t>。</w:t>
            </w:r>
          </w:p>
          <w:p w14:paraId="04F9D598">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四、保密要求</w:t>
            </w:r>
          </w:p>
          <w:p w14:paraId="6C177023">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中标人在项目实施过程中，对所获得的有关的各类数据、资料负有保密义务，未经许可，不得向第三方泄露。</w:t>
            </w:r>
          </w:p>
          <w:p w14:paraId="18C3AC26">
            <w:pPr>
              <w:rPr>
                <w:rFonts w:hint="eastAsia" w:ascii="宋体" w:hAnsi="宋体" w:eastAsia="宋体" w:cs="宋体"/>
                <w:b/>
                <w:bCs w:val="0"/>
                <w:kern w:val="0"/>
                <w:sz w:val="21"/>
                <w:szCs w:val="21"/>
              </w:rPr>
            </w:pPr>
            <w:r>
              <w:rPr>
                <w:rFonts w:hint="eastAsia" w:ascii="宋体" w:hAnsi="宋体" w:eastAsia="宋体" w:cs="宋体"/>
                <w:b/>
                <w:bCs w:val="0"/>
                <w:kern w:val="0"/>
                <w:sz w:val="21"/>
                <w:szCs w:val="21"/>
              </w:rPr>
              <w:t>五、IT运维服务响应要求</w:t>
            </w:r>
          </w:p>
          <w:p w14:paraId="627E003E">
            <w:pP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服务方式要求</w:t>
            </w:r>
            <w:r>
              <w:rPr>
                <w:rFonts w:hint="eastAsia" w:ascii="宋体" w:hAnsi="宋体" w:cs="宋体"/>
                <w:b w:val="0"/>
                <w:bCs/>
                <w:kern w:val="0"/>
                <w:sz w:val="21"/>
                <w:szCs w:val="21"/>
                <w:lang w:eastAsia="zh-CN"/>
              </w:rPr>
              <w:t>：</w:t>
            </w:r>
            <w:r>
              <w:rPr>
                <w:rFonts w:hint="eastAsia" w:ascii="宋体" w:hAnsi="宋体" w:eastAsia="宋体" w:cs="宋体"/>
                <w:b w:val="0"/>
                <w:bCs/>
                <w:kern w:val="0"/>
                <w:sz w:val="21"/>
                <w:szCs w:val="21"/>
              </w:rPr>
              <w:t>针对运维服务需求，要求中标人组建专门的服务队伍并以现场服务为主，同时也接收传真、邮件等其他方式的服务请求。服务工程师常驻现场，工作时间是5天×8小时；对于不得间断运行的各类网络设备、网络安全设备、服务器、存储、自助设备的维护和管理工作，提供7天×24小时的响应技术服务支持。</w:t>
            </w:r>
          </w:p>
        </w:tc>
        <w:tc>
          <w:tcPr>
            <w:tcW w:w="1890" w:type="dxa"/>
            <w:shd w:val="clear" w:color="auto" w:fill="auto"/>
            <w:vAlign w:val="center"/>
          </w:tcPr>
          <w:p w14:paraId="04DDFB52">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01B1525A">
            <w:pPr>
              <w:widowControl/>
              <w:jc w:val="center"/>
              <w:rPr>
                <w:rFonts w:hint="eastAsia" w:ascii="宋体" w:hAnsi="宋体" w:eastAsia="宋体" w:cs="宋体"/>
                <w:b w:val="0"/>
                <w:bCs/>
                <w:kern w:val="0"/>
                <w:sz w:val="21"/>
                <w:szCs w:val="21"/>
              </w:rPr>
            </w:pPr>
          </w:p>
        </w:tc>
      </w:tr>
      <w:tr w14:paraId="5AB6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33B4DEB0">
            <w:pPr>
              <w:widowControl/>
              <w:jc w:val="center"/>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10</w:t>
            </w:r>
          </w:p>
        </w:tc>
        <w:tc>
          <w:tcPr>
            <w:tcW w:w="952" w:type="dxa"/>
            <w:shd w:val="clear" w:color="auto" w:fill="auto"/>
            <w:vAlign w:val="center"/>
          </w:tcPr>
          <w:p w14:paraId="7A3C082A">
            <w:pPr>
              <w:widowControl/>
              <w:jc w:val="center"/>
              <w:rPr>
                <w:rFonts w:hint="eastAsia" w:ascii="宋体" w:hAnsi="宋体" w:eastAsia="宋体" w:cs="宋体"/>
                <w:b w:val="0"/>
                <w:bCs/>
                <w:kern w:val="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kern w:val="2"/>
                <w:sz w:val="21"/>
                <w:szCs w:val="21"/>
              </w:rPr>
              <w:t>外网安全托管服务</w:t>
            </w:r>
          </w:p>
        </w:tc>
        <w:tc>
          <w:tcPr>
            <w:tcW w:w="725" w:type="dxa"/>
            <w:shd w:val="clear" w:color="auto" w:fill="auto"/>
            <w:vAlign w:val="center"/>
          </w:tcPr>
          <w:p w14:paraId="0763A5A1">
            <w:pPr>
              <w:jc w:val="center"/>
              <w:rPr>
                <w:rFonts w:hint="eastAsia" w:ascii="宋体" w:hAnsi="宋体" w:eastAsia="宋体" w:cs="宋体"/>
                <w:b w:val="0"/>
                <w:bCs/>
                <w:color w:val="000000"/>
                <w:sz w:val="21"/>
                <w:szCs w:val="21"/>
                <w:lang w:val="en-US" w:eastAsia="zh-CN"/>
              </w:rPr>
            </w:pPr>
            <w:r>
              <w:rPr>
                <w:rFonts w:hint="eastAsia" w:ascii="宋体" w:hAnsi="宋体" w:cs="宋体"/>
                <w:b w:val="0"/>
                <w:bCs/>
                <w:color w:val="000000"/>
                <w:sz w:val="21"/>
                <w:szCs w:val="21"/>
                <w:lang w:val="en-US" w:eastAsia="zh-CN"/>
              </w:rPr>
              <w:t>定制</w:t>
            </w:r>
          </w:p>
        </w:tc>
        <w:tc>
          <w:tcPr>
            <w:tcW w:w="4548" w:type="dxa"/>
            <w:shd w:val="clear" w:color="auto" w:fill="auto"/>
            <w:vAlign w:val="center"/>
          </w:tcPr>
          <w:p w14:paraId="2B8BD97E">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lang w:val="en-US" w:eastAsia="zh-CN"/>
              </w:rPr>
              <w:t>无缝连接2024年安全托管服务平台，</w:t>
            </w:r>
            <w:r>
              <w:rPr>
                <w:rFonts w:hint="eastAsia" w:ascii="宋体" w:hAnsi="宋体" w:eastAsia="宋体" w:cs="宋体"/>
                <w:b w:val="0"/>
                <w:bCs/>
                <w:color w:val="auto"/>
                <w:sz w:val="21"/>
                <w:szCs w:val="21"/>
              </w:rPr>
              <w:t>服务资产数量：不少于</w:t>
            </w:r>
            <w:r>
              <w:rPr>
                <w:rFonts w:hint="eastAsia" w:ascii="宋体" w:hAnsi="宋体" w:cs="宋体"/>
                <w:b w:val="0"/>
                <w:bCs/>
                <w:color w:val="auto"/>
                <w:sz w:val="21"/>
                <w:szCs w:val="21"/>
                <w:lang w:val="en-US" w:eastAsia="zh-CN"/>
              </w:rPr>
              <w:t>3</w:t>
            </w:r>
            <w:r>
              <w:rPr>
                <w:rFonts w:hint="eastAsia" w:ascii="宋体" w:hAnsi="宋体" w:eastAsia="宋体" w:cs="宋体"/>
                <w:b w:val="0"/>
                <w:bCs/>
                <w:color w:val="auto"/>
                <w:sz w:val="21"/>
                <w:szCs w:val="21"/>
              </w:rPr>
              <w:t>0个IP资产；服务频率：1年7*24小时</w:t>
            </w:r>
            <w:r>
              <w:rPr>
                <w:rFonts w:hint="eastAsia" w:ascii="宋体" w:hAnsi="宋体" w:eastAsia="宋体" w:cs="宋体"/>
                <w:b w:val="0"/>
                <w:bCs/>
                <w:color w:val="auto"/>
                <w:sz w:val="21"/>
                <w:szCs w:val="21"/>
                <w:highlight w:val="none"/>
              </w:rPr>
              <w:t>安全监测托管服务</w:t>
            </w:r>
            <w:r>
              <w:rPr>
                <w:rFonts w:hint="eastAsia" w:ascii="宋体" w:hAnsi="宋体" w:eastAsia="宋体" w:cs="宋体"/>
                <w:b w:val="0"/>
                <w:bCs/>
                <w:color w:val="auto"/>
                <w:sz w:val="21"/>
                <w:szCs w:val="21"/>
              </w:rPr>
              <w:t xml:space="preserve">。平台要求: </w:t>
            </w:r>
          </w:p>
          <w:p w14:paraId="7F507690">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平台支持流量探针、第三方设备的日志设备的接入管理与对接。支持对数据源状态进行监控、启停管理。</w:t>
            </w:r>
          </w:p>
          <w:p w14:paraId="670D98F3">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平台系统内置2大类场景：不少于 47类重保场景和 67 类通用安全场景，不少于700开箱规则，MITRE ATT&amp;CK覆盖率超过70%，其中威胁情报相关规则不少于18条，Windows类规则不少于352。</w:t>
            </w:r>
          </w:p>
          <w:p w14:paraId="79B0CC3B">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支持对泛化日志进行实时关联分析，以发现攻击事件。支持多个数据源与情报、漏洞、资产、引用集等进行关联分析。</w:t>
            </w:r>
          </w:p>
          <w:p w14:paraId="2E6F6B7E">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平台的威胁运营需要采用最新的ATT&amp;CK框架模型，且关联规则对ATTCK覆盖率超过70%，提供彩页或官网或功能截图；</w:t>
            </w:r>
          </w:p>
          <w:p w14:paraId="02069C41">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平台页面直观展现企业当前告警所覆盖的ATT&amp;CK矩阵，包括每个战术、技术相关的告警数及列表。并能根据时间、ATT&amp;CK技术、告警名称进行搜索，提供彩页或官网或功能截图；</w:t>
            </w:r>
          </w:p>
          <w:p w14:paraId="1AAB5D4A">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平台支持本地查询威胁情报，提供自定义情报，查询时可匹配多情报源。查询结果可显示命中情报源、判断结果、威胁等级、威胁类型、情报标签等字段，支持下钻查看详情。支持单次查询和批量查询，批量搜索单次最多输入不少于200个ioc。</w:t>
            </w:r>
          </w:p>
          <w:p w14:paraId="6B579FE7">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平台支持查询云端威胁情报库，获取更丰富的情报上下文信息。包括ioc的基本信息、网络信息、注册信息、TTPS、家族团伙、情报来源等，提供彩页或官网或功能截图；</w:t>
            </w:r>
          </w:p>
          <w:p w14:paraId="05D1BD92">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查看事件详情时，支持自动提取事件筛选条件并快速创建告警策略。</w:t>
            </w:r>
          </w:p>
          <w:p w14:paraId="136E1658">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支持对安全事件编辑标签、直接创建调查任务或一键阻断，实现安全事件的进一步分析或响应。支持鼠标右键弹出快捷菜单功能，保证事件/IP搜索的连贯性。</w:t>
            </w:r>
          </w:p>
          <w:p w14:paraId="44B52D78">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10</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可以直观呈现网络安全状况和实际发展趋势，体现安全运营的工作效果。包括接入的安全日志数量，检测的攻击告警数量，和识别的安全事件数量。告警和事件数量针对严重级别进行细粒度统计。并提供环比、近30天平均值的对比，反应安全状况趋势。提供时间趋势图，可直观呈现接入安全日志与检出的攻击告警的变化趋势。提供基于ATT&amp;CK战术阶段的告警分布统计，呈现对应技战术阶段攻击状况分布，以及攻击IP对应世界地图上地理位置热力图。支持提供具体细节记录列表，作为线索进一步调查，提供发现安全事件列表，攻击次数TOP50的告警，出现次数TOP50的安全日志。支持从关键统计数字、TOP记录跳转到对应功能模块，查看统计结果对应列表或记录详情。安全态势数据统计时间范围支持选择近24小时、近7天、近30天，也可以根据需要自定义设置统计时间范围。</w:t>
            </w:r>
          </w:p>
          <w:p w14:paraId="0A830A18">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展示近24小时、近7天或近30天的告警总览、告警类型分布、告警等级分布、攻击链各阶段的攻击者与受害者分布以及告警统计、告警次数与影响面趋势、告警TOP5（告警次数TOP5和影响面TOP5）、资产组告警次数TOP5和告警列表滚动更新，支持跳转对应攻击链阶段的告警列表。支持3D大屏可交互式查看。</w:t>
            </w:r>
          </w:p>
          <w:p w14:paraId="148CE229">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支持展示近24小时、近7天或近30天的告警总览、各阶段告警次数（统计图和趋势图）、攻击源TOP7、攻防演练总览、资产总览、资产组风险状态、风险资产趋势以及实时攻击与处置情况。支持3D大屏可交互式查看。</w:t>
            </w:r>
          </w:p>
          <w:p w14:paraId="2BC7F071">
            <w:pPr>
              <w:widowControl/>
              <w:adjustRightInd/>
              <w:spacing w:line="240" w:lineRule="auto"/>
              <w:ind w:firstLine="0" w:firstLineChars="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▲13</w:t>
            </w:r>
            <w:r>
              <w:rPr>
                <w:rFonts w:hint="eastAsia" w:ascii="宋体" w:hAnsi="宋体" w:cs="宋体"/>
                <w:b w:val="0"/>
                <w:bCs/>
                <w:color w:val="auto"/>
                <w:sz w:val="21"/>
                <w:szCs w:val="21"/>
                <w:highlight w:val="none"/>
                <w:lang w:val="en-US" w:eastAsia="zh-CN"/>
              </w:rPr>
              <w:t>.</w:t>
            </w:r>
            <w:r>
              <w:rPr>
                <w:rFonts w:hint="eastAsia" w:ascii="宋体" w:hAnsi="宋体" w:eastAsia="宋体" w:cs="宋体"/>
                <w:b w:val="0"/>
                <w:bCs/>
                <w:color w:val="auto"/>
                <w:sz w:val="21"/>
                <w:szCs w:val="21"/>
                <w:highlight w:val="none"/>
              </w:rPr>
              <w:t>支持配置情报IP并对这些IP相关的事件和告警进行监控，包括情报IP事件的日志源子类型趋势及分布、攻击者IP、受害者IP、事件详情和情报IP告警的告警次数趋势、告警分布、攻击者IP、受害者IP、告警详情，提供提供彩页或官网或功能截图。</w:t>
            </w:r>
          </w:p>
          <w:p w14:paraId="2DCAFF19">
            <w:pPr>
              <w:widowControl/>
              <w:adjustRightInd/>
              <w:spacing w:line="240" w:lineRule="auto"/>
              <w:ind w:firstLine="0" w:firstLineChars="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rPr>
              <w:t>14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分析内部DNS解析情况，发现可疑DGA/DNS隧道/动态域名解析情形，从而提醒安全运营人员及时阻断恶意的DNS活动。域名安全专题包括域名解析类型分析、DNS解析错误类型分析、DNS服务器解析和动态域名流量分析</w:t>
            </w:r>
            <w:r>
              <w:rPr>
                <w:rFonts w:hint="eastAsia" w:ascii="宋体" w:hAnsi="宋体" w:cs="宋体"/>
                <w:b w:val="0"/>
                <w:bCs/>
                <w:color w:val="auto"/>
                <w:sz w:val="21"/>
                <w:szCs w:val="21"/>
                <w:lang w:eastAsia="zh-CN"/>
              </w:rPr>
              <w:t>。</w:t>
            </w:r>
          </w:p>
          <w:p w14:paraId="228B092E">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cs="宋体"/>
                <w:b w:val="0"/>
                <w:bCs/>
                <w:color w:val="auto"/>
                <w:sz w:val="21"/>
                <w:szCs w:val="21"/>
                <w:lang w:val="en-US" w:eastAsia="zh-CN"/>
              </w:rPr>
              <w:t>15.</w:t>
            </w:r>
            <w:r>
              <w:rPr>
                <w:rFonts w:hint="eastAsia" w:ascii="宋体" w:hAnsi="宋体" w:eastAsia="宋体" w:cs="宋体"/>
                <w:b w:val="0"/>
                <w:bCs/>
                <w:color w:val="auto"/>
                <w:sz w:val="21"/>
                <w:szCs w:val="21"/>
              </w:rPr>
              <w:t>基于流量分析登录会话，支持MySQL/SSH/Oracle/SQLServer/RDP/FTP等常见登录协议的分析检测，从而提醒安全运营人员及时发现可疑的爆破行为。账号安全专题包括登录来源统计图表、登录行为趋势图、登录类型分布图、爆破账号登录统计图和爆破行为统计图</w:t>
            </w:r>
          </w:p>
          <w:p w14:paraId="167F46AC">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16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对网络环境中的资产实现列表管理，资产信息包括资产名称、资产IP、资产来源、资产分组、该资产待修复的安全告警数、事件数、待修复漏洞数等。支持自定义资产列表的显示项。</w:t>
            </w:r>
          </w:p>
          <w:p w14:paraId="20055F41">
            <w:pPr>
              <w:rPr>
                <w:rFonts w:hint="eastAsia" w:ascii="宋体" w:hAnsi="宋体" w:eastAsia="宋体" w:cs="宋体"/>
                <w:b w:val="0"/>
                <w:bCs/>
                <w:color w:val="auto"/>
                <w:kern w:val="0"/>
                <w:sz w:val="21"/>
                <w:szCs w:val="21"/>
              </w:rPr>
            </w:pPr>
            <w:r>
              <w:rPr>
                <w:rFonts w:hint="eastAsia" w:ascii="宋体" w:hAnsi="宋体" w:cs="宋体"/>
                <w:b w:val="0"/>
                <w:bCs/>
                <w:color w:val="auto"/>
                <w:sz w:val="21"/>
                <w:szCs w:val="21"/>
                <w:lang w:val="en-US" w:eastAsia="zh-CN"/>
              </w:rPr>
              <w:t>17.</w:t>
            </w:r>
            <w:r>
              <w:rPr>
                <w:rFonts w:hint="eastAsia" w:ascii="宋体" w:hAnsi="宋体" w:eastAsia="宋体" w:cs="宋体"/>
                <w:b w:val="0"/>
                <w:bCs/>
                <w:color w:val="auto"/>
                <w:sz w:val="21"/>
                <w:szCs w:val="21"/>
              </w:rPr>
              <w:t>7*24小时持续专家</w:t>
            </w:r>
            <w:r>
              <w:rPr>
                <w:rFonts w:hint="eastAsia" w:ascii="宋体" w:hAnsi="宋体" w:eastAsia="宋体" w:cs="宋体"/>
                <w:b w:val="0"/>
                <w:bCs/>
                <w:color w:val="auto"/>
                <w:sz w:val="21"/>
                <w:szCs w:val="21"/>
                <w:lang w:val="en-US" w:eastAsia="zh-CN"/>
              </w:rPr>
              <w:t>远程</w:t>
            </w:r>
            <w:r>
              <w:rPr>
                <w:rFonts w:hint="eastAsia" w:ascii="宋体" w:hAnsi="宋体" w:eastAsia="宋体" w:cs="宋体"/>
                <w:b w:val="0"/>
                <w:bCs/>
                <w:color w:val="auto"/>
                <w:sz w:val="21"/>
                <w:szCs w:val="21"/>
              </w:rPr>
              <w:t>服务，威胁发现及时响应</w:t>
            </w:r>
            <w:r>
              <w:rPr>
                <w:rFonts w:hint="eastAsia" w:ascii="宋体" w:hAnsi="宋体" w:cs="宋体"/>
                <w:b w:val="0"/>
                <w:bCs/>
                <w:color w:val="auto"/>
                <w:sz w:val="21"/>
                <w:szCs w:val="21"/>
                <w:lang w:eastAsia="zh-CN"/>
              </w:rPr>
              <w:t>。</w:t>
            </w:r>
          </w:p>
        </w:tc>
        <w:tc>
          <w:tcPr>
            <w:tcW w:w="1890" w:type="dxa"/>
            <w:shd w:val="clear" w:color="auto" w:fill="auto"/>
            <w:vAlign w:val="center"/>
          </w:tcPr>
          <w:p w14:paraId="7436A153">
            <w:pPr>
              <w:widowControl/>
              <w:jc w:val="center"/>
              <w:rPr>
                <w:rFonts w:hint="eastAsia" w:ascii="宋体" w:hAnsi="宋体" w:eastAsia="宋体" w:cs="宋体"/>
                <w:b w:val="0"/>
                <w:bCs/>
                <w:kern w:val="0"/>
                <w:sz w:val="21"/>
                <w:szCs w:val="21"/>
                <w:lang w:val="en-US" w:eastAsia="zh-CN"/>
              </w:rPr>
            </w:pPr>
          </w:p>
        </w:tc>
        <w:tc>
          <w:tcPr>
            <w:tcW w:w="1190" w:type="dxa"/>
            <w:shd w:val="clear" w:color="auto" w:fill="auto"/>
            <w:vAlign w:val="center"/>
          </w:tcPr>
          <w:p w14:paraId="337E3D34">
            <w:pPr>
              <w:widowControl/>
              <w:jc w:val="center"/>
              <w:rPr>
                <w:rFonts w:hint="eastAsia" w:ascii="宋体" w:hAnsi="宋体" w:eastAsia="宋体" w:cs="宋体"/>
                <w:b w:val="0"/>
                <w:bCs/>
                <w:kern w:val="0"/>
                <w:sz w:val="21"/>
                <w:szCs w:val="21"/>
                <w:lang w:val="en-US" w:eastAsia="zh-CN"/>
              </w:rPr>
            </w:pPr>
          </w:p>
        </w:tc>
      </w:tr>
      <w:tr w14:paraId="2920D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09BF0357">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11</w:t>
            </w:r>
          </w:p>
        </w:tc>
        <w:tc>
          <w:tcPr>
            <w:tcW w:w="952" w:type="dxa"/>
            <w:shd w:val="clear" w:color="auto" w:fill="auto"/>
            <w:vAlign w:val="center"/>
          </w:tcPr>
          <w:p w14:paraId="1D51C27F">
            <w:pPr>
              <w:widowControl/>
              <w:jc w:val="center"/>
              <w:rPr>
                <w:rFonts w:hint="eastAsia" w:ascii="宋体" w:hAnsi="宋体" w:eastAsia="宋体" w:cs="宋体"/>
                <w:b w:val="0"/>
                <w:bCs/>
                <w:color w:val="000000"/>
                <w:kern w:val="2"/>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终端安全防护组件服务</w:t>
            </w:r>
          </w:p>
        </w:tc>
        <w:tc>
          <w:tcPr>
            <w:tcW w:w="725" w:type="dxa"/>
            <w:shd w:val="clear" w:color="auto" w:fill="auto"/>
            <w:vAlign w:val="center"/>
          </w:tcPr>
          <w:p w14:paraId="180C18C6">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4548" w:type="dxa"/>
            <w:shd w:val="clear" w:color="auto" w:fill="auto"/>
            <w:vAlign w:val="center"/>
          </w:tcPr>
          <w:p w14:paraId="53954EC0">
            <w:pPr>
              <w:rPr>
                <w:rFonts w:hint="eastAsia" w:ascii="宋体" w:hAnsi="宋体" w:cs="宋体"/>
                <w:b w:val="0"/>
                <w:bCs/>
                <w:color w:val="auto"/>
                <w:sz w:val="21"/>
                <w:szCs w:val="21"/>
                <w:lang w:val="en-US" w:eastAsia="zh-CN"/>
              </w:rPr>
            </w:pPr>
            <w:r>
              <w:rPr>
                <w:rFonts w:hint="eastAsia" w:ascii="宋体" w:hAnsi="宋体" w:eastAsia="宋体" w:cs="宋体"/>
                <w:b w:val="0"/>
                <w:bCs/>
                <w:color w:val="auto"/>
                <w:sz w:val="21"/>
                <w:szCs w:val="21"/>
              </w:rPr>
              <w:t>1</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以服务的形式提供终端检测响应软件部署于招标方本地环境的服务器或虚拟机上，授权数不少于</w:t>
            </w:r>
            <w:r>
              <w:rPr>
                <w:rFonts w:hint="eastAsia" w:ascii="宋体" w:hAnsi="宋体" w:cs="宋体"/>
                <w:b w:val="0"/>
                <w:bCs/>
                <w:color w:val="auto"/>
                <w:sz w:val="21"/>
                <w:szCs w:val="21"/>
                <w:lang w:val="en-US" w:eastAsia="zh-CN"/>
              </w:rPr>
              <w:t>3</w:t>
            </w:r>
            <w:r>
              <w:rPr>
                <w:rFonts w:hint="eastAsia" w:ascii="宋体" w:hAnsi="宋体" w:eastAsia="宋体" w:cs="宋体"/>
                <w:b w:val="0"/>
                <w:bCs/>
                <w:color w:val="auto"/>
                <w:sz w:val="21"/>
                <w:szCs w:val="21"/>
              </w:rPr>
              <w:t>0个，提供基线检测，主机杀毒，主机微隔离等功能。</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2</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支持控制台动态更新显示全网终端安全状态分布，包括：终端总数、已失陷、高可疑、低可疑，支持下钻到对应的终端列表；</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支持控制台动态显示当前未处理的勒索病毒数量、暴力破解数量、WebShell后门数量及其各自影响的终端数量，支持点击对应的威胁类别，下钻到响应中心对应的威胁事件列表；</w:t>
            </w:r>
            <w:r>
              <w:rPr>
                <w:rFonts w:hint="eastAsia" w:ascii="宋体" w:hAnsi="宋体" w:eastAsia="宋体" w:cs="宋体"/>
                <w:b w:val="0"/>
                <w:bCs/>
                <w:color w:val="auto"/>
                <w:sz w:val="21"/>
                <w:szCs w:val="21"/>
              </w:rPr>
              <w:br w:type="textWrapping"/>
            </w:r>
            <w:r>
              <w:rPr>
                <w:rFonts w:hint="eastAsia" w:ascii="宋体" w:hAnsi="宋体" w:eastAsia="宋体" w:cs="宋体"/>
                <w:b w:val="0"/>
                <w:bCs/>
                <w:color w:val="auto"/>
                <w:sz w:val="21"/>
                <w:szCs w:val="21"/>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支持热点安全事件动态更新和展示及全网终端已发生的热点安全事件及其数量；</w:t>
            </w:r>
          </w:p>
        </w:tc>
        <w:tc>
          <w:tcPr>
            <w:tcW w:w="1890" w:type="dxa"/>
            <w:shd w:val="clear" w:color="auto" w:fill="auto"/>
            <w:vAlign w:val="center"/>
          </w:tcPr>
          <w:p w14:paraId="31206BE2">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w:t>
            </w:r>
          </w:p>
        </w:tc>
        <w:tc>
          <w:tcPr>
            <w:tcW w:w="1190" w:type="dxa"/>
            <w:shd w:val="clear" w:color="auto" w:fill="auto"/>
            <w:vAlign w:val="center"/>
          </w:tcPr>
          <w:p w14:paraId="0DC6F6A7">
            <w:pPr>
              <w:widowControl/>
              <w:jc w:val="center"/>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w:t>
            </w:r>
          </w:p>
        </w:tc>
      </w:tr>
      <w:tr w14:paraId="7E41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00C7C294">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12</w:t>
            </w:r>
          </w:p>
        </w:tc>
        <w:tc>
          <w:tcPr>
            <w:tcW w:w="952" w:type="dxa"/>
            <w:shd w:val="clear" w:color="auto" w:fill="auto"/>
            <w:vAlign w:val="center"/>
          </w:tcPr>
          <w:p w14:paraId="0C3312B3">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安全检测与响应组件服务</w:t>
            </w:r>
          </w:p>
        </w:tc>
        <w:tc>
          <w:tcPr>
            <w:tcW w:w="725" w:type="dxa"/>
            <w:shd w:val="clear" w:color="auto" w:fill="auto"/>
            <w:vAlign w:val="center"/>
          </w:tcPr>
          <w:p w14:paraId="6609EBB8">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4548" w:type="dxa"/>
            <w:shd w:val="clear" w:color="auto" w:fill="auto"/>
            <w:vAlign w:val="center"/>
          </w:tcPr>
          <w:p w14:paraId="3E43561B">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平台SAAS化形态，无需要在数据中心进行任何下载和安装，通过账号密码在云端获取服务。</w:t>
            </w:r>
          </w:p>
          <w:p w14:paraId="5439C9BA">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000000"/>
                <w:sz w:val="21"/>
                <w:szCs w:val="21"/>
              </w:rPr>
              <w:t>2</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支持首页展示风险总览、包括安全事件总览、资产统计、接入设备展示包括不仅限于防火墙、探针、EDR、CWPP，待处置安全事件TOP5、云端威胁狩猎报告总览、攻击面TOP5、脆弱性资产TOP5、风险资产分布及风险资产发生趋势、待处置安全事件分布及安全</w:t>
            </w:r>
            <w:r>
              <w:rPr>
                <w:rFonts w:hint="eastAsia" w:ascii="宋体" w:hAnsi="宋体" w:eastAsia="宋体" w:cs="宋体"/>
                <w:b w:val="0"/>
                <w:bCs/>
                <w:color w:val="auto"/>
                <w:sz w:val="21"/>
                <w:szCs w:val="21"/>
              </w:rPr>
              <w:t>事件发生趋势。可清楚明晰下一步处置方向。</w:t>
            </w:r>
          </w:p>
          <w:p w14:paraId="4E4E6CBD">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自定义仪表盘，可圈定资产范围，内置安全告警试图、资产视图、脆弱性风险视图、风险资产视图等模板，展示图表样例包括条形图、水平条形图、趋势图、饼图、表格、指标、markdown等，可编辑背景及标题样式，可全局预览。</w:t>
            </w:r>
          </w:p>
          <w:p w14:paraId="68F4095A">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支持自定义报告生成，包括时间、报告组件、可视化模块、图标设置及文字编辑，可上传自定义页眉和自动化目录生成，支持预览和导出。</w:t>
            </w:r>
          </w:p>
          <w:p w14:paraId="39F212F6">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5</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支持对Windows终端采集：进程、网络、注册表、文件、服务、计划任务、账号、WMI、应用漏洞利用探针、API等信息。对Linux终端采集：文件、进程、驱动、系统调用、模块事件等信息。</w:t>
            </w:r>
          </w:p>
          <w:p w14:paraId="71542BC3">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支持终端遥测源对 ATT&amp;CK 框架中各种攻击类型的检测技术覆盖面不低于163项</w:t>
            </w:r>
            <w:r>
              <w:rPr>
                <w:rFonts w:hint="eastAsia" w:ascii="宋体" w:hAnsi="宋体" w:eastAsia="宋体" w:cs="宋体"/>
                <w:b w:val="0"/>
                <w:bCs/>
                <w:color w:val="auto"/>
                <w:sz w:val="21"/>
                <w:szCs w:val="21"/>
                <w:lang w:eastAsia="zh-CN"/>
              </w:rPr>
              <w:t>。</w:t>
            </w:r>
          </w:p>
          <w:p w14:paraId="788D34A5">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7</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支持对事件的名称、事件描述、影响资产、标签、事件等级、处置状态等进行筛选展示，事件名称包含事件ID，事件类型标签等。</w:t>
            </w:r>
          </w:p>
          <w:p w14:paraId="743403F2">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通过安全事件详情查看攻击故事线、安全事件按照进程树的视角进行安全分析。可详细点开进程链中任意进程查看进程详情，包括基础信息、威胁告警、网络连接行为、文件行为、域名访问行为、模块加载行为，并且自带解码工具。</w:t>
            </w:r>
          </w:p>
          <w:p w14:paraId="75D7CCBD">
            <w:pPr>
              <w:widowControl/>
              <w:adjustRightInd/>
              <w:spacing w:line="240" w:lineRule="auto"/>
              <w:ind w:firstLine="0" w:firstLine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9</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对安全事件推送处置和响应建议，响应建议包括原理介绍、危害影响、处置建议。通过建议描述、业务影响标签和安全效果标签清晰明确指导下一步响应动作，可一键封禁IP、隔离主机等。支持在线实时聊天框或离线留言咨询攻防专家，获取云端专家支持。</w:t>
            </w:r>
          </w:p>
          <w:p w14:paraId="43C88FDC">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auto"/>
                <w:sz w:val="21"/>
                <w:szCs w:val="21"/>
              </w:rPr>
              <w:t>10</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rPr>
              <w:t>支持内置CC</w:t>
            </w:r>
            <w:r>
              <w:rPr>
                <w:rFonts w:hint="eastAsia" w:ascii="宋体" w:hAnsi="宋体" w:eastAsia="宋体" w:cs="宋体"/>
                <w:b w:val="0"/>
                <w:bCs/>
                <w:color w:val="000000"/>
                <w:sz w:val="21"/>
                <w:szCs w:val="21"/>
              </w:rPr>
              <w:t>通信、VPN安全、主机异常、堡垒机安全、恶意软件、扫描探测、拒绝服务、暴力破解、漏洞利用、网站攻击、邮件安全等维度的数据分析规则，可自定义新增匹配或统计规则</w:t>
            </w:r>
          </w:p>
          <w:p w14:paraId="7F35C267">
            <w:pPr>
              <w:widowControl/>
              <w:adjustRightInd/>
              <w:spacing w:line="240" w:lineRule="auto"/>
              <w:ind w:firstLine="0" w:firstLineChars="0"/>
              <w:textAlignment w:val="auto"/>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11</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可展示主机资产，识别操作系统、终端类型、终端接入状态、资产类型。支持业务/服务器资产分类，可定义IP地址、所属资产组、主机名、责任人、所属业务、MAC、操作系统、数据源、最近更新时间等信息。</w:t>
            </w:r>
          </w:p>
          <w:p w14:paraId="08F48F9A">
            <w:pPr>
              <w:rPr>
                <w:rFonts w:hint="eastAsia" w:ascii="宋体" w:hAnsi="宋体" w:eastAsia="宋体" w:cs="宋体"/>
                <w:b w:val="0"/>
                <w:bCs/>
                <w:color w:val="000000"/>
                <w:sz w:val="21"/>
                <w:szCs w:val="21"/>
              </w:rPr>
            </w:pPr>
            <w:r>
              <w:rPr>
                <w:rFonts w:hint="eastAsia" w:ascii="宋体" w:hAnsi="宋体" w:eastAsia="宋体" w:cs="宋体"/>
                <w:b w:val="0"/>
                <w:bCs/>
                <w:color w:val="000000"/>
                <w:sz w:val="21"/>
                <w:szCs w:val="21"/>
              </w:rPr>
              <w:t>12</w:t>
            </w:r>
            <w:r>
              <w:rPr>
                <w:rFonts w:hint="eastAsia" w:ascii="宋体" w:hAnsi="宋体" w:cs="宋体"/>
                <w:b w:val="0"/>
                <w:bCs/>
                <w:color w:val="000000"/>
                <w:sz w:val="21"/>
                <w:szCs w:val="21"/>
                <w:lang w:val="en-US" w:eastAsia="zh-CN"/>
              </w:rPr>
              <w:t>.</w:t>
            </w:r>
            <w:r>
              <w:rPr>
                <w:rFonts w:hint="eastAsia" w:ascii="宋体" w:hAnsi="宋体" w:eastAsia="宋体" w:cs="宋体"/>
                <w:b w:val="0"/>
                <w:bCs/>
                <w:color w:val="000000"/>
                <w:sz w:val="21"/>
                <w:szCs w:val="21"/>
              </w:rPr>
              <w:t>配置规则支持按源IP、风险等级、源端口、目的IP、目的端口、URL、MD5、发件人邮箱、风险来源，in、not in、like事件范围和规则ID进行加白，支持配置加白时长。</w:t>
            </w:r>
          </w:p>
        </w:tc>
        <w:tc>
          <w:tcPr>
            <w:tcW w:w="1890" w:type="dxa"/>
            <w:shd w:val="clear" w:color="auto" w:fill="auto"/>
            <w:vAlign w:val="center"/>
          </w:tcPr>
          <w:p w14:paraId="61242317">
            <w:pPr>
              <w:widowControl/>
              <w:jc w:val="center"/>
              <w:rPr>
                <w:rFonts w:hint="eastAsia" w:ascii="宋体" w:hAnsi="宋体" w:eastAsia="宋体" w:cs="宋体"/>
                <w:b w:val="0"/>
                <w:bCs/>
                <w:kern w:val="0"/>
                <w:sz w:val="21"/>
                <w:szCs w:val="21"/>
                <w:lang w:val="en-US" w:eastAsia="zh-CN"/>
              </w:rPr>
            </w:pPr>
          </w:p>
        </w:tc>
        <w:tc>
          <w:tcPr>
            <w:tcW w:w="1190" w:type="dxa"/>
            <w:shd w:val="clear" w:color="auto" w:fill="auto"/>
            <w:vAlign w:val="center"/>
          </w:tcPr>
          <w:p w14:paraId="1D4D31F0">
            <w:pPr>
              <w:widowControl/>
              <w:jc w:val="center"/>
              <w:rPr>
                <w:rFonts w:hint="eastAsia" w:ascii="宋体" w:hAnsi="宋体" w:eastAsia="宋体" w:cs="宋体"/>
                <w:b w:val="0"/>
                <w:bCs/>
                <w:kern w:val="0"/>
                <w:sz w:val="21"/>
                <w:szCs w:val="21"/>
                <w:lang w:val="en-US" w:eastAsia="zh-CN"/>
              </w:rPr>
            </w:pPr>
          </w:p>
        </w:tc>
      </w:tr>
      <w:tr w14:paraId="641B7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3" w:type="dxa"/>
            <w:shd w:val="clear" w:color="auto" w:fill="auto"/>
            <w:vAlign w:val="center"/>
          </w:tcPr>
          <w:p w14:paraId="016A4572">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13</w:t>
            </w:r>
          </w:p>
        </w:tc>
        <w:tc>
          <w:tcPr>
            <w:tcW w:w="952" w:type="dxa"/>
            <w:shd w:val="clear" w:color="auto" w:fill="auto"/>
            <w:vAlign w:val="center"/>
          </w:tcPr>
          <w:p w14:paraId="10FD4428">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rPr>
              <w:t>勒索风险排查</w:t>
            </w:r>
          </w:p>
        </w:tc>
        <w:tc>
          <w:tcPr>
            <w:tcW w:w="725" w:type="dxa"/>
            <w:shd w:val="clear" w:color="auto" w:fill="auto"/>
            <w:vAlign w:val="center"/>
          </w:tcPr>
          <w:p w14:paraId="2415D10B">
            <w:pPr>
              <w:jc w:val="cente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定制</w:t>
            </w:r>
          </w:p>
        </w:tc>
        <w:tc>
          <w:tcPr>
            <w:tcW w:w="4548" w:type="dxa"/>
            <w:shd w:val="clear" w:color="auto" w:fill="auto"/>
            <w:vAlign w:val="center"/>
          </w:tcPr>
          <w:p w14:paraId="45D13F72">
            <w:pPr>
              <w:rPr>
                <w:rFonts w:hint="eastAsia" w:ascii="宋体" w:hAnsi="宋体" w:eastAsia="宋体" w:cs="宋体"/>
                <w:b w:val="0"/>
                <w:bCs/>
                <w:color w:val="000000"/>
                <w:sz w:val="21"/>
                <w:szCs w:val="21"/>
              </w:rPr>
            </w:pPr>
            <w:r>
              <w:rPr>
                <w:rFonts w:hint="eastAsia" w:ascii="宋体" w:hAnsi="宋体" w:cs="宋体"/>
                <w:b w:val="0"/>
                <w:bCs/>
                <w:color w:val="000000"/>
                <w:sz w:val="21"/>
                <w:szCs w:val="21"/>
                <w:lang w:val="en-US" w:eastAsia="zh-CN"/>
              </w:rPr>
              <w:t>1.</w:t>
            </w:r>
            <w:r>
              <w:rPr>
                <w:rFonts w:hint="eastAsia" w:ascii="宋体" w:hAnsi="宋体" w:eastAsia="宋体" w:cs="宋体"/>
                <w:b w:val="0"/>
                <w:bCs/>
                <w:color w:val="000000"/>
                <w:sz w:val="21"/>
                <w:szCs w:val="21"/>
              </w:rPr>
              <w:t>投标方应面向招标方提供定期的勒索病毒入侵风险专项排查，投标方应按照勒索预防Checklist开展勒索风险评估，勒索预防Checklist应当包含勒索高危利用漏洞、端口、安全策略、攻击行为、勒索残留隐患几个纬度。</w:t>
            </w:r>
            <w:r>
              <w:rPr>
                <w:rFonts w:hint="eastAsia" w:ascii="宋体" w:hAnsi="宋体" w:eastAsia="宋体" w:cs="宋体"/>
                <w:b w:val="0"/>
                <w:bCs/>
                <w:color w:val="000000"/>
                <w:sz w:val="21"/>
                <w:szCs w:val="21"/>
              </w:rPr>
              <w:br w:type="textWrapping"/>
            </w:r>
            <w:r>
              <w:rPr>
                <w:rFonts w:hint="eastAsia" w:ascii="宋体" w:hAnsi="宋体" w:cs="宋体"/>
                <w:b w:val="0"/>
                <w:bCs/>
                <w:color w:val="000000"/>
                <w:sz w:val="21"/>
                <w:szCs w:val="21"/>
                <w:lang w:val="en-US" w:eastAsia="zh-CN"/>
              </w:rPr>
              <w:t>2.</w:t>
            </w:r>
            <w:r>
              <w:rPr>
                <w:rFonts w:hint="eastAsia" w:ascii="宋体" w:hAnsi="宋体" w:eastAsia="宋体" w:cs="宋体"/>
                <w:b w:val="0"/>
                <w:bCs/>
                <w:color w:val="000000"/>
                <w:sz w:val="21"/>
                <w:szCs w:val="21"/>
              </w:rPr>
              <w:t>投标方定期按照勒索预防Checklist开展勒索风险评估后应当每季度一次向招标方提供《勒索病毒风险排查报告》，包括中应包含全面的勒索风险分析和隐患加固处置的情况，并且投标方有义务按招标方要求进行远程或现场的成果汇报。</w:t>
            </w:r>
          </w:p>
        </w:tc>
        <w:tc>
          <w:tcPr>
            <w:tcW w:w="1890" w:type="dxa"/>
            <w:shd w:val="clear" w:color="auto" w:fill="auto"/>
            <w:vAlign w:val="center"/>
          </w:tcPr>
          <w:p w14:paraId="418CF3C8">
            <w:pPr>
              <w:widowControl/>
              <w:jc w:val="center"/>
              <w:rPr>
                <w:rFonts w:hint="eastAsia" w:ascii="宋体" w:hAnsi="宋体" w:eastAsia="宋体" w:cs="宋体"/>
                <w:b w:val="0"/>
                <w:bCs/>
                <w:kern w:val="0"/>
                <w:sz w:val="21"/>
                <w:szCs w:val="21"/>
                <w:lang w:val="en-US" w:eastAsia="zh-CN"/>
              </w:rPr>
            </w:pPr>
          </w:p>
        </w:tc>
        <w:tc>
          <w:tcPr>
            <w:tcW w:w="1190" w:type="dxa"/>
            <w:shd w:val="clear" w:color="auto" w:fill="auto"/>
            <w:vAlign w:val="center"/>
          </w:tcPr>
          <w:p w14:paraId="4B804DB6">
            <w:pPr>
              <w:widowControl/>
              <w:jc w:val="center"/>
              <w:rPr>
                <w:rFonts w:hint="eastAsia" w:ascii="宋体" w:hAnsi="宋体" w:eastAsia="宋体" w:cs="宋体"/>
                <w:b w:val="0"/>
                <w:bCs/>
                <w:kern w:val="0"/>
                <w:sz w:val="21"/>
                <w:szCs w:val="21"/>
                <w:lang w:val="en-US" w:eastAsia="zh-CN"/>
              </w:rPr>
            </w:pPr>
          </w:p>
        </w:tc>
      </w:tr>
      <w:tr w14:paraId="6F61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5" w:hRule="atLeast"/>
          <w:jc w:val="center"/>
        </w:trPr>
        <w:tc>
          <w:tcPr>
            <w:tcW w:w="623" w:type="dxa"/>
            <w:shd w:val="clear" w:color="auto" w:fill="auto"/>
            <w:vAlign w:val="center"/>
          </w:tcPr>
          <w:p w14:paraId="3DFEFBA7">
            <w:pPr>
              <w:widowControl/>
              <w:jc w:val="center"/>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14</w:t>
            </w:r>
          </w:p>
        </w:tc>
        <w:tc>
          <w:tcPr>
            <w:tcW w:w="952" w:type="dxa"/>
            <w:shd w:val="clear" w:color="auto" w:fill="auto"/>
            <w:vAlign w:val="center"/>
          </w:tcPr>
          <w:p w14:paraId="12DF9C82">
            <w:pPr>
              <w:widowControl/>
              <w:jc w:val="center"/>
              <w:rPr>
                <w:rFonts w:hint="eastAsia" w:ascii="宋体" w:hAnsi="宋体" w:eastAsia="宋体" w:cs="宋体"/>
                <w:b w:val="0"/>
                <w:bCs/>
                <w:color w:val="000000"/>
                <w:sz w:val="21"/>
                <w:szCs w:val="21"/>
              </w:rPr>
            </w:pPr>
            <w:r>
              <w:rPr>
                <w:rFonts w:hint="eastAsia" w:ascii="宋体" w:hAnsi="宋体" w:eastAsia="宋体" w:cs="宋体"/>
                <w:b w:val="0"/>
                <w:bCs/>
                <w:kern w:val="0"/>
                <w:sz w:val="21"/>
                <w:szCs w:val="21"/>
              </w:rPr>
              <w:t>★</w:t>
            </w:r>
            <w:r>
              <w:rPr>
                <w:rFonts w:hint="eastAsia" w:ascii="宋体" w:hAnsi="宋体" w:eastAsia="宋体" w:cs="宋体"/>
                <w:b w:val="0"/>
                <w:bCs/>
                <w:color w:val="000000"/>
                <w:sz w:val="21"/>
                <w:szCs w:val="21"/>
                <w:lang w:val="en-US" w:eastAsia="zh-CN"/>
              </w:rPr>
              <w:t>服务</w:t>
            </w:r>
            <w:r>
              <w:rPr>
                <w:rFonts w:hint="eastAsia" w:ascii="宋体" w:hAnsi="宋体" w:cs="宋体"/>
                <w:b w:val="0"/>
                <w:bCs/>
                <w:color w:val="000000"/>
                <w:sz w:val="21"/>
                <w:szCs w:val="21"/>
                <w:lang w:val="en-US" w:eastAsia="zh-CN"/>
              </w:rPr>
              <w:t>能力</w:t>
            </w:r>
            <w:r>
              <w:rPr>
                <w:rFonts w:hint="eastAsia" w:ascii="宋体" w:hAnsi="宋体" w:eastAsia="宋体" w:cs="宋体"/>
                <w:b w:val="0"/>
                <w:bCs/>
                <w:color w:val="000000"/>
                <w:sz w:val="21"/>
                <w:szCs w:val="21"/>
                <w:lang w:val="en-US" w:eastAsia="zh-CN"/>
              </w:rPr>
              <w:t>要求</w:t>
            </w:r>
          </w:p>
        </w:tc>
        <w:tc>
          <w:tcPr>
            <w:tcW w:w="725" w:type="dxa"/>
            <w:shd w:val="clear" w:color="auto" w:fill="auto"/>
            <w:vAlign w:val="center"/>
          </w:tcPr>
          <w:p w14:paraId="2A6F6AF9">
            <w:pPr>
              <w:jc w:val="center"/>
              <w:rPr>
                <w:rFonts w:hint="eastAsia" w:ascii="宋体" w:hAnsi="宋体" w:eastAsia="宋体" w:cs="宋体"/>
                <w:b w:val="0"/>
                <w:bCs/>
                <w:color w:val="000000"/>
                <w:sz w:val="21"/>
                <w:szCs w:val="21"/>
              </w:rPr>
            </w:pPr>
          </w:p>
        </w:tc>
        <w:tc>
          <w:tcPr>
            <w:tcW w:w="4548" w:type="dxa"/>
            <w:shd w:val="clear" w:color="auto" w:fill="auto"/>
            <w:vAlign w:val="center"/>
          </w:tcPr>
          <w:p w14:paraId="5C525BD0">
            <w:pPr>
              <w:pStyle w:val="25"/>
              <w:numPr>
                <w:ilvl w:val="0"/>
                <w:numId w:val="0"/>
              </w:numPr>
              <w:ind w:leftChars="0"/>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1</w:t>
            </w:r>
            <w:r>
              <w:rPr>
                <w:rFonts w:hint="eastAsia"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提供有效的ISO/IEC20000信息技术服务管理体系认证证书复印件</w:t>
            </w:r>
            <w:r>
              <w:rPr>
                <w:rFonts w:hint="eastAsia" w:ascii="宋体" w:hAnsi="宋体" w:cs="宋体"/>
                <w:b w:val="0"/>
                <w:bCs/>
                <w:color w:val="auto"/>
                <w:sz w:val="21"/>
                <w:szCs w:val="21"/>
                <w:lang w:val="en-US" w:eastAsia="zh-CN"/>
              </w:rPr>
              <w:t>。</w:t>
            </w:r>
          </w:p>
          <w:p w14:paraId="1779EF3A">
            <w:pPr>
              <w:pStyle w:val="25"/>
              <w:numPr>
                <w:ilvl w:val="0"/>
                <w:numId w:val="0"/>
              </w:numPr>
              <w:ind w:leftChars="0"/>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2</w:t>
            </w:r>
            <w:r>
              <w:rPr>
                <w:rFonts w:hint="eastAsia"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提供有效的ISO/IECC27001信息安全管理体系认证证书复印件</w:t>
            </w:r>
            <w:r>
              <w:rPr>
                <w:rFonts w:hint="eastAsia" w:ascii="宋体" w:hAnsi="宋体" w:cs="宋体"/>
                <w:b w:val="0"/>
                <w:bCs/>
                <w:color w:val="auto"/>
                <w:sz w:val="21"/>
                <w:szCs w:val="21"/>
                <w:lang w:val="en-US" w:eastAsia="zh-CN"/>
              </w:rPr>
              <w:t>。</w:t>
            </w:r>
          </w:p>
          <w:p w14:paraId="7495139A">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3</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w:t>
            </w:r>
            <w:r>
              <w:rPr>
                <w:rFonts w:hint="eastAsia" w:ascii="宋体" w:hAnsi="宋体" w:eastAsia="宋体" w:cs="宋体"/>
                <w:b w:val="0"/>
                <w:bCs/>
                <w:color w:val="auto"/>
                <w:sz w:val="21"/>
                <w:szCs w:val="21"/>
                <w:lang w:val="en-US"/>
              </w:rPr>
              <w:t>具有信息安全服务资质认证证书-信息安全风险评估服务资质三级或以上级别证书</w:t>
            </w:r>
            <w:r>
              <w:rPr>
                <w:rFonts w:hint="eastAsia" w:ascii="宋体" w:hAnsi="宋体" w:cs="宋体"/>
                <w:b w:val="0"/>
                <w:bCs/>
                <w:color w:val="auto"/>
                <w:sz w:val="21"/>
                <w:szCs w:val="21"/>
                <w:lang w:val="en-US" w:eastAsia="zh-CN"/>
              </w:rPr>
              <w:t>。</w:t>
            </w:r>
          </w:p>
          <w:p w14:paraId="2359958D">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4</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w:t>
            </w:r>
            <w:r>
              <w:rPr>
                <w:rFonts w:hint="eastAsia" w:ascii="宋体" w:hAnsi="宋体" w:eastAsia="宋体" w:cs="宋体"/>
                <w:b w:val="0"/>
                <w:bCs/>
                <w:color w:val="auto"/>
                <w:sz w:val="21"/>
                <w:szCs w:val="21"/>
              </w:rPr>
              <w:t>具备自动化渗透测试工具等先进技术工具，应用于实践环节，贯穿整个渗透过程的操作，可应用于包括信息收集、插件管理、指纹管理、漏洞发现、漏洞利用、后渗透攻击等模块</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提供截图证明文件。</w:t>
            </w:r>
          </w:p>
          <w:p w14:paraId="3CA90187">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5</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服务厂商平台具备自动化渗透测试工具等先进技术工具，应用于保障环节，可以根据可编程平台提供的接口编写自己的攻击插件，实现自定义的攻击需求，提供截图证明文件</w:t>
            </w:r>
            <w:r>
              <w:rPr>
                <w:rFonts w:hint="eastAsia" w:ascii="宋体" w:hAnsi="宋体" w:cs="宋体"/>
                <w:b w:val="0"/>
                <w:bCs/>
                <w:color w:val="auto"/>
                <w:sz w:val="21"/>
                <w:szCs w:val="21"/>
                <w:lang w:val="en-US" w:eastAsia="zh-CN"/>
              </w:rPr>
              <w:t>。</w:t>
            </w:r>
          </w:p>
          <w:p w14:paraId="064DE76F">
            <w:pPr>
              <w:pStyle w:val="3"/>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lang w:val="en-US" w:eastAsia="zh-CN"/>
              </w:rPr>
              <w:t>6</w:t>
            </w:r>
            <w:r>
              <w:rPr>
                <w:rFonts w:hint="eastAsia" w:ascii="宋体" w:hAnsi="宋体" w:cs="宋体"/>
                <w:b w:val="0"/>
                <w:bCs/>
                <w:color w:val="auto"/>
                <w:sz w:val="21"/>
                <w:szCs w:val="21"/>
                <w:lang w:val="en-US" w:eastAsia="zh-CN"/>
              </w:rPr>
              <w:t>.</w:t>
            </w:r>
            <w:r>
              <w:rPr>
                <w:rFonts w:hint="eastAsia" w:ascii="宋体" w:hAnsi="宋体" w:eastAsia="宋体" w:cs="宋体"/>
                <w:b w:val="0"/>
                <w:bCs/>
                <w:color w:val="auto"/>
                <w:sz w:val="21"/>
                <w:szCs w:val="21"/>
                <w:lang w:val="en-US" w:eastAsia="zh-CN"/>
              </w:rPr>
              <w:t>服务厂商平台</w:t>
            </w:r>
            <w:r>
              <w:rPr>
                <w:rFonts w:hint="eastAsia" w:ascii="宋体" w:hAnsi="宋体" w:eastAsia="宋体" w:cs="宋体"/>
                <w:b w:val="0"/>
                <w:bCs/>
                <w:color w:val="auto"/>
                <w:sz w:val="21"/>
                <w:szCs w:val="21"/>
              </w:rPr>
              <w:t>具备自动化渗透测试工具，可利用http协议、DNS协议等远程获取外带数据；可通过内置的方法反弹交互shell到平台，执行vim、交互执行操作等功能</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提供截图证明文件</w:t>
            </w:r>
            <w:r>
              <w:rPr>
                <w:rFonts w:hint="eastAsia" w:ascii="宋体" w:hAnsi="宋体" w:cs="宋体"/>
                <w:b w:val="0"/>
                <w:bCs/>
                <w:color w:val="auto"/>
                <w:sz w:val="21"/>
                <w:szCs w:val="21"/>
                <w:lang w:val="en-US" w:eastAsia="zh-CN"/>
              </w:rPr>
              <w:t>。</w:t>
            </w:r>
          </w:p>
          <w:p w14:paraId="5BC319CF">
            <w:pPr>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宋体" w:hAnsi="宋体" w:cs="宋体"/>
                <w:b w:val="0"/>
                <w:bCs/>
                <w:color w:val="000000"/>
                <w:sz w:val="21"/>
                <w:szCs w:val="21"/>
                <w:lang w:val="en-US" w:eastAsia="zh-CN"/>
              </w:rPr>
            </w:pPr>
            <w:r>
              <w:rPr>
                <w:rFonts w:hint="eastAsia" w:ascii="宋体" w:hAnsi="宋体" w:eastAsia="宋体" w:cs="宋体"/>
                <w:b w:val="0"/>
                <w:bCs/>
                <w:color w:val="auto"/>
                <w:sz w:val="21"/>
                <w:szCs w:val="21"/>
                <w:highlight w:val="none"/>
              </w:rPr>
              <w:t>▲</w:t>
            </w:r>
            <w:r>
              <w:rPr>
                <w:rFonts w:hint="eastAsia" w:ascii="宋体" w:hAnsi="宋体" w:cs="宋体"/>
                <w:b w:val="0"/>
                <w:bCs/>
                <w:color w:val="auto"/>
                <w:sz w:val="21"/>
                <w:szCs w:val="21"/>
                <w:lang w:val="en-US" w:eastAsia="zh-CN"/>
              </w:rPr>
              <w:t>7.</w:t>
            </w:r>
            <w:r>
              <w:rPr>
                <w:rFonts w:hint="eastAsia" w:ascii="宋体" w:hAnsi="宋体" w:eastAsia="宋体" w:cs="宋体"/>
                <w:b w:val="0"/>
                <w:bCs/>
                <w:color w:val="auto"/>
                <w:sz w:val="21"/>
                <w:szCs w:val="21"/>
                <w:lang w:val="en-US" w:eastAsia="zh-CN"/>
              </w:rPr>
              <w:t>为确保外网托管安全可靠，要求服务厂商应具有优秀的网络攻防能力，相关技术人员需有参加过护网、攻防实战演练的经验要求投标</w:t>
            </w:r>
            <w:r>
              <w:rPr>
                <w:rFonts w:hint="eastAsia" w:ascii="宋体" w:hAnsi="宋体" w:eastAsia="宋体" w:cs="宋体"/>
                <w:b w:val="0"/>
                <w:bCs/>
                <w:color w:val="auto"/>
                <w:sz w:val="21"/>
                <w:szCs w:val="21"/>
              </w:rPr>
              <w:t>供应商</w:t>
            </w:r>
            <w:r>
              <w:rPr>
                <w:rFonts w:hint="eastAsia" w:ascii="宋体" w:hAnsi="宋体" w:eastAsia="宋体" w:cs="宋体"/>
                <w:b w:val="0"/>
                <w:bCs/>
                <w:color w:val="auto"/>
                <w:sz w:val="21"/>
                <w:szCs w:val="21"/>
                <w:lang w:val="zh-TW" w:eastAsia="zh-TW"/>
              </w:rPr>
              <w:t>具备</w:t>
            </w:r>
            <w:r>
              <w:rPr>
                <w:rFonts w:hint="eastAsia" w:ascii="宋体" w:hAnsi="宋体" w:eastAsia="宋体" w:cs="宋体"/>
                <w:b w:val="0"/>
                <w:bCs/>
                <w:color w:val="auto"/>
                <w:sz w:val="21"/>
                <w:szCs w:val="21"/>
              </w:rPr>
              <w:t>信息系统运行维护能力证书</w:t>
            </w:r>
            <w:r>
              <w:rPr>
                <w:rFonts w:hint="eastAsia" w:ascii="宋体" w:hAnsi="宋体" w:eastAsia="宋体" w:cs="宋体"/>
                <w:b w:val="0"/>
                <w:bCs/>
                <w:color w:val="auto"/>
                <w:sz w:val="21"/>
                <w:szCs w:val="21"/>
                <w:lang w:eastAsia="zh-CN"/>
              </w:rPr>
              <w:t>。</w:t>
            </w:r>
          </w:p>
        </w:tc>
        <w:tc>
          <w:tcPr>
            <w:tcW w:w="1890" w:type="dxa"/>
            <w:shd w:val="clear" w:color="auto" w:fill="auto"/>
            <w:vAlign w:val="center"/>
          </w:tcPr>
          <w:p w14:paraId="00BDB459">
            <w:pPr>
              <w:widowControl/>
              <w:jc w:val="center"/>
              <w:rPr>
                <w:rFonts w:hint="eastAsia" w:ascii="宋体" w:hAnsi="宋体" w:eastAsia="宋体" w:cs="宋体"/>
                <w:b w:val="0"/>
                <w:bCs/>
                <w:kern w:val="0"/>
                <w:sz w:val="21"/>
                <w:szCs w:val="21"/>
              </w:rPr>
            </w:pPr>
          </w:p>
        </w:tc>
        <w:tc>
          <w:tcPr>
            <w:tcW w:w="1190" w:type="dxa"/>
            <w:shd w:val="clear" w:color="auto" w:fill="auto"/>
            <w:vAlign w:val="center"/>
          </w:tcPr>
          <w:p w14:paraId="54BBA6FB">
            <w:pPr>
              <w:widowControl/>
              <w:jc w:val="center"/>
              <w:rPr>
                <w:rFonts w:hint="eastAsia" w:ascii="宋体" w:hAnsi="宋体" w:eastAsia="宋体" w:cs="宋体"/>
                <w:b w:val="0"/>
                <w:bCs/>
                <w:kern w:val="0"/>
                <w:sz w:val="21"/>
                <w:szCs w:val="21"/>
              </w:rPr>
            </w:pPr>
          </w:p>
        </w:tc>
      </w:tr>
    </w:tbl>
    <w:p w14:paraId="761D9FB0">
      <w:pPr>
        <w:pStyle w:val="14"/>
        <w:rPr>
          <w:rFonts w:hint="eastAsia"/>
          <w:b/>
          <w:bCs w:val="0"/>
          <w:color w:val="auto"/>
          <w:lang w:val="en-US" w:eastAsia="zh-CN"/>
        </w:rPr>
      </w:pPr>
      <w:r>
        <w:rPr>
          <w:rFonts w:hint="eastAsia" w:ascii="宋体" w:hAnsi="宋体" w:cs="宋体"/>
          <w:b/>
          <w:bCs w:val="0"/>
          <w:color w:val="auto"/>
          <w:kern w:val="0"/>
          <w:sz w:val="24"/>
          <w:szCs w:val="24"/>
          <w:lang w:val="en-US" w:eastAsia="zh-CN"/>
        </w:rPr>
        <w:t>二、</w:t>
      </w:r>
      <w:r>
        <w:rPr>
          <w:rFonts w:hint="eastAsia" w:ascii="宋体" w:hAnsi="宋体" w:eastAsia="宋体" w:cs="宋体"/>
          <w:b/>
          <w:bCs w:val="0"/>
          <w:color w:val="auto"/>
          <w:kern w:val="0"/>
          <w:sz w:val="24"/>
          <w:szCs w:val="24"/>
          <w:lang w:val="en-US" w:eastAsia="zh-CN"/>
        </w:rPr>
        <w:t>商务要求</w:t>
      </w:r>
    </w:p>
    <w:tbl>
      <w:tblPr>
        <w:tblStyle w:val="18"/>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4831"/>
        <w:gridCol w:w="1890"/>
        <w:gridCol w:w="1215"/>
      </w:tblGrid>
      <w:tr w14:paraId="06A93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blHeader/>
          <w:jc w:val="center"/>
        </w:trPr>
        <w:tc>
          <w:tcPr>
            <w:tcW w:w="2041" w:type="dxa"/>
            <w:shd w:val="clear" w:color="auto" w:fill="auto"/>
            <w:vAlign w:val="center"/>
          </w:tcPr>
          <w:p w14:paraId="0B43A84C">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w:t>
            </w:r>
          </w:p>
        </w:tc>
        <w:tc>
          <w:tcPr>
            <w:tcW w:w="4831" w:type="dxa"/>
            <w:shd w:val="clear" w:color="auto" w:fill="auto"/>
            <w:vAlign w:val="center"/>
          </w:tcPr>
          <w:p w14:paraId="7072CAE0">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服务要求内容</w:t>
            </w:r>
          </w:p>
        </w:tc>
        <w:tc>
          <w:tcPr>
            <w:tcW w:w="1890" w:type="dxa"/>
            <w:shd w:val="clear" w:color="auto" w:fill="auto"/>
            <w:vAlign w:val="center"/>
          </w:tcPr>
          <w:p w14:paraId="17C85504">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响应内容</w:t>
            </w:r>
          </w:p>
        </w:tc>
        <w:tc>
          <w:tcPr>
            <w:tcW w:w="1215" w:type="dxa"/>
            <w:shd w:val="clear" w:color="auto" w:fill="auto"/>
            <w:vAlign w:val="center"/>
          </w:tcPr>
          <w:p w14:paraId="55C4B985">
            <w:pPr>
              <w:snapToGrid w:val="0"/>
              <w:spacing w:line="336" w:lineRule="exact"/>
              <w:jc w:val="center"/>
              <w:rPr>
                <w:rFonts w:hint="default" w:ascii="宋体" w:hAnsi="宋体" w:eastAsia="宋体" w:cs="宋体"/>
                <w:b/>
                <w:bCs w:val="0"/>
                <w:color w:val="auto"/>
                <w:sz w:val="18"/>
                <w:szCs w:val="18"/>
                <w:lang w:val="en-US" w:eastAsia="zh-CN"/>
              </w:rPr>
            </w:pPr>
            <w:r>
              <w:rPr>
                <w:rFonts w:hint="eastAsia" w:ascii="宋体" w:hAnsi="宋体" w:eastAsia="宋体" w:cs="宋体"/>
                <w:b/>
                <w:bCs w:val="0"/>
                <w:color w:val="auto"/>
                <w:sz w:val="18"/>
                <w:szCs w:val="18"/>
                <w:lang w:val="en-US" w:eastAsia="zh-CN"/>
              </w:rPr>
              <w:t>响应情况</w:t>
            </w:r>
          </w:p>
        </w:tc>
      </w:tr>
      <w:tr w14:paraId="6B36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2041" w:type="dxa"/>
            <w:shd w:val="clear" w:color="auto" w:fill="auto"/>
            <w:vAlign w:val="center"/>
          </w:tcPr>
          <w:p w14:paraId="6257D0BE">
            <w:pPr>
              <w:snapToGrid w:val="0"/>
              <w:spacing w:line="336" w:lineRule="exact"/>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sz w:val="21"/>
                <w:szCs w:val="21"/>
                <w:lang w:val="en-US" w:eastAsia="zh-CN"/>
              </w:rPr>
              <w:t>（一）供应商资质</w:t>
            </w:r>
          </w:p>
        </w:tc>
        <w:tc>
          <w:tcPr>
            <w:tcW w:w="4831" w:type="dxa"/>
            <w:shd w:val="clear" w:color="auto" w:fill="auto"/>
            <w:vAlign w:val="center"/>
          </w:tcPr>
          <w:p w14:paraId="7EC5F1D6">
            <w:pPr>
              <w:snapToGrid w:val="0"/>
              <w:spacing w:line="336" w:lineRule="exact"/>
              <w:rPr>
                <w:rFonts w:hint="eastAsia" w:ascii="宋体" w:hAnsi="宋体" w:eastAsia="宋体" w:cs="宋体"/>
                <w:b w:val="0"/>
                <w:bCs/>
                <w:color w:val="auto"/>
                <w:kern w:val="2"/>
                <w:sz w:val="21"/>
                <w:szCs w:val="21"/>
                <w:lang w:val="en-US" w:eastAsia="zh-CN" w:bidi="ar-SA"/>
              </w:rPr>
            </w:pPr>
            <w:r>
              <w:rPr>
                <w:rFonts w:hint="eastAsia" w:ascii="宋体" w:hAnsi="宋体" w:eastAsia="宋体" w:cs="宋体"/>
                <w:color w:val="auto"/>
                <w:sz w:val="21"/>
                <w:szCs w:val="21"/>
              </w:rPr>
              <w:t>国内注册【依法在市场监督管理部门（或行政审批部门）登记注册】的，具</w:t>
            </w:r>
            <w:r>
              <w:rPr>
                <w:rFonts w:hint="eastAsia" w:ascii="宋体" w:hAnsi="宋体" w:eastAsia="宋体" w:cs="宋体"/>
                <w:color w:val="auto"/>
                <w:sz w:val="21"/>
                <w:szCs w:val="21"/>
                <w:lang w:val="en-US" w:eastAsia="zh-CN"/>
              </w:rPr>
              <w:t>备合法</w:t>
            </w:r>
            <w:r>
              <w:rPr>
                <w:rFonts w:hint="eastAsia" w:ascii="宋体" w:hAnsi="宋体" w:eastAsia="宋体" w:cs="宋体"/>
                <w:color w:val="auto"/>
                <w:sz w:val="21"/>
                <w:szCs w:val="21"/>
              </w:rPr>
              <w:t>资格的供应商</w:t>
            </w:r>
            <w:r>
              <w:rPr>
                <w:rFonts w:hint="eastAsia" w:ascii="宋体" w:hAnsi="宋体" w:eastAsia="宋体" w:cs="宋体"/>
                <w:color w:val="auto"/>
                <w:sz w:val="21"/>
                <w:szCs w:val="21"/>
                <w:lang w:eastAsia="zh-CN"/>
              </w:rPr>
              <w:t>。</w:t>
            </w:r>
          </w:p>
        </w:tc>
        <w:tc>
          <w:tcPr>
            <w:tcW w:w="1890" w:type="dxa"/>
            <w:shd w:val="clear" w:color="auto" w:fill="auto"/>
            <w:vAlign w:val="center"/>
          </w:tcPr>
          <w:p w14:paraId="094EBE82">
            <w:pPr>
              <w:snapToGrid w:val="0"/>
              <w:spacing w:line="336" w:lineRule="exact"/>
              <w:rPr>
                <w:rFonts w:hint="eastAsia" w:ascii="宋体" w:hAnsi="宋体" w:eastAsia="宋体" w:cs="宋体"/>
                <w:color w:val="auto"/>
                <w:sz w:val="21"/>
                <w:szCs w:val="21"/>
              </w:rPr>
            </w:pPr>
          </w:p>
        </w:tc>
        <w:tc>
          <w:tcPr>
            <w:tcW w:w="1215" w:type="dxa"/>
            <w:shd w:val="clear" w:color="auto" w:fill="auto"/>
            <w:vAlign w:val="center"/>
          </w:tcPr>
          <w:p w14:paraId="7DD0F913">
            <w:pPr>
              <w:snapToGrid w:val="0"/>
              <w:spacing w:line="336" w:lineRule="exact"/>
              <w:rPr>
                <w:rFonts w:hint="eastAsia" w:ascii="宋体" w:hAnsi="宋体" w:eastAsia="宋体" w:cs="宋体"/>
                <w:color w:val="auto"/>
                <w:sz w:val="21"/>
                <w:szCs w:val="21"/>
              </w:rPr>
            </w:pPr>
          </w:p>
        </w:tc>
      </w:tr>
      <w:tr w14:paraId="4DFB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5" w:hRule="atLeast"/>
          <w:jc w:val="center"/>
        </w:trPr>
        <w:tc>
          <w:tcPr>
            <w:tcW w:w="2041" w:type="dxa"/>
            <w:shd w:val="clear" w:color="auto" w:fill="auto"/>
            <w:vAlign w:val="center"/>
          </w:tcPr>
          <w:p w14:paraId="1F19557F">
            <w:pPr>
              <w:snapToGrid w:val="0"/>
              <w:spacing w:line="336" w:lineRule="exact"/>
              <w:rPr>
                <w:rFonts w:hint="eastAsia" w:ascii="宋体" w:hAnsi="宋体" w:eastAsia="宋体" w:cs="宋体"/>
                <w:sz w:val="21"/>
                <w:szCs w:val="21"/>
                <w:lang w:val="zh-CN" w:eastAsia="zh-CN"/>
              </w:rPr>
            </w:pPr>
            <w:r>
              <w:rPr>
                <w:rFonts w:hint="eastAsia" w:ascii="宋体" w:hAnsi="宋体" w:eastAsia="宋体" w:cs="宋体"/>
                <w:sz w:val="21"/>
                <w:szCs w:val="21"/>
                <w:lang w:val="en-US" w:eastAsia="zh-CN"/>
              </w:rPr>
              <w:t>（二）</w:t>
            </w:r>
            <w:r>
              <w:rPr>
                <w:rFonts w:hint="eastAsia" w:ascii="宋体" w:hAnsi="宋体" w:eastAsia="宋体" w:cs="宋体"/>
                <w:sz w:val="21"/>
                <w:szCs w:val="21"/>
                <w:lang w:val="zh-CN"/>
              </w:rPr>
              <w:t>提供免费技术培训</w:t>
            </w:r>
          </w:p>
          <w:p w14:paraId="2040EF59">
            <w:pPr>
              <w:jc w:val="center"/>
              <w:rPr>
                <w:rFonts w:hint="eastAsia" w:ascii="宋体" w:hAnsi="宋体" w:eastAsia="宋体" w:cs="宋体"/>
                <w:b w:val="0"/>
                <w:bCs/>
                <w:color w:val="000000"/>
                <w:kern w:val="2"/>
                <w:sz w:val="21"/>
                <w:szCs w:val="21"/>
                <w:lang w:val="en-US" w:eastAsia="zh-CN" w:bidi="ar-SA"/>
              </w:rPr>
            </w:pPr>
          </w:p>
        </w:tc>
        <w:tc>
          <w:tcPr>
            <w:tcW w:w="4831" w:type="dxa"/>
            <w:shd w:val="clear" w:color="auto" w:fill="auto"/>
            <w:vAlign w:val="center"/>
          </w:tcPr>
          <w:p w14:paraId="04D85299">
            <w:pPr>
              <w:snapToGrid w:val="0"/>
              <w:spacing w:line="336" w:lineRule="exact"/>
              <w:rPr>
                <w:rFonts w:hint="eastAsia" w:ascii="宋体" w:hAnsi="宋体" w:eastAsia="宋体" w:cs="宋体"/>
                <w:b w:val="0"/>
                <w:bCs/>
                <w:kern w:val="0"/>
                <w:sz w:val="21"/>
                <w:szCs w:val="21"/>
                <w:lang w:val="en-US" w:eastAsia="zh-CN" w:bidi="ar-SA"/>
              </w:rPr>
            </w:pPr>
            <w:r>
              <w:rPr>
                <w:rFonts w:hint="eastAsia" w:ascii="宋体" w:hAnsi="宋体" w:eastAsia="宋体" w:cs="宋体"/>
                <w:sz w:val="21"/>
                <w:szCs w:val="21"/>
              </w:rPr>
              <w:t>须提供详细的项目培训计划；对系统使用人员、系统运行维护管理人员等不同对象的培训计划；培训课程安排、培训方式及时间；地点场所由采购人提供；提供系统操作培训：主要面向医院医务人员及相关管理部门等使用系统的人员，提供操作培训；提供系统日常维护系统培训：主要面向医院信息管理技术人员进行培训，使其具备独立进行系统日常维护、故障的诊断与处理等方面的培训。</w:t>
            </w:r>
          </w:p>
        </w:tc>
        <w:tc>
          <w:tcPr>
            <w:tcW w:w="1890" w:type="dxa"/>
            <w:shd w:val="clear" w:color="auto" w:fill="auto"/>
            <w:vAlign w:val="center"/>
          </w:tcPr>
          <w:p w14:paraId="18246BF9">
            <w:pPr>
              <w:snapToGrid w:val="0"/>
              <w:spacing w:line="336" w:lineRule="exact"/>
              <w:rPr>
                <w:rFonts w:hint="eastAsia" w:ascii="宋体" w:hAnsi="宋体" w:eastAsia="宋体" w:cs="宋体"/>
                <w:sz w:val="21"/>
                <w:szCs w:val="21"/>
              </w:rPr>
            </w:pPr>
          </w:p>
        </w:tc>
        <w:tc>
          <w:tcPr>
            <w:tcW w:w="1215" w:type="dxa"/>
            <w:shd w:val="clear" w:color="auto" w:fill="auto"/>
            <w:vAlign w:val="center"/>
          </w:tcPr>
          <w:p w14:paraId="39C6B8EF">
            <w:pPr>
              <w:snapToGrid w:val="0"/>
              <w:spacing w:line="336" w:lineRule="exact"/>
              <w:rPr>
                <w:rFonts w:hint="eastAsia" w:ascii="宋体" w:hAnsi="宋体" w:eastAsia="宋体" w:cs="宋体"/>
                <w:sz w:val="21"/>
                <w:szCs w:val="21"/>
              </w:rPr>
            </w:pPr>
          </w:p>
        </w:tc>
      </w:tr>
      <w:tr w14:paraId="28302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041" w:type="dxa"/>
            <w:shd w:val="clear" w:color="auto" w:fill="auto"/>
            <w:vAlign w:val="center"/>
          </w:tcPr>
          <w:p w14:paraId="52D9778A">
            <w:pPr>
              <w:snapToGrid w:val="0"/>
              <w:spacing w:line="336" w:lineRule="exact"/>
              <w:rPr>
                <w:rFonts w:hint="eastAsia" w:ascii="宋体" w:hAnsi="宋体" w:eastAsia="宋体" w:cs="宋体"/>
                <w:b w:val="0"/>
                <w:bCs/>
                <w:color w:val="000000"/>
                <w:sz w:val="21"/>
                <w:szCs w:val="21"/>
              </w:rPr>
            </w:pPr>
            <w:r>
              <w:rPr>
                <w:rFonts w:hint="eastAsia" w:ascii="宋体" w:hAnsi="宋体" w:eastAsia="宋体" w:cs="宋体"/>
                <w:sz w:val="21"/>
                <w:szCs w:val="21"/>
                <w:lang w:val="zh-CN"/>
              </w:rPr>
              <w:t>（</w:t>
            </w:r>
            <w:r>
              <w:rPr>
                <w:rFonts w:hint="eastAsia" w:ascii="宋体" w:hAnsi="宋体" w:eastAsia="宋体" w:cs="宋体"/>
                <w:sz w:val="21"/>
                <w:szCs w:val="21"/>
                <w:lang w:val="en-US" w:eastAsia="zh-CN"/>
              </w:rPr>
              <w:t>三</w:t>
            </w:r>
            <w:r>
              <w:rPr>
                <w:rFonts w:hint="eastAsia" w:ascii="宋体" w:hAnsi="宋体" w:eastAsia="宋体" w:cs="宋体"/>
                <w:sz w:val="21"/>
                <w:szCs w:val="21"/>
                <w:lang w:val="zh-CN"/>
              </w:rPr>
              <w:t>）</w:t>
            </w:r>
            <w:r>
              <w:rPr>
                <w:rFonts w:hint="eastAsia" w:ascii="宋体" w:hAnsi="宋体" w:eastAsia="宋体" w:cs="宋体"/>
                <w:sz w:val="21"/>
                <w:szCs w:val="21"/>
              </w:rPr>
              <w:t>交付地点</w:t>
            </w:r>
          </w:p>
        </w:tc>
        <w:tc>
          <w:tcPr>
            <w:tcW w:w="4831" w:type="dxa"/>
            <w:shd w:val="clear" w:color="auto" w:fill="auto"/>
            <w:vAlign w:val="center"/>
          </w:tcPr>
          <w:p w14:paraId="3D933CEB">
            <w:pPr>
              <w:widowControl/>
              <w:jc w:val="left"/>
              <w:rPr>
                <w:rFonts w:hint="eastAsia" w:ascii="宋体" w:hAnsi="宋体" w:eastAsia="宋体" w:cs="宋体"/>
                <w:b w:val="0"/>
                <w:bCs/>
                <w:kern w:val="0"/>
                <w:sz w:val="21"/>
                <w:szCs w:val="21"/>
              </w:rPr>
            </w:pPr>
            <w:r>
              <w:rPr>
                <w:rFonts w:hint="eastAsia" w:ascii="宋体" w:hAnsi="宋体" w:eastAsia="宋体" w:cs="宋体"/>
                <w:sz w:val="21"/>
                <w:szCs w:val="21"/>
              </w:rPr>
              <w:t>招标人指定地点。</w:t>
            </w:r>
          </w:p>
        </w:tc>
        <w:tc>
          <w:tcPr>
            <w:tcW w:w="1890" w:type="dxa"/>
            <w:shd w:val="clear" w:color="auto" w:fill="auto"/>
            <w:vAlign w:val="center"/>
          </w:tcPr>
          <w:p w14:paraId="27F5E54E">
            <w:pPr>
              <w:widowControl/>
              <w:jc w:val="left"/>
              <w:rPr>
                <w:rFonts w:hint="eastAsia" w:ascii="宋体" w:hAnsi="宋体" w:eastAsia="宋体" w:cs="宋体"/>
                <w:sz w:val="21"/>
                <w:szCs w:val="21"/>
              </w:rPr>
            </w:pPr>
          </w:p>
        </w:tc>
        <w:tc>
          <w:tcPr>
            <w:tcW w:w="1215" w:type="dxa"/>
            <w:shd w:val="clear" w:color="auto" w:fill="auto"/>
            <w:vAlign w:val="center"/>
          </w:tcPr>
          <w:p w14:paraId="7421A596">
            <w:pPr>
              <w:widowControl/>
              <w:jc w:val="left"/>
              <w:rPr>
                <w:rFonts w:hint="eastAsia" w:ascii="宋体" w:hAnsi="宋体" w:eastAsia="宋体" w:cs="宋体"/>
                <w:sz w:val="21"/>
                <w:szCs w:val="21"/>
              </w:rPr>
            </w:pPr>
          </w:p>
        </w:tc>
      </w:tr>
      <w:tr w14:paraId="13D4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3" w:hRule="atLeast"/>
          <w:jc w:val="center"/>
        </w:trPr>
        <w:tc>
          <w:tcPr>
            <w:tcW w:w="2041" w:type="dxa"/>
            <w:shd w:val="clear" w:color="auto" w:fill="auto"/>
            <w:vAlign w:val="center"/>
          </w:tcPr>
          <w:p w14:paraId="42A241FC">
            <w:pPr>
              <w:jc w:val="both"/>
              <w:rPr>
                <w:rFonts w:hint="eastAsia" w:ascii="宋体" w:hAnsi="宋体" w:eastAsia="宋体" w:cs="宋体"/>
                <w:b w:val="0"/>
                <w:bCs/>
                <w:color w:val="000000"/>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四</w:t>
            </w:r>
            <w:r>
              <w:rPr>
                <w:rFonts w:hint="eastAsia" w:ascii="宋体" w:hAnsi="宋体" w:eastAsia="宋体" w:cs="宋体"/>
                <w:sz w:val="21"/>
                <w:szCs w:val="21"/>
              </w:rPr>
              <w:t>）付款方式</w:t>
            </w:r>
          </w:p>
        </w:tc>
        <w:tc>
          <w:tcPr>
            <w:tcW w:w="4831" w:type="dxa"/>
            <w:shd w:val="clear" w:color="auto" w:fill="auto"/>
            <w:vAlign w:val="center"/>
          </w:tcPr>
          <w:p w14:paraId="5D51E7CD">
            <w:pPr>
              <w:spacing w:line="360" w:lineRule="exact"/>
              <w:ind w:right="-55" w:rightChars="-26"/>
              <w:rPr>
                <w:rFonts w:hint="eastAsia" w:ascii="宋体" w:hAnsi="宋体" w:eastAsia="宋体" w:cs="宋体"/>
                <w:bCs/>
                <w:sz w:val="21"/>
                <w:szCs w:val="21"/>
              </w:rPr>
            </w:pPr>
            <w:r>
              <w:rPr>
                <w:rFonts w:hint="eastAsia" w:ascii="宋体" w:hAnsi="宋体" w:eastAsia="宋体" w:cs="宋体"/>
                <w:bCs/>
                <w:sz w:val="21"/>
                <w:szCs w:val="21"/>
              </w:rPr>
              <w:t>1</w:t>
            </w:r>
            <w:r>
              <w:rPr>
                <w:rFonts w:hint="eastAsia" w:ascii="宋体" w:hAnsi="宋体" w:eastAsia="宋体" w:cs="宋体"/>
                <w:bCs/>
                <w:sz w:val="21"/>
                <w:szCs w:val="21"/>
                <w:lang w:val="en-US" w:eastAsia="zh-CN"/>
              </w:rPr>
              <w:t>.</w:t>
            </w:r>
            <w:r>
              <w:rPr>
                <w:rFonts w:hint="eastAsia" w:ascii="宋体" w:hAnsi="宋体" w:eastAsia="宋体" w:cs="宋体"/>
                <w:b w:val="0"/>
                <w:bCs/>
                <w:sz w:val="21"/>
                <w:szCs w:val="21"/>
              </w:rPr>
              <w:t>本运维项目按季度付款。即乙方进驻7个工作日内，乙方开具对应金额发票，甲方在收到发票后的15个工作日内支付第一季度（3个月）运维进度款40%，共计人民币大写</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），其余3个季度在乙方完成上一季度服务总结后，甲方支付下一季度运维服务进度款20%，人民币大写</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 xml:space="preserve">    </w:t>
            </w:r>
            <w:r>
              <w:rPr>
                <w:rFonts w:hint="eastAsia" w:ascii="宋体" w:hAnsi="宋体" w:eastAsia="宋体" w:cs="宋体"/>
                <w:b w:val="0"/>
                <w:bCs/>
                <w:sz w:val="21"/>
                <w:szCs w:val="21"/>
              </w:rPr>
              <w:t>）。</w:t>
            </w:r>
          </w:p>
          <w:p w14:paraId="5E301CBF">
            <w:pPr>
              <w:snapToGrid w:val="0"/>
              <w:spacing w:line="336" w:lineRule="exact"/>
              <w:rPr>
                <w:rFonts w:hint="eastAsia" w:ascii="宋体" w:hAnsi="宋体" w:eastAsia="宋体" w:cs="宋体"/>
                <w:b w:val="0"/>
                <w:bCs/>
                <w:kern w:val="0"/>
                <w:sz w:val="21"/>
                <w:szCs w:val="21"/>
              </w:rPr>
            </w:pPr>
            <w:r>
              <w:rPr>
                <w:rFonts w:hint="eastAsia" w:ascii="宋体" w:hAnsi="宋体" w:eastAsia="宋体" w:cs="宋体"/>
                <w:bCs/>
                <w:sz w:val="21"/>
                <w:szCs w:val="21"/>
              </w:rPr>
              <w:t>2</w:t>
            </w:r>
            <w:r>
              <w:rPr>
                <w:rFonts w:hint="eastAsia" w:ascii="宋体" w:hAnsi="宋体" w:eastAsia="宋体" w:cs="宋体"/>
                <w:bCs/>
                <w:sz w:val="21"/>
                <w:szCs w:val="21"/>
                <w:lang w:val="en-US" w:eastAsia="zh-CN"/>
              </w:rPr>
              <w:t>.</w:t>
            </w:r>
            <w:r>
              <w:rPr>
                <w:rFonts w:hint="eastAsia" w:ascii="宋体" w:hAnsi="宋体" w:eastAsia="宋体" w:cs="宋体"/>
                <w:bCs/>
                <w:sz w:val="21"/>
                <w:szCs w:val="21"/>
              </w:rPr>
              <w:t>中标人申请款项时需同时开具正式足额发票给招标人，否则招标人可以拒绝付款。</w:t>
            </w:r>
          </w:p>
        </w:tc>
        <w:tc>
          <w:tcPr>
            <w:tcW w:w="1890" w:type="dxa"/>
            <w:shd w:val="clear" w:color="auto" w:fill="auto"/>
            <w:vAlign w:val="center"/>
          </w:tcPr>
          <w:p w14:paraId="475DA580">
            <w:pPr>
              <w:snapToGrid w:val="0"/>
              <w:spacing w:line="336" w:lineRule="exact"/>
              <w:rPr>
                <w:rFonts w:hint="eastAsia" w:ascii="宋体" w:hAnsi="宋体" w:eastAsia="宋体" w:cs="宋体"/>
                <w:bCs/>
                <w:sz w:val="21"/>
                <w:szCs w:val="21"/>
              </w:rPr>
            </w:pPr>
          </w:p>
        </w:tc>
        <w:tc>
          <w:tcPr>
            <w:tcW w:w="1215" w:type="dxa"/>
            <w:shd w:val="clear" w:color="auto" w:fill="auto"/>
            <w:vAlign w:val="center"/>
          </w:tcPr>
          <w:p w14:paraId="3AF2EEB9">
            <w:pPr>
              <w:snapToGrid w:val="0"/>
              <w:spacing w:line="336" w:lineRule="exact"/>
              <w:rPr>
                <w:rFonts w:hint="eastAsia" w:ascii="宋体" w:hAnsi="宋体" w:eastAsia="宋体" w:cs="宋体"/>
                <w:bCs/>
                <w:sz w:val="21"/>
                <w:szCs w:val="21"/>
              </w:rPr>
            </w:pPr>
          </w:p>
        </w:tc>
      </w:tr>
      <w:tr w14:paraId="21B60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2041" w:type="dxa"/>
            <w:shd w:val="clear" w:color="auto" w:fill="auto"/>
            <w:vAlign w:val="center"/>
          </w:tcPr>
          <w:p w14:paraId="0C103CEA">
            <w:pPr>
              <w:snapToGrid w:val="0"/>
              <w:spacing w:line="336" w:lineRule="exact"/>
              <w:rPr>
                <w:rFonts w:hint="eastAsia" w:ascii="宋体" w:hAnsi="宋体" w:eastAsia="宋体" w:cs="宋体"/>
                <w:sz w:val="21"/>
                <w:szCs w:val="21"/>
              </w:rPr>
            </w:pPr>
            <w:r>
              <w:rPr>
                <w:rFonts w:hint="eastAsia" w:ascii="宋体" w:hAnsi="宋体" w:eastAsia="宋体" w:cs="宋体"/>
                <w:sz w:val="21"/>
                <w:szCs w:val="21"/>
                <w:lang w:val="zh-CN"/>
              </w:rPr>
              <w:t>（</w:t>
            </w:r>
            <w:r>
              <w:rPr>
                <w:rFonts w:hint="eastAsia" w:ascii="宋体" w:hAnsi="宋体" w:eastAsia="宋体" w:cs="宋体"/>
                <w:sz w:val="21"/>
                <w:szCs w:val="21"/>
                <w:lang w:val="en-US" w:eastAsia="zh-CN"/>
              </w:rPr>
              <w:t>五</w:t>
            </w:r>
            <w:r>
              <w:rPr>
                <w:rFonts w:hint="eastAsia" w:ascii="宋体" w:hAnsi="宋体" w:eastAsia="宋体" w:cs="宋体"/>
                <w:sz w:val="21"/>
                <w:szCs w:val="21"/>
                <w:lang w:val="zh-CN"/>
              </w:rPr>
              <w:t>）</w:t>
            </w:r>
            <w:r>
              <w:rPr>
                <w:rFonts w:hint="eastAsia" w:ascii="宋体" w:hAnsi="宋体" w:eastAsia="宋体" w:cs="宋体"/>
                <w:sz w:val="21"/>
                <w:szCs w:val="21"/>
              </w:rPr>
              <w:t>验收标准</w:t>
            </w:r>
          </w:p>
          <w:p w14:paraId="4D4B4F57">
            <w:pPr>
              <w:jc w:val="center"/>
              <w:rPr>
                <w:rFonts w:hint="eastAsia" w:ascii="宋体" w:hAnsi="宋体" w:eastAsia="宋体" w:cs="宋体"/>
                <w:b w:val="0"/>
                <w:bCs/>
                <w:color w:val="000000"/>
                <w:sz w:val="21"/>
                <w:szCs w:val="21"/>
              </w:rPr>
            </w:pPr>
          </w:p>
        </w:tc>
        <w:tc>
          <w:tcPr>
            <w:tcW w:w="4831" w:type="dxa"/>
            <w:shd w:val="clear" w:color="auto" w:fill="auto"/>
            <w:vAlign w:val="center"/>
          </w:tcPr>
          <w:p w14:paraId="2B7B4177">
            <w:pPr>
              <w:adjustRightInd w:val="0"/>
              <w:snapToGrid w:val="0"/>
              <w:spacing w:line="360" w:lineRule="exact"/>
              <w:rPr>
                <w:rFonts w:hint="eastAsia" w:ascii="宋体" w:hAnsi="宋体" w:eastAsia="宋体" w:cs="宋体"/>
                <w:spacing w:val="-2"/>
                <w:sz w:val="21"/>
                <w:szCs w:val="21"/>
              </w:rPr>
            </w:pPr>
            <w:r>
              <w:rPr>
                <w:rFonts w:hint="eastAsia" w:ascii="宋体" w:hAnsi="宋体" w:eastAsia="宋体" w:cs="宋体"/>
                <w:spacing w:val="-2"/>
                <w:sz w:val="21"/>
                <w:szCs w:val="21"/>
              </w:rPr>
              <w:t>1.依据询价文件要求的采购需求、供应商报价响应文件承诺以及国家现行相关标准、规范履行合同。</w:t>
            </w:r>
          </w:p>
          <w:p w14:paraId="36752686">
            <w:pPr>
              <w:snapToGrid w:val="0"/>
              <w:spacing w:line="336" w:lineRule="exact"/>
              <w:rPr>
                <w:rFonts w:hint="eastAsia" w:ascii="宋体" w:hAnsi="宋体" w:eastAsia="宋体" w:cs="宋体"/>
                <w:b w:val="0"/>
                <w:bCs/>
                <w:kern w:val="0"/>
                <w:sz w:val="21"/>
                <w:szCs w:val="21"/>
              </w:rPr>
            </w:pPr>
            <w:r>
              <w:rPr>
                <w:rFonts w:hint="eastAsia" w:ascii="宋体" w:hAnsi="宋体" w:eastAsia="宋体" w:cs="宋体"/>
                <w:spacing w:val="-2"/>
                <w:sz w:val="21"/>
                <w:szCs w:val="21"/>
              </w:rPr>
              <w:t>2.采购人依照国家相关法律法规及行业规定及询价文件要求、供应商报价响应文件承诺进行验收。</w:t>
            </w:r>
          </w:p>
        </w:tc>
        <w:tc>
          <w:tcPr>
            <w:tcW w:w="1890" w:type="dxa"/>
            <w:shd w:val="clear" w:color="auto" w:fill="auto"/>
            <w:vAlign w:val="center"/>
          </w:tcPr>
          <w:p w14:paraId="6B250A4C">
            <w:pPr>
              <w:snapToGrid w:val="0"/>
              <w:spacing w:line="336" w:lineRule="exact"/>
              <w:rPr>
                <w:rFonts w:hint="eastAsia" w:ascii="宋体" w:hAnsi="宋体" w:eastAsia="宋体" w:cs="宋体"/>
                <w:spacing w:val="-2"/>
                <w:sz w:val="21"/>
                <w:szCs w:val="21"/>
              </w:rPr>
            </w:pPr>
          </w:p>
        </w:tc>
        <w:tc>
          <w:tcPr>
            <w:tcW w:w="1215" w:type="dxa"/>
            <w:shd w:val="clear" w:color="auto" w:fill="auto"/>
            <w:vAlign w:val="center"/>
          </w:tcPr>
          <w:p w14:paraId="7565F39D">
            <w:pPr>
              <w:snapToGrid w:val="0"/>
              <w:spacing w:line="336" w:lineRule="exact"/>
              <w:rPr>
                <w:rFonts w:hint="eastAsia" w:ascii="宋体" w:hAnsi="宋体" w:eastAsia="宋体" w:cs="宋体"/>
                <w:spacing w:val="-2"/>
                <w:sz w:val="21"/>
                <w:szCs w:val="21"/>
              </w:rPr>
            </w:pPr>
          </w:p>
        </w:tc>
      </w:tr>
      <w:tr w14:paraId="40EF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2041" w:type="dxa"/>
            <w:shd w:val="clear" w:color="auto" w:fill="auto"/>
            <w:vAlign w:val="center"/>
          </w:tcPr>
          <w:p w14:paraId="78CD264C">
            <w:pPr>
              <w:jc w:val="both"/>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val="en-US" w:eastAsia="zh-CN"/>
              </w:rPr>
              <w:t>（六）报价要求</w:t>
            </w:r>
          </w:p>
        </w:tc>
        <w:tc>
          <w:tcPr>
            <w:tcW w:w="4831" w:type="dxa"/>
            <w:shd w:val="clear" w:color="auto" w:fill="auto"/>
            <w:vAlign w:val="center"/>
          </w:tcPr>
          <w:p w14:paraId="374BE4E6">
            <w:pPr>
              <w:widowControl/>
              <w:jc w:val="left"/>
              <w:rPr>
                <w:rFonts w:hint="eastAsia" w:ascii="宋体" w:hAnsi="宋体" w:eastAsia="宋体" w:cs="宋体"/>
                <w:b w:val="0"/>
                <w:bCs/>
                <w:kern w:val="0"/>
                <w:sz w:val="21"/>
                <w:szCs w:val="21"/>
              </w:rPr>
            </w:pPr>
            <w:r>
              <w:rPr>
                <w:rFonts w:hint="eastAsia" w:ascii="宋体" w:hAnsi="宋体" w:eastAsia="宋体" w:cs="宋体"/>
                <w:spacing w:val="-2"/>
                <w:sz w:val="21"/>
                <w:szCs w:val="21"/>
              </w:rPr>
              <w:t>本项目采用综合单价方式报价，综合单价应综合考虑完成本项目产生的所有成本、税金及合理利润，具体包含但不限于完成采购标的包含的所有人工费用、差旅费、交通费、故障诊断费</w:t>
            </w:r>
            <w:r>
              <w:rPr>
                <w:rFonts w:hint="eastAsia" w:ascii="宋体" w:hAnsi="宋体" w:eastAsia="宋体" w:cs="宋体"/>
                <w:spacing w:val="-2"/>
                <w:sz w:val="21"/>
                <w:szCs w:val="21"/>
                <w:lang w:eastAsia="zh-CN"/>
              </w:rPr>
              <w:t>、</w:t>
            </w:r>
            <w:r>
              <w:rPr>
                <w:rFonts w:hint="eastAsia" w:ascii="宋体" w:hAnsi="宋体" w:eastAsia="宋体" w:cs="宋体"/>
                <w:spacing w:val="-2"/>
                <w:sz w:val="21"/>
                <w:szCs w:val="21"/>
              </w:rPr>
              <w:t>培训费、保险、税金、利润等所有成本费用。在合同实施时，采购人将不予支付完成本项目必须的但成交人没有列入的费用，并认为此费用已包括在报价中。</w:t>
            </w:r>
          </w:p>
        </w:tc>
        <w:tc>
          <w:tcPr>
            <w:tcW w:w="1890" w:type="dxa"/>
            <w:shd w:val="clear" w:color="auto" w:fill="auto"/>
            <w:vAlign w:val="center"/>
          </w:tcPr>
          <w:p w14:paraId="4C440275">
            <w:pPr>
              <w:widowControl/>
              <w:jc w:val="left"/>
              <w:rPr>
                <w:rFonts w:hint="eastAsia" w:ascii="宋体" w:hAnsi="宋体" w:eastAsia="宋体" w:cs="宋体"/>
                <w:spacing w:val="-2"/>
                <w:sz w:val="21"/>
                <w:szCs w:val="21"/>
              </w:rPr>
            </w:pPr>
          </w:p>
        </w:tc>
        <w:tc>
          <w:tcPr>
            <w:tcW w:w="1215" w:type="dxa"/>
            <w:shd w:val="clear" w:color="auto" w:fill="auto"/>
            <w:vAlign w:val="center"/>
          </w:tcPr>
          <w:p w14:paraId="171B5727">
            <w:pPr>
              <w:widowControl/>
              <w:jc w:val="left"/>
              <w:rPr>
                <w:rFonts w:hint="eastAsia" w:ascii="宋体" w:hAnsi="宋体" w:eastAsia="宋体" w:cs="宋体"/>
                <w:spacing w:val="-2"/>
                <w:sz w:val="21"/>
                <w:szCs w:val="21"/>
              </w:rPr>
            </w:pPr>
          </w:p>
        </w:tc>
      </w:tr>
      <w:tr w14:paraId="7AE2A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2041" w:type="dxa"/>
            <w:shd w:val="clear" w:color="auto" w:fill="auto"/>
            <w:vAlign w:val="center"/>
          </w:tcPr>
          <w:p w14:paraId="6C237397">
            <w:pPr>
              <w:jc w:val="both"/>
              <w:rPr>
                <w:rFonts w:hint="eastAsia" w:ascii="宋体" w:hAnsi="宋体" w:eastAsia="宋体" w:cs="宋体"/>
                <w:b w:val="0"/>
                <w:bCs/>
                <w:color w:val="000000"/>
                <w:sz w:val="21"/>
                <w:szCs w:val="21"/>
                <w:lang w:val="en-US" w:eastAsia="zh-CN"/>
              </w:rPr>
            </w:pPr>
            <w:r>
              <w:rPr>
                <w:rFonts w:hint="eastAsia" w:ascii="宋体" w:hAnsi="宋体" w:eastAsia="宋体" w:cs="宋体"/>
                <w:b w:val="0"/>
                <w:bCs/>
                <w:color w:val="000000"/>
                <w:sz w:val="21"/>
                <w:szCs w:val="21"/>
                <w:lang w:eastAsia="zh-CN"/>
              </w:rPr>
              <w:t>（</w:t>
            </w:r>
            <w:r>
              <w:rPr>
                <w:rFonts w:hint="eastAsia" w:ascii="宋体" w:hAnsi="宋体" w:eastAsia="宋体" w:cs="宋体"/>
                <w:b w:val="0"/>
                <w:bCs/>
                <w:color w:val="000000"/>
                <w:sz w:val="21"/>
                <w:szCs w:val="21"/>
                <w:lang w:val="en-US" w:eastAsia="zh-CN"/>
              </w:rPr>
              <w:t>七）最高限价</w:t>
            </w:r>
          </w:p>
        </w:tc>
        <w:tc>
          <w:tcPr>
            <w:tcW w:w="4831" w:type="dxa"/>
            <w:shd w:val="clear" w:color="auto" w:fill="auto"/>
            <w:vAlign w:val="center"/>
          </w:tcPr>
          <w:p w14:paraId="43267780">
            <w:pPr>
              <w:widowControl/>
              <w:jc w:val="left"/>
              <w:rPr>
                <w:rFonts w:hint="eastAsia" w:ascii="宋体" w:hAnsi="宋体" w:eastAsia="宋体" w:cs="宋体"/>
                <w:b w:val="0"/>
                <w:bCs/>
                <w:kern w:val="0"/>
                <w:sz w:val="21"/>
                <w:szCs w:val="21"/>
              </w:rPr>
            </w:pPr>
            <w:r>
              <w:rPr>
                <w:rFonts w:hint="eastAsia" w:ascii="宋体" w:hAnsi="宋体" w:eastAsia="宋体" w:cs="宋体"/>
                <w:spacing w:val="-2"/>
                <w:sz w:val="21"/>
                <w:szCs w:val="21"/>
              </w:rPr>
              <w:t>本项目预算金额为</w:t>
            </w:r>
            <w:r>
              <w:rPr>
                <w:rFonts w:hint="eastAsia" w:ascii="宋体" w:hAnsi="宋体" w:eastAsia="宋体" w:cs="宋体"/>
                <w:sz w:val="21"/>
                <w:szCs w:val="21"/>
              </w:rPr>
              <w:t>人民币</w:t>
            </w:r>
            <w:r>
              <w:rPr>
                <w:rFonts w:hint="eastAsia" w:ascii="宋体" w:hAnsi="宋体" w:eastAsia="宋体" w:cs="宋体"/>
                <w:sz w:val="21"/>
                <w:szCs w:val="21"/>
                <w:lang w:val="en-US" w:eastAsia="zh-CN"/>
              </w:rPr>
              <w:t>贰拾柒万叁仟元</w:t>
            </w:r>
            <w:r>
              <w:rPr>
                <w:rFonts w:hint="eastAsia" w:ascii="宋体" w:hAnsi="宋体" w:eastAsia="宋体" w:cs="宋体"/>
                <w:sz w:val="21"/>
                <w:szCs w:val="21"/>
              </w:rPr>
              <w:t>整（¥</w:t>
            </w:r>
            <w:r>
              <w:rPr>
                <w:rFonts w:hint="eastAsia" w:ascii="宋体" w:hAnsi="宋体" w:eastAsia="宋体" w:cs="宋体"/>
                <w:sz w:val="21"/>
                <w:szCs w:val="21"/>
                <w:lang w:val="en-US" w:eastAsia="zh-CN"/>
              </w:rPr>
              <w:t>273000</w:t>
            </w:r>
            <w:r>
              <w:rPr>
                <w:rFonts w:hint="eastAsia" w:ascii="宋体" w:hAnsi="宋体" w:eastAsia="宋体" w:cs="宋体"/>
                <w:sz w:val="21"/>
                <w:szCs w:val="21"/>
              </w:rPr>
              <w:t>.00元）</w:t>
            </w:r>
            <w:r>
              <w:rPr>
                <w:rFonts w:hint="eastAsia" w:ascii="宋体" w:hAnsi="宋体" w:eastAsia="宋体" w:cs="宋体"/>
                <w:spacing w:val="-2"/>
                <w:sz w:val="21"/>
                <w:szCs w:val="21"/>
              </w:rPr>
              <w:t>，供应商报价超出参考预算金额的，按无效处理。</w:t>
            </w:r>
          </w:p>
        </w:tc>
        <w:tc>
          <w:tcPr>
            <w:tcW w:w="1890" w:type="dxa"/>
            <w:shd w:val="clear" w:color="auto" w:fill="auto"/>
            <w:vAlign w:val="center"/>
          </w:tcPr>
          <w:p w14:paraId="03A61622">
            <w:pPr>
              <w:widowControl/>
              <w:jc w:val="left"/>
              <w:rPr>
                <w:rFonts w:hint="eastAsia" w:ascii="宋体" w:hAnsi="宋体" w:eastAsia="宋体" w:cs="宋体"/>
                <w:spacing w:val="-2"/>
                <w:sz w:val="21"/>
                <w:szCs w:val="21"/>
              </w:rPr>
            </w:pPr>
          </w:p>
        </w:tc>
        <w:tc>
          <w:tcPr>
            <w:tcW w:w="1215" w:type="dxa"/>
            <w:shd w:val="clear" w:color="auto" w:fill="auto"/>
            <w:vAlign w:val="center"/>
          </w:tcPr>
          <w:p w14:paraId="055CA492">
            <w:pPr>
              <w:widowControl/>
              <w:jc w:val="left"/>
              <w:rPr>
                <w:rFonts w:hint="eastAsia" w:ascii="宋体" w:hAnsi="宋体" w:eastAsia="宋体" w:cs="宋体"/>
                <w:spacing w:val="-2"/>
                <w:sz w:val="21"/>
                <w:szCs w:val="21"/>
              </w:rPr>
            </w:pPr>
          </w:p>
        </w:tc>
      </w:tr>
      <w:tr w14:paraId="2A2D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jc w:val="center"/>
        </w:trPr>
        <w:tc>
          <w:tcPr>
            <w:tcW w:w="2041" w:type="dxa"/>
            <w:shd w:val="clear" w:color="auto" w:fill="auto"/>
            <w:vAlign w:val="center"/>
          </w:tcPr>
          <w:p w14:paraId="550673AF">
            <w:pPr>
              <w:jc w:val="both"/>
              <w:rPr>
                <w:rFonts w:hint="eastAsia" w:ascii="宋体" w:hAnsi="宋体" w:eastAsia="宋体" w:cs="宋体"/>
                <w:b w:val="0"/>
                <w:bCs/>
                <w:color w:val="000000"/>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八</w:t>
            </w:r>
            <w:r>
              <w:rPr>
                <w:rFonts w:hint="eastAsia" w:ascii="宋体" w:hAnsi="宋体" w:eastAsia="宋体" w:cs="宋体"/>
                <w:sz w:val="21"/>
                <w:szCs w:val="21"/>
              </w:rPr>
              <w:t>）</w:t>
            </w:r>
            <w:r>
              <w:rPr>
                <w:rFonts w:hint="eastAsia" w:ascii="宋体" w:hAnsi="宋体" w:eastAsia="宋体" w:cs="宋体"/>
                <w:sz w:val="21"/>
                <w:szCs w:val="21"/>
                <w:lang w:val="zh-CN"/>
              </w:rPr>
              <w:t>其他要求</w:t>
            </w:r>
          </w:p>
        </w:tc>
        <w:tc>
          <w:tcPr>
            <w:tcW w:w="4831" w:type="dxa"/>
            <w:shd w:val="clear" w:color="auto" w:fill="auto"/>
            <w:vAlign w:val="center"/>
          </w:tcPr>
          <w:p w14:paraId="7E9EBEEC">
            <w:pPr>
              <w:snapToGrid w:val="0"/>
              <w:spacing w:line="336" w:lineRule="exact"/>
              <w:rPr>
                <w:rFonts w:hint="eastAsia" w:ascii="宋体" w:hAnsi="宋体" w:eastAsia="宋体" w:cs="宋体"/>
                <w:b w:val="0"/>
                <w:bCs/>
                <w:kern w:val="0"/>
                <w:sz w:val="21"/>
                <w:szCs w:val="21"/>
              </w:rPr>
            </w:pPr>
            <w:r>
              <w:rPr>
                <w:rFonts w:hint="eastAsia" w:ascii="宋体" w:hAnsi="宋体" w:eastAsia="宋体" w:cs="宋体"/>
                <w:sz w:val="21"/>
                <w:szCs w:val="21"/>
              </w:rPr>
              <w:t>本项目所提供的软件必须具有合法的版权或使用权，如在本项目范围内使用过程中出现版权或使用权纠纷，应由中标人负责</w:t>
            </w:r>
            <w:r>
              <w:rPr>
                <w:rFonts w:hint="eastAsia" w:ascii="宋体" w:hAnsi="宋体" w:eastAsia="宋体" w:cs="宋体"/>
                <w:sz w:val="21"/>
                <w:szCs w:val="21"/>
                <w:lang w:eastAsia="zh-CN"/>
              </w:rPr>
              <w:t>。</w:t>
            </w:r>
          </w:p>
        </w:tc>
        <w:tc>
          <w:tcPr>
            <w:tcW w:w="1890" w:type="dxa"/>
            <w:shd w:val="clear" w:color="auto" w:fill="auto"/>
            <w:vAlign w:val="center"/>
          </w:tcPr>
          <w:p w14:paraId="0A83D86F">
            <w:pPr>
              <w:snapToGrid w:val="0"/>
              <w:spacing w:line="336" w:lineRule="exact"/>
              <w:rPr>
                <w:rFonts w:hint="eastAsia" w:ascii="宋体" w:hAnsi="宋体" w:eastAsia="宋体" w:cs="宋体"/>
                <w:sz w:val="21"/>
                <w:szCs w:val="21"/>
              </w:rPr>
            </w:pPr>
          </w:p>
        </w:tc>
        <w:tc>
          <w:tcPr>
            <w:tcW w:w="1215" w:type="dxa"/>
            <w:shd w:val="clear" w:color="auto" w:fill="auto"/>
            <w:vAlign w:val="center"/>
          </w:tcPr>
          <w:p w14:paraId="31890CD0">
            <w:pPr>
              <w:snapToGrid w:val="0"/>
              <w:spacing w:line="336" w:lineRule="exact"/>
              <w:rPr>
                <w:rFonts w:hint="eastAsia" w:ascii="宋体" w:hAnsi="宋体" w:eastAsia="宋体" w:cs="宋体"/>
                <w:sz w:val="21"/>
                <w:szCs w:val="21"/>
              </w:rPr>
            </w:pPr>
          </w:p>
        </w:tc>
      </w:tr>
      <w:tr w14:paraId="5AE7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3" w:hRule="atLeast"/>
          <w:jc w:val="center"/>
        </w:trPr>
        <w:tc>
          <w:tcPr>
            <w:tcW w:w="9977" w:type="dxa"/>
            <w:gridSpan w:val="4"/>
            <w:shd w:val="clear" w:color="auto" w:fill="auto"/>
            <w:vAlign w:val="center"/>
          </w:tcPr>
          <w:p w14:paraId="67E35A04">
            <w:pPr>
              <w:pStyle w:val="3"/>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sz w:val="21"/>
                <w:szCs w:val="21"/>
                <w:highlight w:val="none"/>
                <w:lang w:val="en-US" w:eastAsia="zh-CN"/>
              </w:rPr>
              <w:t>注：</w:t>
            </w:r>
          </w:p>
          <w:p w14:paraId="21578E95">
            <w:pPr>
              <w:pStyle w:val="3"/>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1"/>
                <w:szCs w:val="21"/>
                <w:highlight w:val="none"/>
                <w:lang w:val="en-US" w:eastAsia="zh-CN"/>
              </w:rPr>
            </w:pPr>
            <w:r>
              <w:rPr>
                <w:rFonts w:hint="eastAsia" w:ascii="宋体" w:hAnsi="宋体" w:cs="宋体"/>
                <w:b/>
                <w:bCs/>
                <w:color w:val="000000"/>
                <w:sz w:val="21"/>
                <w:szCs w:val="21"/>
                <w:highlight w:val="none"/>
                <w:lang w:val="en-US" w:eastAsia="zh-CN"/>
              </w:rPr>
              <w:t>1.</w:t>
            </w:r>
            <w:r>
              <w:rPr>
                <w:rFonts w:hint="eastAsia" w:ascii="宋体" w:hAnsi="宋体" w:eastAsia="宋体" w:cs="宋体"/>
                <w:b/>
                <w:bCs/>
                <w:color w:val="000000"/>
                <w:sz w:val="21"/>
                <w:szCs w:val="21"/>
                <w:highlight w:val="none"/>
                <w:lang w:val="en-US" w:eastAsia="zh-CN"/>
              </w:rPr>
              <w:t>投标公司请认真评估本项目所有</w:t>
            </w:r>
            <w:r>
              <w:rPr>
                <w:rFonts w:hint="eastAsia" w:ascii="宋体" w:hAnsi="宋体" w:eastAsia="宋体" w:cs="宋体"/>
                <w:b/>
                <w:bCs/>
                <w:sz w:val="21"/>
                <w:szCs w:val="21"/>
                <w:highlight w:val="none"/>
                <w:lang w:val="en-US" w:eastAsia="zh-CN"/>
              </w:rPr>
              <w:t>交付</w:t>
            </w:r>
            <w:r>
              <w:rPr>
                <w:rFonts w:hint="eastAsia" w:ascii="宋体" w:hAnsi="宋体" w:eastAsia="宋体" w:cs="宋体"/>
                <w:b/>
                <w:bCs/>
                <w:sz w:val="21"/>
                <w:szCs w:val="21"/>
                <w:highlight w:val="none"/>
              </w:rPr>
              <w:t>需求</w:t>
            </w:r>
            <w:r>
              <w:rPr>
                <w:rFonts w:hint="eastAsia" w:ascii="宋体" w:hAnsi="宋体" w:eastAsia="宋体" w:cs="宋体"/>
                <w:b/>
                <w:bCs/>
                <w:sz w:val="21"/>
                <w:szCs w:val="21"/>
                <w:highlight w:val="none"/>
                <w:lang w:val="en-US" w:eastAsia="zh-CN"/>
              </w:rPr>
              <w:t>表，“</w:t>
            </w:r>
            <w:r>
              <w:rPr>
                <w:rFonts w:hint="eastAsia" w:ascii="宋体" w:hAnsi="宋体" w:eastAsia="宋体" w:cs="宋体"/>
                <w:b/>
                <w:bCs/>
                <w:color w:val="000000"/>
                <w:sz w:val="21"/>
                <w:szCs w:val="21"/>
                <w:highlight w:val="none"/>
              </w:rPr>
              <w:t>★</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sz w:val="21"/>
                <w:szCs w:val="21"/>
                <w:highlight w:val="none"/>
                <w:lang w:val="en-US" w:eastAsia="zh-CN"/>
              </w:rPr>
              <w:t>均为</w:t>
            </w:r>
            <w:r>
              <w:rPr>
                <w:rFonts w:hint="eastAsia" w:ascii="宋体" w:hAnsi="宋体" w:eastAsia="宋体" w:cs="宋体"/>
                <w:b/>
                <w:bCs/>
                <w:color w:val="000000"/>
                <w:sz w:val="21"/>
                <w:szCs w:val="21"/>
                <w:highlight w:val="none"/>
                <w:lang w:val="en-US" w:eastAsia="zh-CN"/>
              </w:rPr>
              <w:t>实际响应要求，若有任意一项偏离，投标文件作否决投标处理；“</w:t>
            </w:r>
            <w:r>
              <w:rPr>
                <w:rFonts w:hint="eastAsia" w:ascii="宋体" w:hAnsi="宋体" w:eastAsia="宋体" w:cs="宋体"/>
                <w:b/>
                <w:bCs/>
                <w:color w:val="000000"/>
                <w:sz w:val="21"/>
                <w:szCs w:val="21"/>
                <w:highlight w:val="none"/>
              </w:rPr>
              <w:t>▲</w:t>
            </w:r>
            <w:r>
              <w:rPr>
                <w:rFonts w:hint="eastAsia" w:ascii="宋体" w:hAnsi="宋体" w:eastAsia="宋体" w:cs="宋体"/>
                <w:b/>
                <w:bCs/>
                <w:color w:val="000000"/>
                <w:sz w:val="21"/>
                <w:szCs w:val="21"/>
                <w:highlight w:val="none"/>
                <w:lang w:eastAsia="zh-CN"/>
              </w:rPr>
              <w:t>”</w:t>
            </w:r>
            <w:r>
              <w:rPr>
                <w:rFonts w:hint="eastAsia" w:ascii="宋体" w:hAnsi="宋体" w:eastAsia="宋体" w:cs="宋体"/>
                <w:b/>
                <w:bCs/>
                <w:color w:val="000000"/>
                <w:sz w:val="21"/>
                <w:szCs w:val="21"/>
                <w:highlight w:val="none"/>
                <w:lang w:val="en-US" w:eastAsia="zh-CN"/>
              </w:rPr>
              <w:t>均</w:t>
            </w:r>
            <w:r>
              <w:rPr>
                <w:rFonts w:hint="eastAsia" w:ascii="宋体" w:hAnsi="宋体" w:eastAsia="宋体" w:cs="宋体"/>
                <w:b/>
                <w:bCs/>
                <w:color w:val="auto"/>
                <w:sz w:val="21"/>
                <w:szCs w:val="21"/>
                <w:highlight w:val="none"/>
                <w:lang w:val="en-US" w:eastAsia="zh-CN"/>
              </w:rPr>
              <w:t>要求投标</w:t>
            </w:r>
            <w:r>
              <w:rPr>
                <w:rFonts w:hint="eastAsia" w:ascii="宋体" w:hAnsi="宋体" w:eastAsia="宋体" w:cs="宋体"/>
                <w:b/>
                <w:bCs/>
                <w:color w:val="auto"/>
                <w:sz w:val="21"/>
                <w:szCs w:val="21"/>
                <w:highlight w:val="none"/>
              </w:rPr>
              <w:t>供应商</w:t>
            </w:r>
            <w:r>
              <w:rPr>
                <w:rFonts w:hint="eastAsia" w:ascii="宋体" w:hAnsi="宋体" w:eastAsia="宋体" w:cs="宋体"/>
                <w:b/>
                <w:bCs/>
                <w:color w:val="auto"/>
                <w:sz w:val="21"/>
                <w:szCs w:val="21"/>
                <w:highlight w:val="none"/>
                <w:lang w:val="zh-TW" w:eastAsia="zh-TW"/>
              </w:rPr>
              <w:t>具备</w:t>
            </w:r>
            <w:r>
              <w:rPr>
                <w:rFonts w:hint="eastAsia" w:ascii="宋体" w:hAnsi="宋体" w:eastAsia="宋体" w:cs="宋体"/>
                <w:b/>
                <w:bCs/>
                <w:sz w:val="21"/>
                <w:szCs w:val="21"/>
                <w:highlight w:val="none"/>
              </w:rPr>
              <w:t>信息系统运行维护能力证书</w:t>
            </w:r>
            <w:r>
              <w:rPr>
                <w:rFonts w:hint="eastAsia" w:ascii="宋体" w:hAnsi="宋体" w:eastAsia="宋体" w:cs="宋体"/>
                <w:b/>
                <w:bCs/>
                <w:sz w:val="21"/>
                <w:szCs w:val="21"/>
                <w:highlight w:val="none"/>
                <w:lang w:val="en-US" w:eastAsia="zh-CN"/>
              </w:rPr>
              <w:t>或提供截图证明等文件，否则被视为不响应。</w:t>
            </w:r>
          </w:p>
          <w:p w14:paraId="27C5D24E">
            <w:pPr>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2.本项目使用最低评标价法，不同报价方通过资格审查、符合性审查后进行二次报价,报价最低报价方作为意向成交供应商；二次报价后如出现相同最低报价的情况，则由报价相同的报价方进行再次报价。</w:t>
            </w:r>
          </w:p>
        </w:tc>
      </w:tr>
    </w:tbl>
    <w:p w14:paraId="48B943AC">
      <w:pPr>
        <w:pStyle w:val="4"/>
        <w:ind w:left="0" w:leftChars="0" w:firstLine="0" w:firstLineChars="0"/>
        <w:rPr>
          <w:rFonts w:hint="eastAsia"/>
          <w:lang w:val="en-US" w:eastAsia="zh-CN"/>
        </w:rPr>
      </w:pPr>
    </w:p>
    <w:p w14:paraId="1F7C3D35">
      <w:pPr>
        <w:keepNext w:val="0"/>
        <w:keepLines w:val="0"/>
        <w:pageBreakBefore w:val="0"/>
        <w:widowControl w:val="0"/>
        <w:kinsoku/>
        <w:wordWrap/>
        <w:overflowPunct/>
        <w:topLinePunct w:val="0"/>
        <w:autoSpaceDE/>
        <w:autoSpaceDN/>
        <w:bidi w:val="0"/>
        <w:adjustRightInd/>
        <w:spacing w:line="360" w:lineRule="atLeast"/>
        <w:ind w:left="0" w:right="0" w:rightChars="0"/>
        <w:rPr>
          <w:rFonts w:hint="eastAsia" w:ascii="宋体" w:hAnsi="宋体" w:eastAsia="宋体" w:cs="宋体"/>
          <w:color w:val="auto"/>
          <w:kern w:val="0"/>
          <w:sz w:val="24"/>
          <w:szCs w:val="24"/>
          <w:highlight w:val="none"/>
          <w:lang w:val="en-US" w:eastAsia="zh-CN"/>
        </w:rPr>
      </w:pPr>
    </w:p>
    <w:sectPr>
      <w:footerReference r:id="rId5"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大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2"/>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80E0C3"/>
    <w:multiLevelType w:val="multilevel"/>
    <w:tmpl w:val="8980E0C3"/>
    <w:lvl w:ilvl="0" w:tentative="0">
      <w:start w:val="1"/>
      <w:numFmt w:val="bullet"/>
      <w:suff w:val="nothing"/>
      <w:lvlText w:val=""/>
      <w:lvlJc w:val="left"/>
      <w:pPr>
        <w:ind w:left="0" w:leftChars="0" w:firstLine="0" w:firstLineChars="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A262A16B"/>
    <w:multiLevelType w:val="multilevel"/>
    <w:tmpl w:val="A262A16B"/>
    <w:lvl w:ilvl="0" w:tentative="0">
      <w:start w:val="1"/>
      <w:numFmt w:val="bullet"/>
      <w:suff w:val="nothing"/>
      <w:lvlText w:val=""/>
      <w:lvlJc w:val="left"/>
      <w:pPr>
        <w:ind w:left="0" w:hanging="420"/>
      </w:pPr>
      <w:rPr>
        <w:rFonts w:hint="default" w:ascii="Wingdings" w:hAnsi="Wingdings"/>
      </w:rPr>
    </w:lvl>
    <w:lvl w:ilvl="1" w:tentative="0">
      <w:start w:val="1"/>
      <w:numFmt w:val="bullet"/>
      <w:lvlText w:val=""/>
      <w:lvlJc w:val="left"/>
      <w:pPr>
        <w:ind w:left="420" w:hanging="420"/>
      </w:pPr>
      <w:rPr>
        <w:rFonts w:hint="default" w:ascii="Wingdings" w:hAnsi="Wingdings"/>
      </w:rPr>
    </w:lvl>
    <w:lvl w:ilvl="2" w:tentative="0">
      <w:start w:val="1"/>
      <w:numFmt w:val="bullet"/>
      <w:lvlText w:val=""/>
      <w:lvlJc w:val="left"/>
      <w:pPr>
        <w:ind w:left="840" w:hanging="420"/>
      </w:pPr>
      <w:rPr>
        <w:rFonts w:hint="default" w:ascii="Wingdings" w:hAnsi="Wingdings"/>
      </w:rPr>
    </w:lvl>
    <w:lvl w:ilvl="3" w:tentative="0">
      <w:start w:val="1"/>
      <w:numFmt w:val="bullet"/>
      <w:lvlText w:val=""/>
      <w:lvlJc w:val="left"/>
      <w:pPr>
        <w:ind w:left="1260" w:hanging="420"/>
      </w:pPr>
      <w:rPr>
        <w:rFonts w:hint="default" w:ascii="Wingdings" w:hAnsi="Wingdings"/>
      </w:rPr>
    </w:lvl>
    <w:lvl w:ilvl="4" w:tentative="0">
      <w:start w:val="1"/>
      <w:numFmt w:val="bullet"/>
      <w:lvlText w:val=""/>
      <w:lvlJc w:val="left"/>
      <w:pPr>
        <w:ind w:left="1680" w:hanging="420"/>
      </w:pPr>
      <w:rPr>
        <w:rFonts w:hint="default" w:ascii="Wingdings" w:hAnsi="Wingdings"/>
      </w:rPr>
    </w:lvl>
    <w:lvl w:ilvl="5" w:tentative="0">
      <w:start w:val="1"/>
      <w:numFmt w:val="bullet"/>
      <w:lvlText w:val=""/>
      <w:lvlJc w:val="left"/>
      <w:pPr>
        <w:ind w:left="2100" w:hanging="420"/>
      </w:pPr>
      <w:rPr>
        <w:rFonts w:hint="default" w:ascii="Wingdings" w:hAnsi="Wingdings"/>
      </w:rPr>
    </w:lvl>
    <w:lvl w:ilvl="6" w:tentative="0">
      <w:start w:val="1"/>
      <w:numFmt w:val="bullet"/>
      <w:lvlText w:val=""/>
      <w:lvlJc w:val="left"/>
      <w:pPr>
        <w:ind w:left="2520" w:hanging="420"/>
      </w:pPr>
      <w:rPr>
        <w:rFonts w:hint="default" w:ascii="Wingdings" w:hAnsi="Wingdings"/>
      </w:rPr>
    </w:lvl>
    <w:lvl w:ilvl="7" w:tentative="0">
      <w:start w:val="1"/>
      <w:numFmt w:val="bullet"/>
      <w:lvlText w:val=""/>
      <w:lvlJc w:val="left"/>
      <w:pPr>
        <w:ind w:left="2940" w:hanging="420"/>
      </w:pPr>
      <w:rPr>
        <w:rFonts w:hint="default" w:ascii="Wingdings" w:hAnsi="Wingdings"/>
      </w:rPr>
    </w:lvl>
    <w:lvl w:ilvl="8" w:tentative="0">
      <w:start w:val="1"/>
      <w:numFmt w:val="bullet"/>
      <w:lvlText w:val=""/>
      <w:lvlJc w:val="left"/>
      <w:pPr>
        <w:ind w:left="3360" w:hanging="420"/>
      </w:pPr>
      <w:rPr>
        <w:rFonts w:hint="default" w:ascii="Wingdings" w:hAnsi="Wingdings"/>
      </w:rPr>
    </w:lvl>
  </w:abstractNum>
  <w:abstractNum w:abstractNumId="2">
    <w:nsid w:val="A62F09FF"/>
    <w:multiLevelType w:val="singleLevel"/>
    <w:tmpl w:val="A62F09FF"/>
    <w:lvl w:ilvl="0" w:tentative="0">
      <w:start w:val="3"/>
      <w:numFmt w:val="decimal"/>
      <w:lvlText w:val="%1."/>
      <w:lvlJc w:val="left"/>
      <w:pPr>
        <w:tabs>
          <w:tab w:val="left" w:pos="312"/>
        </w:tabs>
      </w:pPr>
    </w:lvl>
  </w:abstractNum>
  <w:abstractNum w:abstractNumId="3">
    <w:nsid w:val="C6A6D0E2"/>
    <w:multiLevelType w:val="multilevel"/>
    <w:tmpl w:val="C6A6D0E2"/>
    <w:lvl w:ilvl="0" w:tentative="0">
      <w:start w:val="1"/>
      <w:numFmt w:val="bullet"/>
      <w:suff w:val="nothing"/>
      <w:lvlText w:val=""/>
      <w:lvlJc w:val="left"/>
      <w:pPr>
        <w:ind w:left="0" w:leftChars="0" w:firstLine="0" w:firstLineChars="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DC766BAA"/>
    <w:multiLevelType w:val="multilevel"/>
    <w:tmpl w:val="DC766BAA"/>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5B69816"/>
    <w:multiLevelType w:val="multilevel"/>
    <w:tmpl w:val="15B69816"/>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2907006"/>
    <w:multiLevelType w:val="multilevel"/>
    <w:tmpl w:val="52907006"/>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C946299"/>
    <w:multiLevelType w:val="singleLevel"/>
    <w:tmpl w:val="5C946299"/>
    <w:lvl w:ilvl="0" w:tentative="0">
      <w:start w:val="0"/>
      <w:numFmt w:val="decimal"/>
      <w:lvlText w:val=""/>
      <w:lvlJc w:val="left"/>
    </w:lvl>
  </w:abstractNum>
  <w:abstractNum w:abstractNumId="8">
    <w:nsid w:val="642F095C"/>
    <w:multiLevelType w:val="multilevel"/>
    <w:tmpl w:val="642F095C"/>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8DDDFAE"/>
    <w:multiLevelType w:val="multilevel"/>
    <w:tmpl w:val="68DDDFAE"/>
    <w:lvl w:ilvl="0" w:tentative="0">
      <w:start w:val="1"/>
      <w:numFmt w:val="bullet"/>
      <w:suff w:val="nothing"/>
      <w:lvlText w:val=""/>
      <w:lvlJc w:val="left"/>
      <w:pPr>
        <w:ind w:left="0" w:leftChars="0" w:firstLine="0" w:firstLineChars="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0E814E4"/>
    <w:multiLevelType w:val="multilevel"/>
    <w:tmpl w:val="70E814E4"/>
    <w:lvl w:ilvl="0" w:tentative="0">
      <w:start w:val="1"/>
      <w:numFmt w:val="bullet"/>
      <w:suff w:val="nothing"/>
      <w:lvlText w:val=""/>
      <w:lvlJc w:val="left"/>
      <w:pPr>
        <w:ind w:left="0" w:leftChars="0" w:firstLine="0" w:firstLineChars="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8"/>
  </w:num>
  <w:num w:numId="4">
    <w:abstractNumId w:val="6"/>
  </w:num>
  <w:num w:numId="5">
    <w:abstractNumId w:val="5"/>
  </w:num>
  <w:num w:numId="6">
    <w:abstractNumId w:val="3"/>
  </w:num>
  <w:num w:numId="7">
    <w:abstractNumId w:val="2"/>
  </w:num>
  <w:num w:numId="8">
    <w:abstractNumId w:val="9"/>
  </w:num>
  <w:num w:numId="9">
    <w:abstractNumId w:val="0"/>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0DE743F"/>
    <w:rsid w:val="02683984"/>
    <w:rsid w:val="02FD0CF1"/>
    <w:rsid w:val="03170066"/>
    <w:rsid w:val="040C25C7"/>
    <w:rsid w:val="04243DB5"/>
    <w:rsid w:val="07007FB0"/>
    <w:rsid w:val="07131B99"/>
    <w:rsid w:val="084A6CA8"/>
    <w:rsid w:val="08E753B1"/>
    <w:rsid w:val="0986545C"/>
    <w:rsid w:val="09D26538"/>
    <w:rsid w:val="0AC32F5A"/>
    <w:rsid w:val="0B2B77D7"/>
    <w:rsid w:val="0BBB53E9"/>
    <w:rsid w:val="0C410494"/>
    <w:rsid w:val="0C607D04"/>
    <w:rsid w:val="0CBB0F91"/>
    <w:rsid w:val="0DA37AF0"/>
    <w:rsid w:val="0DA737E2"/>
    <w:rsid w:val="0E1F47C3"/>
    <w:rsid w:val="0F144FD0"/>
    <w:rsid w:val="0F307AB2"/>
    <w:rsid w:val="0F8D7EF3"/>
    <w:rsid w:val="114F21D0"/>
    <w:rsid w:val="119D51A7"/>
    <w:rsid w:val="12936D65"/>
    <w:rsid w:val="13195B80"/>
    <w:rsid w:val="136F3FF2"/>
    <w:rsid w:val="1382169D"/>
    <w:rsid w:val="13ED1A3D"/>
    <w:rsid w:val="150F1F18"/>
    <w:rsid w:val="15B81AAD"/>
    <w:rsid w:val="176E5B42"/>
    <w:rsid w:val="18EC5F6C"/>
    <w:rsid w:val="19240790"/>
    <w:rsid w:val="19692D39"/>
    <w:rsid w:val="197D7C42"/>
    <w:rsid w:val="19B749B1"/>
    <w:rsid w:val="1A2C63B1"/>
    <w:rsid w:val="1C14008C"/>
    <w:rsid w:val="1CA55D24"/>
    <w:rsid w:val="1D2E7C28"/>
    <w:rsid w:val="1D550BE9"/>
    <w:rsid w:val="1EB1403F"/>
    <w:rsid w:val="1EBF357F"/>
    <w:rsid w:val="1F4120B0"/>
    <w:rsid w:val="20854155"/>
    <w:rsid w:val="208B10B6"/>
    <w:rsid w:val="20D34741"/>
    <w:rsid w:val="21895A79"/>
    <w:rsid w:val="2205092A"/>
    <w:rsid w:val="228856AB"/>
    <w:rsid w:val="243E26CD"/>
    <w:rsid w:val="2CEF7B05"/>
    <w:rsid w:val="2D1E4F96"/>
    <w:rsid w:val="2D2C4FA8"/>
    <w:rsid w:val="2D37421B"/>
    <w:rsid w:val="2F212776"/>
    <w:rsid w:val="2F8070B6"/>
    <w:rsid w:val="30933641"/>
    <w:rsid w:val="324673DF"/>
    <w:rsid w:val="329761A5"/>
    <w:rsid w:val="32F86271"/>
    <w:rsid w:val="33D86299"/>
    <w:rsid w:val="341C79D9"/>
    <w:rsid w:val="34BF4EEE"/>
    <w:rsid w:val="34CD5E58"/>
    <w:rsid w:val="36173CCD"/>
    <w:rsid w:val="38085B45"/>
    <w:rsid w:val="389F0A37"/>
    <w:rsid w:val="39CF7145"/>
    <w:rsid w:val="39E373A4"/>
    <w:rsid w:val="3A576195"/>
    <w:rsid w:val="3AC743FB"/>
    <w:rsid w:val="3ADD3822"/>
    <w:rsid w:val="3D43787A"/>
    <w:rsid w:val="3E3A59A8"/>
    <w:rsid w:val="3EED2C60"/>
    <w:rsid w:val="4142490E"/>
    <w:rsid w:val="42E21359"/>
    <w:rsid w:val="435D0145"/>
    <w:rsid w:val="43CC0E50"/>
    <w:rsid w:val="44613C8E"/>
    <w:rsid w:val="44E83766"/>
    <w:rsid w:val="4597723C"/>
    <w:rsid w:val="479B2F0C"/>
    <w:rsid w:val="483A4452"/>
    <w:rsid w:val="48FA4C52"/>
    <w:rsid w:val="4A312547"/>
    <w:rsid w:val="4B4E47F1"/>
    <w:rsid w:val="4C651AA9"/>
    <w:rsid w:val="4CBC303B"/>
    <w:rsid w:val="4D740965"/>
    <w:rsid w:val="4D7A7AAC"/>
    <w:rsid w:val="4D9667F9"/>
    <w:rsid w:val="4E87251F"/>
    <w:rsid w:val="4EEA0F57"/>
    <w:rsid w:val="4FA04619"/>
    <w:rsid w:val="4FB10925"/>
    <w:rsid w:val="503E4BB7"/>
    <w:rsid w:val="50B13D19"/>
    <w:rsid w:val="52B54C41"/>
    <w:rsid w:val="54B90E02"/>
    <w:rsid w:val="558176A7"/>
    <w:rsid w:val="55FE26A7"/>
    <w:rsid w:val="5791024B"/>
    <w:rsid w:val="57AC32CF"/>
    <w:rsid w:val="595D75C8"/>
    <w:rsid w:val="598248D4"/>
    <w:rsid w:val="59CC3A3D"/>
    <w:rsid w:val="59FF38D6"/>
    <w:rsid w:val="5B682B6F"/>
    <w:rsid w:val="5C0D7E00"/>
    <w:rsid w:val="5C1761A2"/>
    <w:rsid w:val="5C5D4ED4"/>
    <w:rsid w:val="5CAB38A1"/>
    <w:rsid w:val="5D72486F"/>
    <w:rsid w:val="5D7C0480"/>
    <w:rsid w:val="5E2B4A9C"/>
    <w:rsid w:val="606B0631"/>
    <w:rsid w:val="60AC4FE5"/>
    <w:rsid w:val="63A804BC"/>
    <w:rsid w:val="6656456F"/>
    <w:rsid w:val="673A4CF0"/>
    <w:rsid w:val="67A82BE8"/>
    <w:rsid w:val="691055B9"/>
    <w:rsid w:val="69246CE7"/>
    <w:rsid w:val="6AD447E1"/>
    <w:rsid w:val="6F800BBD"/>
    <w:rsid w:val="6F9264CF"/>
    <w:rsid w:val="702131CC"/>
    <w:rsid w:val="726A0E84"/>
    <w:rsid w:val="74426882"/>
    <w:rsid w:val="758834A4"/>
    <w:rsid w:val="75C141A4"/>
    <w:rsid w:val="76E80695"/>
    <w:rsid w:val="774D6950"/>
    <w:rsid w:val="79F846E4"/>
    <w:rsid w:val="7A2333FA"/>
    <w:rsid w:val="7A6615E0"/>
    <w:rsid w:val="7BEE0FEB"/>
    <w:rsid w:val="7C660AAA"/>
    <w:rsid w:val="7CD73B97"/>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paragraph" w:styleId="3">
    <w:name w:val="heading 4"/>
    <w:basedOn w:val="1"/>
    <w:next w:val="1"/>
    <w:qFormat/>
    <w:uiPriority w:val="0"/>
    <w:pPr>
      <w:keepNext/>
      <w:keepLines/>
      <w:spacing w:line="360" w:lineRule="auto"/>
      <w:outlineLvl w:val="3"/>
    </w:pPr>
    <w:rPr>
      <w:rFonts w:ascii="Arial" w:hAnsi="Arial"/>
      <w:b/>
      <w:bCs/>
      <w:szCs w:val="28"/>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index 8"/>
    <w:basedOn w:val="1"/>
    <w:next w:val="1"/>
    <w:unhideWhenUsed/>
    <w:qFormat/>
    <w:uiPriority w:val="0"/>
    <w:pPr>
      <w:ind w:left="2940"/>
    </w:pPr>
  </w:style>
  <w:style w:type="paragraph" w:styleId="5">
    <w:name w:val="Normal Indent"/>
    <w:basedOn w:val="1"/>
    <w:next w:val="6"/>
    <w:autoRedefine/>
    <w:qFormat/>
    <w:uiPriority w:val="0"/>
    <w:pPr>
      <w:widowControl/>
      <w:ind w:firstLine="420"/>
      <w:jc w:val="left"/>
    </w:pPr>
    <w:rPr>
      <w:kern w:val="0"/>
      <w:sz w:val="20"/>
      <w:szCs w:val="20"/>
    </w:rPr>
  </w:style>
  <w:style w:type="paragraph" w:customStyle="1" w:styleId="6">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7">
    <w:name w:val="annotation text"/>
    <w:basedOn w:val="1"/>
    <w:autoRedefine/>
    <w:qFormat/>
    <w:uiPriority w:val="0"/>
    <w:pPr>
      <w:jc w:val="left"/>
    </w:pPr>
  </w:style>
  <w:style w:type="paragraph" w:styleId="8">
    <w:name w:val="Body Text"/>
    <w:basedOn w:val="1"/>
    <w:autoRedefine/>
    <w:qFormat/>
    <w:uiPriority w:val="0"/>
    <w:pPr>
      <w:spacing w:after="120"/>
    </w:pPr>
    <w:rPr>
      <w:rFonts w:eastAsia="宋体"/>
      <w:sz w:val="21"/>
    </w:rPr>
  </w:style>
  <w:style w:type="paragraph" w:styleId="9">
    <w:name w:val="toc 3"/>
    <w:basedOn w:val="1"/>
    <w:next w:val="1"/>
    <w:autoRedefine/>
    <w:unhideWhenUsed/>
    <w:qFormat/>
    <w:uiPriority w:val="39"/>
    <w:pPr>
      <w:ind w:left="840" w:leftChars="400"/>
    </w:pPr>
  </w:style>
  <w:style w:type="paragraph" w:styleId="10">
    <w:name w:val="Plain Text"/>
    <w:basedOn w:val="1"/>
    <w:next w:val="4"/>
    <w:autoRedefine/>
    <w:qFormat/>
    <w:uiPriority w:val="0"/>
    <w:rPr>
      <w:rFonts w:ascii="宋体" w:hAnsi="Courier New"/>
      <w:kern w:val="0"/>
      <w:sz w:val="20"/>
      <w:szCs w:val="20"/>
    </w:rPr>
  </w:style>
  <w:style w:type="paragraph" w:styleId="11">
    <w:name w:val="endnote text"/>
    <w:basedOn w:val="1"/>
    <w:autoRedefine/>
    <w:semiHidden/>
    <w:qFormat/>
    <w:uiPriority w:val="99"/>
    <w:pPr>
      <w:snapToGrid w:val="0"/>
      <w:jc w:val="left"/>
    </w:pPr>
  </w:style>
  <w:style w:type="paragraph" w:styleId="12">
    <w:name w:val="footer"/>
    <w:basedOn w:val="1"/>
    <w:autoRedefine/>
    <w:qFormat/>
    <w:uiPriority w:val="0"/>
    <w:pPr>
      <w:tabs>
        <w:tab w:val="center" w:pos="4153"/>
        <w:tab w:val="right" w:pos="8306"/>
      </w:tabs>
      <w:snapToGrid w:val="0"/>
      <w:jc w:val="left"/>
    </w:pPr>
    <w:rPr>
      <w:kern w:val="0"/>
      <w:sz w:val="18"/>
      <w:szCs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style>
  <w:style w:type="paragraph" w:styleId="15">
    <w:name w:val="footnote text"/>
    <w:basedOn w:val="1"/>
    <w:autoRedefine/>
    <w:unhideWhenUsed/>
    <w:qFormat/>
    <w:uiPriority w:val="99"/>
    <w:pPr>
      <w:snapToGrid w:val="0"/>
      <w:jc w:val="left"/>
    </w:pPr>
    <w:rPr>
      <w:sz w:val="18"/>
      <w:szCs w:val="18"/>
    </w:rPr>
  </w:style>
  <w:style w:type="paragraph" w:styleId="1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7">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autoRedefine/>
    <w:qFormat/>
    <w:uiPriority w:val="0"/>
    <w:rPr>
      <w:b/>
    </w:rPr>
  </w:style>
  <w:style w:type="character" w:styleId="22">
    <w:name w:val="Hyperlink"/>
    <w:basedOn w:val="20"/>
    <w:autoRedefine/>
    <w:qFormat/>
    <w:uiPriority w:val="0"/>
    <w:rPr>
      <w:color w:val="0000FF"/>
      <w:u w:val="single"/>
    </w:rPr>
  </w:style>
  <w:style w:type="character" w:customStyle="1" w:styleId="23">
    <w:name w:val="font11"/>
    <w:basedOn w:val="20"/>
    <w:autoRedefine/>
    <w:qFormat/>
    <w:uiPriority w:val="0"/>
    <w:rPr>
      <w:rFonts w:hint="eastAsia" w:ascii="宋体" w:hAnsi="宋体" w:eastAsia="宋体" w:cs="宋体"/>
      <w:color w:val="000000"/>
      <w:sz w:val="20"/>
      <w:szCs w:val="20"/>
      <w:u w:val="none"/>
    </w:rPr>
  </w:style>
  <w:style w:type="character" w:customStyle="1" w:styleId="24">
    <w:name w:val="font01"/>
    <w:basedOn w:val="20"/>
    <w:autoRedefine/>
    <w:qFormat/>
    <w:uiPriority w:val="0"/>
    <w:rPr>
      <w:rFonts w:hint="default" w:ascii="Arial" w:hAnsi="Arial" w:cs="Arial"/>
      <w:color w:val="000000"/>
      <w:sz w:val="20"/>
      <w:szCs w:val="20"/>
      <w:u w:val="none"/>
    </w:rPr>
  </w:style>
  <w:style w:type="paragraph" w:styleId="25">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6">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7">
    <w:name w:val="_Style 7"/>
    <w:basedOn w:val="2"/>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8">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9">
    <w:name w:val="Table Paragraph"/>
    <w:basedOn w:val="1"/>
    <w:autoRedefine/>
    <w:qFormat/>
    <w:uiPriority w:val="0"/>
    <w:pPr>
      <w:widowControl w:val="0"/>
      <w:spacing w:line="240" w:lineRule="auto"/>
    </w:pPr>
    <w:rPr>
      <w:rFonts w:ascii="Calibri" w:hAnsi="Calibri" w:eastAsia="宋体" w:cs="宋体"/>
      <w:kern w:val="2"/>
      <w:szCs w:val="22"/>
    </w:rPr>
  </w:style>
  <w:style w:type="character" w:customStyle="1" w:styleId="30">
    <w:name w:val="NormalCharacter"/>
    <w:link w:val="1"/>
    <w:autoRedefine/>
    <w:semiHidden/>
    <w:qFormat/>
    <w:uiPriority w:val="0"/>
    <w:rPr>
      <w:rFonts w:ascii="Times New Roman" w:hAnsi="Times New Roman" w:eastAsia="宋体" w:cs="Times New Roman"/>
      <w:kern w:val="2"/>
      <w:sz w:val="21"/>
      <w:szCs w:val="24"/>
      <w:lang w:val="en-US" w:eastAsia="zh-CN" w:bidi="ar-SA"/>
    </w:rPr>
  </w:style>
  <w:style w:type="paragraph" w:customStyle="1" w:styleId="31">
    <w:name w:val="PlainText"/>
    <w:basedOn w:val="1"/>
    <w:next w:val="32"/>
    <w:autoRedefine/>
    <w:qFormat/>
    <w:uiPriority w:val="0"/>
    <w:pPr>
      <w:jc w:val="both"/>
      <w:textAlignment w:val="baseline"/>
    </w:pPr>
    <w:rPr>
      <w:rFonts w:ascii="宋体" w:hAnsi="Courier New"/>
      <w:kern w:val="2"/>
      <w:sz w:val="21"/>
      <w:szCs w:val="20"/>
      <w:lang w:val="en-US" w:eastAsia="zh-CN" w:bidi="ar-SA"/>
    </w:rPr>
  </w:style>
  <w:style w:type="paragraph" w:customStyle="1" w:styleId="32">
    <w:name w:val="Heading1"/>
    <w:basedOn w:val="1"/>
    <w:next w:val="1"/>
    <w:autoRedefine/>
    <w:qFormat/>
    <w:uiPriority w:val="0"/>
    <w:pPr>
      <w:keepNext/>
      <w:keepLines/>
      <w:spacing w:before="340" w:after="330" w:line="578" w:lineRule="auto"/>
      <w:jc w:val="both"/>
      <w:textAlignment w:val="baseline"/>
    </w:pPr>
    <w:rPr>
      <w:rFonts w:cs="Times New Roman"/>
      <w:b/>
      <w:bCs/>
      <w:kern w:val="44"/>
      <w:sz w:val="44"/>
      <w:szCs w:val="44"/>
      <w:lang w:val="en-US" w:eastAsia="zh-CN" w:bidi="ar-SA"/>
    </w:rPr>
  </w:style>
  <w:style w:type="paragraph" w:customStyle="1" w:styleId="33">
    <w:name w:val="正文_0_0"/>
    <w:qFormat/>
    <w:uiPriority w:val="0"/>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29877</Words>
  <Characters>31227</Characters>
  <Lines>0</Lines>
  <Paragraphs>0</Paragraphs>
  <TotalTime>20</TotalTime>
  <ScaleCrop>false</ScaleCrop>
  <LinksUpToDate>false</LinksUpToDate>
  <CharactersWithSpaces>32300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2024-12-23T07:42:19Z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B6AE691A421449F8B708A3A2DB22E9F0_13</vt:lpwstr>
  </property>
</Properties>
</file>