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-385" w:tblpY="274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43"/>
        <w:gridCol w:w="6838"/>
      </w:tblGrid>
      <w:tr w14:paraId="7D36F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4F665">
            <w:pPr>
              <w:snapToGrid w:val="0"/>
              <w:jc w:val="center"/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3C5CA">
            <w:pPr>
              <w:snapToGrid w:val="0"/>
              <w:jc w:val="center"/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  <w:t>服务项目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4F5E0">
            <w:pPr>
              <w:snapToGrid w:val="0"/>
              <w:jc w:val="center"/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  <w:t>服务内容</w:t>
            </w:r>
          </w:p>
        </w:tc>
      </w:tr>
      <w:tr w14:paraId="44739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5920F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184A2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服务范围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BFF35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1. 整机：</w:t>
            </w:r>
            <w:r>
              <w:rPr>
                <w:rStyle w:val="6"/>
                <w:rFonts w:ascii="宋体" w:hAnsi="宋体"/>
                <w:b/>
                <w:color w:val="000000"/>
                <w:kern w:val="0"/>
                <w:sz w:val="22"/>
              </w:rPr>
              <w:t>全保</w:t>
            </w: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（包括冷头、氦压缩机、磁体、电子控制部件等）</w:t>
            </w:r>
          </w:p>
        </w:tc>
      </w:tr>
      <w:tr w14:paraId="03E25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347CA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FFBFE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4B358">
            <w:pPr>
              <w:snapToGrid w:val="0"/>
              <w:spacing w:line="360" w:lineRule="auto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2. 外围设备：冷水机组、精密空调的维保</w:t>
            </w:r>
          </w:p>
        </w:tc>
      </w:tr>
      <w:tr w14:paraId="26F07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97632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8F720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81A63">
            <w:pPr>
              <w:snapToGrid w:val="0"/>
              <w:spacing w:line="360" w:lineRule="auto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3. 所有备件免费更换</w:t>
            </w:r>
          </w:p>
        </w:tc>
      </w:tr>
      <w:tr w14:paraId="23537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DF751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BEFC2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服务保障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992E0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1. 每年无限次维修人工上门服务</w:t>
            </w:r>
          </w:p>
        </w:tc>
      </w:tr>
      <w:tr w14:paraId="615E1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284B6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D6C32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1EE32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2. 保证开机率 ≧ 95%</w:t>
            </w:r>
          </w:p>
        </w:tc>
      </w:tr>
      <w:tr w14:paraId="10E60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1376E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4BCCF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C65BB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3. 保证MR液氦在正常值水平上运行</w:t>
            </w:r>
          </w:p>
        </w:tc>
      </w:tr>
      <w:tr w14:paraId="53D63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F4E11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347C0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71D62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4. 检测、调整、校准，保证设备达到使用质量标准，并提供调整、校准后的质量服务报告</w:t>
            </w:r>
          </w:p>
        </w:tc>
      </w:tr>
      <w:tr w14:paraId="30FE2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007BF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0E175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服务热线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0EDDD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全年365天，24小时不间断服务，有专人接听400客户服务热线并全程协调资源，且可视化中央控制，实时管理。</w:t>
            </w:r>
          </w:p>
        </w:tc>
      </w:tr>
      <w:tr w14:paraId="41903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6E27F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1593F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服务能力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088ED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FF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FF0000"/>
                <w:kern w:val="0"/>
                <w:sz w:val="22"/>
              </w:rPr>
              <w:t>在</w:t>
            </w:r>
            <w:r>
              <w:rPr>
                <w:rStyle w:val="6"/>
                <w:rFonts w:hint="eastAsia" w:ascii="宋体" w:hAnsi="宋体"/>
                <w:color w:val="FF0000"/>
                <w:kern w:val="0"/>
                <w:sz w:val="22"/>
              </w:rPr>
              <w:t>广西</w:t>
            </w:r>
            <w:r>
              <w:rPr>
                <w:rStyle w:val="6"/>
                <w:rFonts w:ascii="宋体" w:hAnsi="宋体"/>
                <w:color w:val="FF0000"/>
                <w:kern w:val="0"/>
                <w:sz w:val="22"/>
              </w:rPr>
              <w:t>有驻点工程师，便于及时维修响应</w:t>
            </w:r>
          </w:p>
        </w:tc>
      </w:tr>
      <w:tr w14:paraId="61B0D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09E82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kern w:val="0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054E5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CA3F5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FF0000"/>
                <w:kern w:val="0"/>
                <w:sz w:val="22"/>
              </w:rPr>
            </w:pPr>
          </w:p>
        </w:tc>
      </w:tr>
      <w:tr w14:paraId="08B89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C1605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A5C31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培训能力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C2161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有全职的应用培训专家，满足MR设备，支持维修保障服务，并能以现场和远程的形式，提供临床扫描、图像处理和响应业务拓展的专业支持。</w:t>
            </w:r>
          </w:p>
        </w:tc>
      </w:tr>
      <w:tr w14:paraId="15B6A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B59C9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141C6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服务响应时间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31C5A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响应时间为全年（含节假日），响应时间＜2小时，到达现场时间＜12小时。供应商必须在接到报修电话后，提供突发性问题的解决措施及特殊紧急的合理化处理措施。</w:t>
            </w:r>
          </w:p>
        </w:tc>
      </w:tr>
      <w:tr w14:paraId="236F2B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E0BFB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704B0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软件版本升级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93A69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具备合同期内提供软件版本升级</w:t>
            </w:r>
          </w:p>
        </w:tc>
      </w:tr>
      <w:tr w14:paraId="410BE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8BAEE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BCD46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预防性保养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AE524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≥ 2次/年，并提交维护保养报告（含所有备件的免费更换）</w:t>
            </w:r>
          </w:p>
        </w:tc>
      </w:tr>
      <w:tr w14:paraId="5CD5C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CEC3A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549AE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人员配备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F9FCE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FF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FF0000"/>
                <w:kern w:val="0"/>
                <w:sz w:val="22"/>
              </w:rPr>
              <w:t>供应商提供的维修工程师必须持有设备生产厂家授权的MR维修证书（须提供证书复印件）</w:t>
            </w:r>
          </w:p>
        </w:tc>
      </w:tr>
      <w:tr w14:paraId="04824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4C406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053BB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原厂备件供应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D064C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设备维修需更换备件时提供原厂全新备件</w:t>
            </w:r>
          </w:p>
        </w:tc>
      </w:tr>
      <w:tr w14:paraId="1530A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B9ACD">
            <w:pPr>
              <w:snapToGrid w:val="0"/>
              <w:spacing w:line="440" w:lineRule="exact"/>
              <w:jc w:val="center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8B113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/>
                <w:color w:val="000000"/>
                <w:kern w:val="0"/>
                <w:sz w:val="22"/>
              </w:rPr>
              <w:t>备件库</w:t>
            </w:r>
          </w:p>
        </w:tc>
        <w:tc>
          <w:tcPr>
            <w:tcW w:w="6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EBFAE">
            <w:pPr>
              <w:snapToGrid w:val="0"/>
              <w:spacing w:line="440" w:lineRule="exact"/>
              <w:jc w:val="left"/>
              <w:rPr>
                <w:rStyle w:val="6"/>
                <w:rFonts w:ascii="宋体" w:hAnsi="宋体"/>
                <w:color w:val="FF0000"/>
                <w:kern w:val="0"/>
                <w:sz w:val="22"/>
                <w:szCs w:val="22"/>
              </w:rPr>
            </w:pPr>
            <w:r>
              <w:rPr>
                <w:rStyle w:val="6"/>
                <w:rFonts w:ascii="宋体" w:hAnsi="宋体"/>
                <w:color w:val="FF0000"/>
                <w:kern w:val="0"/>
                <w:sz w:val="22"/>
                <w:szCs w:val="22"/>
              </w:rPr>
              <w:t>要求供应商有自己的备件库</w:t>
            </w:r>
            <w:r>
              <w:rPr>
                <w:rStyle w:val="6"/>
                <w:rFonts w:hint="eastAsia" w:ascii="宋体" w:hAnsi="宋体"/>
                <w:color w:val="FF0000"/>
                <w:kern w:val="0"/>
                <w:sz w:val="22"/>
                <w:szCs w:val="22"/>
              </w:rPr>
              <w:t>，</w:t>
            </w:r>
            <w:r>
              <w:rPr>
                <w:rStyle w:val="6"/>
                <w:rFonts w:ascii="宋体" w:hAnsi="宋体"/>
                <w:color w:val="FF0000"/>
                <w:kern w:val="0"/>
                <w:sz w:val="22"/>
                <w:szCs w:val="22"/>
              </w:rPr>
              <w:t>须满足一定的原厂备件储存量</w:t>
            </w:r>
          </w:p>
        </w:tc>
      </w:tr>
    </w:tbl>
    <w:p w14:paraId="5E69104F"/>
    <w:p w14:paraId="03532DCC">
      <w:pPr>
        <w:jc w:val="lef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5"/>
    <w:rsid w:val="00322CFA"/>
    <w:rsid w:val="00386AEF"/>
    <w:rsid w:val="005615DE"/>
    <w:rsid w:val="007A5DC4"/>
    <w:rsid w:val="0090060C"/>
    <w:rsid w:val="009A5375"/>
    <w:rsid w:val="009A6367"/>
    <w:rsid w:val="00B96F02"/>
    <w:rsid w:val="00C46E89"/>
    <w:rsid w:val="00C64BFA"/>
    <w:rsid w:val="00D03D11"/>
    <w:rsid w:val="00D71ECB"/>
    <w:rsid w:val="00FA2E8F"/>
    <w:rsid w:val="2C51186F"/>
    <w:rsid w:val="529B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uiPriority w:val="0"/>
  </w:style>
  <w:style w:type="character" w:customStyle="1" w:styleId="7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653</Words>
  <Characters>677</Characters>
  <Lines>10</Lines>
  <Paragraphs>2</Paragraphs>
  <TotalTime>12</TotalTime>
  <ScaleCrop>false</ScaleCrop>
  <LinksUpToDate>false</LinksUpToDate>
  <CharactersWithSpaces>687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2022-09-28T04:21:00Z</dcterms:created>
  <dc:creator>xuewen.huang_C-BD-CCS</dc:creator>
  <cp:lastModifiedBy>萱萱</cp:lastModifiedBy>
  <dcterms:modified xsi:type="dcterms:W3CDTF">2024-12-27T09:20:35Z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eyJoZGlkIjoiYjdlYjUwMDM5MDYwOTNmOTk2MWZkOTNhYzAyNDc4OTMiLCJ1c2VySWQiOiI2NTg5ODk3MzEifQ==</vt:lpwstr>
  </property>
  <property fmtid="{D5CDD505-2E9C-101B-9397-08002B2CF9AE}" pid="3" name="KSOProductBuildVer">
    <vt:lpwstr>2052-12.1.0.19302</vt:lpwstr>
  </property>
  <property fmtid="{D5CDD505-2E9C-101B-9397-08002B2CF9AE}" pid="4" name="ICV">
    <vt:lpwstr>DE9B36CD90A6406C8CB6AE9F5AAB773E_12</vt:lpwstr>
  </property>
</Properties>
</file>