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Courier New"/>
          <w:b/>
          <w:bCs/>
          <w:sz w:val="32"/>
          <w:szCs w:val="32"/>
        </w:rPr>
      </w:pPr>
      <w:r>
        <w:rPr>
          <w:rFonts w:hint="eastAsia"/>
          <w:b/>
          <w:sz w:val="32"/>
          <w:szCs w:val="32"/>
        </w:rPr>
        <w:t>法律咨询服务</w:t>
      </w:r>
      <w:r>
        <w:rPr>
          <w:rFonts w:hint="eastAsia" w:ascii="宋体" w:hAnsi="宋体" w:cs="Courier New"/>
          <w:b/>
          <w:bCs/>
          <w:sz w:val="32"/>
          <w:szCs w:val="32"/>
        </w:rPr>
        <w:t>评标方法</w:t>
      </w:r>
    </w:p>
    <w:p>
      <w:pPr>
        <w:spacing w:line="400" w:lineRule="exact"/>
        <w:ind w:firstLine="420" w:firstLineChars="200"/>
        <w:outlineLvl w:val="0"/>
        <w:rPr>
          <w:rFonts w:ascii="宋体" w:hAnsi="宋体" w:cs="Courier New"/>
          <w:szCs w:val="21"/>
        </w:rPr>
      </w:pPr>
    </w:p>
    <w:p>
      <w:pPr>
        <w:spacing w:line="400" w:lineRule="exact"/>
        <w:ind w:firstLine="420" w:firstLineChars="200"/>
        <w:outlineLvl w:val="0"/>
        <w:rPr>
          <w:rFonts w:ascii="宋体" w:hAnsi="宋体" w:cs="Courier New"/>
          <w:szCs w:val="21"/>
        </w:rPr>
      </w:pPr>
      <w:r>
        <w:rPr>
          <w:rFonts w:hint="eastAsia" w:ascii="宋体" w:hAnsi="宋体" w:cs="Courier New"/>
          <w:szCs w:val="21"/>
        </w:rPr>
        <w:t>对进入详评的，</w:t>
      </w:r>
      <w:r>
        <w:rPr>
          <w:rFonts w:hint="eastAsia" w:ascii="宋体" w:hAnsi="宋体" w:cs="Courier New"/>
          <w:bCs/>
          <w:szCs w:val="21"/>
        </w:rPr>
        <w:t>询价小组将以投标文件为评定依据，</w:t>
      </w:r>
      <w:r>
        <w:rPr>
          <w:rFonts w:hint="eastAsia" w:ascii="宋体" w:hAnsi="宋体" w:cs="Courier New"/>
          <w:szCs w:val="21"/>
        </w:rPr>
        <w:t>采用百分制综合评分法：</w:t>
      </w:r>
    </w:p>
    <w:p>
      <w:pPr>
        <w:spacing w:line="400" w:lineRule="exact"/>
        <w:ind w:firstLine="420" w:firstLineChars="200"/>
        <w:outlineLvl w:val="0"/>
        <w:rPr>
          <w:rFonts w:ascii="宋体" w:hAnsi="宋体" w:cs="Courier New"/>
          <w:szCs w:val="21"/>
        </w:rPr>
      </w:pPr>
      <w:r>
        <w:rPr>
          <w:rFonts w:hint="eastAsia" w:ascii="宋体" w:hAnsi="宋体" w:cs="Courier New"/>
          <w:szCs w:val="21"/>
        </w:rPr>
        <w:t>计分办法（按四舍五入取至百分位）：</w:t>
      </w:r>
    </w:p>
    <w:tbl>
      <w:tblPr>
        <w:tblStyle w:val="9"/>
        <w:tblpPr w:leftFromText="180" w:rightFromText="180" w:vertAnchor="text" w:horzAnchor="margin" w:tblpY="1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18"/>
        <w:gridCol w:w="5386"/>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tcPr>
          <w:p>
            <w:pPr>
              <w:spacing w:line="400" w:lineRule="exact"/>
              <w:jc w:val="center"/>
              <w:rPr>
                <w:rFonts w:ascii="宋体" w:hAnsi="宋体"/>
                <w:b/>
                <w:bCs/>
                <w:szCs w:val="21"/>
              </w:rPr>
            </w:pPr>
            <w:r>
              <w:rPr>
                <w:rFonts w:hint="eastAsia" w:ascii="宋体" w:hAnsi="宋体"/>
                <w:b/>
                <w:bCs/>
                <w:szCs w:val="21"/>
              </w:rPr>
              <w:t>序号</w:t>
            </w:r>
          </w:p>
        </w:tc>
        <w:tc>
          <w:tcPr>
            <w:tcW w:w="1418" w:type="dxa"/>
            <w:noWrap/>
          </w:tcPr>
          <w:p>
            <w:pPr>
              <w:spacing w:line="400" w:lineRule="exact"/>
              <w:jc w:val="center"/>
              <w:rPr>
                <w:rFonts w:ascii="宋体" w:hAnsi="宋体"/>
                <w:b/>
                <w:bCs/>
                <w:szCs w:val="21"/>
              </w:rPr>
            </w:pPr>
            <w:r>
              <w:rPr>
                <w:rFonts w:hint="eastAsia" w:ascii="宋体" w:hAnsi="宋体"/>
                <w:b/>
                <w:bCs/>
                <w:szCs w:val="21"/>
              </w:rPr>
              <w:t>评审因素</w:t>
            </w:r>
          </w:p>
        </w:tc>
        <w:tc>
          <w:tcPr>
            <w:tcW w:w="5386" w:type="dxa"/>
            <w:tcBorders>
              <w:right w:val="single" w:color="auto" w:sz="4" w:space="0"/>
            </w:tcBorders>
            <w:noWrap/>
            <w:vAlign w:val="center"/>
          </w:tcPr>
          <w:p>
            <w:pPr>
              <w:widowControl/>
              <w:spacing w:line="400" w:lineRule="exact"/>
              <w:jc w:val="center"/>
              <w:rPr>
                <w:rFonts w:ascii="宋体" w:hAnsi="宋体" w:cs="Tahoma"/>
                <w:b/>
                <w:bCs/>
                <w:kern w:val="0"/>
                <w:szCs w:val="21"/>
              </w:rPr>
            </w:pPr>
            <w:r>
              <w:rPr>
                <w:rFonts w:hint="eastAsia" w:ascii="宋体" w:hAnsi="宋体" w:cs="Tahoma"/>
                <w:b/>
                <w:bCs/>
                <w:kern w:val="0"/>
                <w:szCs w:val="21"/>
              </w:rPr>
              <w:t>评审因素具体内容</w:t>
            </w:r>
          </w:p>
        </w:tc>
        <w:tc>
          <w:tcPr>
            <w:tcW w:w="1197" w:type="dxa"/>
            <w:tcBorders>
              <w:left w:val="single" w:color="auto" w:sz="4" w:space="0"/>
            </w:tcBorders>
            <w:noWrap/>
            <w:vAlign w:val="center"/>
          </w:tcPr>
          <w:p>
            <w:pPr>
              <w:widowControl/>
              <w:spacing w:line="400" w:lineRule="exact"/>
              <w:jc w:val="center"/>
              <w:rPr>
                <w:rFonts w:ascii="宋体" w:hAnsi="宋体" w:cs="Tahoma"/>
                <w:b/>
                <w:bCs/>
                <w:kern w:val="0"/>
                <w:szCs w:val="21"/>
              </w:rPr>
            </w:pPr>
            <w:r>
              <w:rPr>
                <w:rFonts w:hint="eastAsia" w:ascii="宋体" w:hAnsi="宋体" w:cs="Tahoma"/>
                <w:b/>
                <w:bCs/>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ign w:val="center"/>
          </w:tcPr>
          <w:p>
            <w:pPr>
              <w:spacing w:line="400" w:lineRule="exact"/>
              <w:jc w:val="center"/>
              <w:rPr>
                <w:rFonts w:ascii="宋体" w:hAnsi="宋体"/>
                <w:bCs/>
                <w:szCs w:val="21"/>
              </w:rPr>
            </w:pPr>
            <w:r>
              <w:rPr>
                <w:rFonts w:hint="eastAsia" w:ascii="宋体" w:hAnsi="宋体"/>
                <w:bCs/>
                <w:szCs w:val="21"/>
              </w:rPr>
              <w:t>1</w:t>
            </w:r>
          </w:p>
        </w:tc>
        <w:tc>
          <w:tcPr>
            <w:tcW w:w="1418" w:type="dxa"/>
            <w:noWrap/>
            <w:vAlign w:val="center"/>
          </w:tcPr>
          <w:p>
            <w:pPr>
              <w:spacing w:line="400" w:lineRule="exact"/>
              <w:jc w:val="center"/>
              <w:rPr>
                <w:rFonts w:ascii="宋体" w:hAnsi="宋体"/>
                <w:bCs/>
                <w:szCs w:val="21"/>
              </w:rPr>
            </w:pPr>
            <w:r>
              <w:rPr>
                <w:rFonts w:hint="eastAsia" w:ascii="宋体" w:hAnsi="宋体"/>
                <w:bCs/>
                <w:szCs w:val="21"/>
              </w:rPr>
              <w:t>价格分</w:t>
            </w:r>
          </w:p>
        </w:tc>
        <w:tc>
          <w:tcPr>
            <w:tcW w:w="5386" w:type="dxa"/>
            <w:tcBorders>
              <w:right w:val="single" w:color="auto" w:sz="4" w:space="0"/>
            </w:tcBorders>
            <w:noWrap/>
          </w:tcPr>
          <w:p>
            <w:pPr>
              <w:pStyle w:val="3"/>
              <w:spacing w:line="400" w:lineRule="exact"/>
              <w:ind w:firstLine="420" w:firstLineChars="200"/>
              <w:rPr>
                <w:rFonts w:hAnsi="宋体" w:cs="Courier New"/>
                <w:bCs/>
                <w:kern w:val="2"/>
                <w:sz w:val="21"/>
                <w:highlight w:val="yellow"/>
              </w:rPr>
            </w:pPr>
            <w:r>
              <w:rPr>
                <w:rFonts w:hint="eastAsia" w:hAnsi="宋体" w:cs="Courier New"/>
                <w:bCs/>
                <w:kern w:val="2"/>
                <w:sz w:val="21"/>
              </w:rPr>
              <w:t>（1）本项目价格分分两部分进行评审计算，年顾问费1</w:t>
            </w:r>
            <w:r>
              <w:rPr>
                <w:rFonts w:hAnsi="宋体" w:cs="Courier New"/>
                <w:bCs/>
                <w:kern w:val="2"/>
                <w:sz w:val="21"/>
              </w:rPr>
              <w:t>5</w:t>
            </w:r>
            <w:r>
              <w:rPr>
                <w:rFonts w:hint="eastAsia" w:hAnsi="宋体" w:cs="Courier New"/>
                <w:bCs/>
                <w:kern w:val="2"/>
                <w:sz w:val="21"/>
              </w:rPr>
              <w:t>分，单个项目诉讼费折扣率报价1</w:t>
            </w:r>
            <w:r>
              <w:rPr>
                <w:rFonts w:hAnsi="宋体" w:cs="Courier New"/>
                <w:bCs/>
                <w:kern w:val="2"/>
                <w:sz w:val="21"/>
              </w:rPr>
              <w:t>0</w:t>
            </w:r>
            <w:r>
              <w:rPr>
                <w:rFonts w:hint="eastAsia" w:hAnsi="宋体" w:cs="Courier New"/>
                <w:bCs/>
                <w:kern w:val="2"/>
                <w:sz w:val="21"/>
              </w:rPr>
              <w:t>分。</w:t>
            </w:r>
          </w:p>
          <w:p>
            <w:pPr>
              <w:pStyle w:val="3"/>
              <w:spacing w:line="400" w:lineRule="exact"/>
              <w:ind w:firstLine="420" w:firstLineChars="200"/>
              <w:rPr>
                <w:rFonts w:hAnsi="宋体" w:cs="Courier New"/>
                <w:bCs/>
                <w:kern w:val="2"/>
                <w:sz w:val="21"/>
              </w:rPr>
            </w:pPr>
            <w:r>
              <w:rPr>
                <w:rFonts w:hint="eastAsia" w:hAnsi="宋体" w:cs="Courier New"/>
                <w:bCs/>
                <w:kern w:val="2"/>
                <w:sz w:val="21"/>
              </w:rPr>
              <w:t>（2）以进入比较与评价环节的最低的报价为基准价或基准折扣率，基准价或基准折扣率得分为满分。</w:t>
            </w:r>
          </w:p>
          <w:p>
            <w:pPr>
              <w:pStyle w:val="3"/>
              <w:spacing w:line="400" w:lineRule="exact"/>
              <w:ind w:firstLine="420" w:firstLineChars="200"/>
              <w:rPr>
                <w:rFonts w:hAnsi="宋体" w:cs="Courier New"/>
                <w:bCs/>
                <w:kern w:val="2"/>
                <w:sz w:val="21"/>
              </w:rPr>
            </w:pPr>
            <w:r>
              <w:rPr>
                <w:rFonts w:hint="eastAsia" w:hAnsi="宋体" w:cs="Courier New"/>
                <w:bCs/>
                <w:kern w:val="2"/>
                <w:sz w:val="21"/>
              </w:rPr>
              <w:t>（3）价格分计算公式：</w:t>
            </w:r>
          </w:p>
          <w:p>
            <w:pPr>
              <w:pStyle w:val="3"/>
              <w:spacing w:line="400" w:lineRule="exact"/>
              <w:ind w:firstLine="420"/>
              <w:rPr>
                <w:rFonts w:hAnsi="宋体" w:cs="Courier New"/>
                <w:bCs/>
                <w:kern w:val="2"/>
                <w:sz w:val="21"/>
                <w:u w:val="single"/>
              </w:rPr>
            </w:pPr>
            <w:r>
              <w:rPr>
                <w:rFonts w:hAnsi="宋体" w:cs="Courier New"/>
                <w:bCs/>
                <w:kern w:val="2"/>
                <w:sz w:val="21"/>
              </w:rPr>
              <w:fldChar w:fldCharType="begin"/>
            </w:r>
            <w:r>
              <w:rPr>
                <w:rFonts w:hint="eastAsia" w:hAnsi="宋体" w:cs="Courier New"/>
                <w:bCs/>
                <w:kern w:val="2"/>
                <w:sz w:val="21"/>
              </w:rPr>
              <w:instrText xml:space="preserve">= 1 \* GB3</w:instrText>
            </w:r>
            <w:r>
              <w:rPr>
                <w:rFonts w:hAnsi="宋体" w:cs="Courier New"/>
                <w:bCs/>
                <w:kern w:val="2"/>
                <w:sz w:val="21"/>
              </w:rPr>
              <w:fldChar w:fldCharType="separate"/>
            </w:r>
            <w:r>
              <w:rPr>
                <w:rFonts w:hint="eastAsia" w:hAnsi="宋体" w:cs="Courier New"/>
                <w:bCs/>
                <w:kern w:val="2"/>
                <w:sz w:val="21"/>
              </w:rPr>
              <w:t>①</w:t>
            </w:r>
            <w:r>
              <w:rPr>
                <w:rFonts w:hAnsi="宋体" w:cs="Courier New"/>
                <w:bCs/>
                <w:kern w:val="2"/>
                <w:sz w:val="21"/>
              </w:rPr>
              <w:fldChar w:fldCharType="end"/>
            </w:r>
            <w:r>
              <w:rPr>
                <w:rFonts w:hint="eastAsia" w:hAnsi="宋体" w:cs="Courier New"/>
                <w:bCs/>
                <w:kern w:val="2"/>
                <w:sz w:val="21"/>
              </w:rPr>
              <w:t>年顾问费报价得分=（基准价/最后报价）×</w:t>
            </w:r>
            <w:r>
              <w:rPr>
                <w:rFonts w:hAnsi="宋体" w:cs="Courier New"/>
                <w:bCs/>
                <w:kern w:val="2"/>
                <w:sz w:val="21"/>
                <w:u w:val="single"/>
              </w:rPr>
              <w:t>15</w:t>
            </w:r>
            <w:r>
              <w:rPr>
                <w:rFonts w:hint="eastAsia" w:hAnsi="宋体" w:cs="Courier New"/>
                <w:bCs/>
                <w:kern w:val="2"/>
                <w:sz w:val="21"/>
                <w:u w:val="single"/>
              </w:rPr>
              <w:t>分</w:t>
            </w:r>
          </w:p>
          <w:p>
            <w:pPr>
              <w:pStyle w:val="3"/>
              <w:spacing w:line="400" w:lineRule="exact"/>
              <w:ind w:firstLine="420"/>
              <w:rPr>
                <w:rFonts w:hAnsi="宋体" w:cs="Courier New"/>
                <w:bCs/>
                <w:kern w:val="2"/>
                <w:sz w:val="21"/>
                <w:u w:val="single"/>
              </w:rPr>
            </w:pPr>
            <w:r>
              <w:rPr>
                <w:rFonts w:hAnsi="宋体" w:cs="Courier New"/>
                <w:bCs/>
                <w:kern w:val="2"/>
                <w:sz w:val="21"/>
              </w:rPr>
              <w:fldChar w:fldCharType="begin"/>
            </w:r>
            <w:r>
              <w:rPr>
                <w:rFonts w:hint="eastAsia" w:hAnsi="宋体" w:cs="Courier New"/>
                <w:bCs/>
                <w:kern w:val="2"/>
                <w:sz w:val="21"/>
              </w:rPr>
              <w:instrText xml:space="preserve">= 2 \* GB3</w:instrText>
            </w:r>
            <w:r>
              <w:rPr>
                <w:rFonts w:hAnsi="宋体" w:cs="Courier New"/>
                <w:bCs/>
                <w:kern w:val="2"/>
                <w:sz w:val="21"/>
              </w:rPr>
              <w:fldChar w:fldCharType="separate"/>
            </w:r>
            <w:r>
              <w:rPr>
                <w:rFonts w:hint="eastAsia" w:hAnsi="宋体" w:cs="Courier New"/>
                <w:bCs/>
                <w:kern w:val="2"/>
                <w:sz w:val="21"/>
              </w:rPr>
              <w:t>②</w:t>
            </w:r>
            <w:r>
              <w:rPr>
                <w:rFonts w:hAnsi="宋体" w:cs="Courier New"/>
                <w:bCs/>
                <w:kern w:val="2"/>
                <w:sz w:val="21"/>
              </w:rPr>
              <w:fldChar w:fldCharType="end"/>
            </w:r>
            <w:r>
              <w:rPr>
                <w:rFonts w:hint="eastAsia" w:hAnsi="宋体" w:cs="Courier New"/>
                <w:bCs/>
                <w:kern w:val="2"/>
                <w:sz w:val="21"/>
              </w:rPr>
              <w:t>单个项目诉讼费折扣率报价得分=（基准折扣率/最后折扣率）×</w:t>
            </w:r>
            <w:r>
              <w:rPr>
                <w:rFonts w:hAnsi="宋体" w:cs="Courier New"/>
                <w:bCs/>
                <w:kern w:val="2"/>
                <w:sz w:val="21"/>
                <w:u w:val="single"/>
              </w:rPr>
              <w:t>10</w:t>
            </w:r>
            <w:r>
              <w:rPr>
                <w:rFonts w:hint="eastAsia" w:hAnsi="宋体" w:cs="Courier New"/>
                <w:bCs/>
                <w:kern w:val="2"/>
                <w:sz w:val="21"/>
                <w:u w:val="single"/>
              </w:rPr>
              <w:t>分</w:t>
            </w:r>
          </w:p>
          <w:p>
            <w:pPr>
              <w:pStyle w:val="3"/>
              <w:spacing w:line="400" w:lineRule="exact"/>
              <w:ind w:firstLine="420"/>
              <w:rPr>
                <w:rFonts w:hAnsi="宋体" w:cs="Courier New"/>
                <w:bCs/>
                <w:kern w:val="2"/>
                <w:sz w:val="21"/>
                <w:highlight w:val="yellow"/>
              </w:rPr>
            </w:pPr>
            <w:r>
              <w:rPr>
                <w:rFonts w:hAnsi="宋体" w:cs="Courier New"/>
                <w:bCs/>
                <w:kern w:val="2"/>
                <w:sz w:val="21"/>
              </w:rPr>
              <w:fldChar w:fldCharType="begin"/>
            </w:r>
            <w:r>
              <w:rPr>
                <w:rFonts w:hint="eastAsia" w:hAnsi="宋体" w:cs="Courier New"/>
                <w:bCs/>
                <w:kern w:val="2"/>
                <w:sz w:val="21"/>
              </w:rPr>
              <w:instrText xml:space="preserve">= 3 \* GB3</w:instrText>
            </w:r>
            <w:r>
              <w:rPr>
                <w:rFonts w:hAnsi="宋体" w:cs="Courier New"/>
                <w:bCs/>
                <w:kern w:val="2"/>
                <w:sz w:val="21"/>
              </w:rPr>
              <w:fldChar w:fldCharType="separate"/>
            </w:r>
            <w:r>
              <w:rPr>
                <w:rFonts w:hint="eastAsia" w:hAnsi="宋体" w:cs="Courier New"/>
                <w:bCs/>
                <w:kern w:val="2"/>
                <w:sz w:val="21"/>
              </w:rPr>
              <w:t>③</w:t>
            </w:r>
            <w:r>
              <w:rPr>
                <w:rFonts w:hAnsi="宋体" w:cs="Courier New"/>
                <w:bCs/>
                <w:kern w:val="2"/>
                <w:sz w:val="21"/>
              </w:rPr>
              <w:fldChar w:fldCharType="end"/>
            </w:r>
            <w:r>
              <w:rPr>
                <w:rFonts w:hint="eastAsia" w:hAnsi="宋体" w:cs="Courier New"/>
                <w:bCs/>
                <w:kern w:val="2"/>
                <w:sz w:val="21"/>
              </w:rPr>
              <w:t>某供应商价格分=</w:t>
            </w:r>
            <w:r>
              <w:rPr>
                <w:rFonts w:hAnsi="宋体" w:cs="Courier New"/>
                <w:bCs/>
                <w:kern w:val="2"/>
                <w:sz w:val="21"/>
              </w:rPr>
              <w:fldChar w:fldCharType="begin"/>
            </w:r>
            <w:r>
              <w:rPr>
                <w:rFonts w:hint="eastAsia" w:hAnsi="宋体" w:cs="Courier New"/>
                <w:bCs/>
                <w:kern w:val="2"/>
                <w:sz w:val="21"/>
              </w:rPr>
              <w:instrText xml:space="preserve">= 1 \* GB3</w:instrText>
            </w:r>
            <w:r>
              <w:rPr>
                <w:rFonts w:hAnsi="宋体" w:cs="Courier New"/>
                <w:bCs/>
                <w:kern w:val="2"/>
                <w:sz w:val="21"/>
              </w:rPr>
              <w:fldChar w:fldCharType="separate"/>
            </w:r>
            <w:r>
              <w:rPr>
                <w:rFonts w:hint="eastAsia" w:hAnsi="宋体" w:cs="Courier New"/>
                <w:bCs/>
                <w:kern w:val="2"/>
                <w:sz w:val="21"/>
              </w:rPr>
              <w:t>①</w:t>
            </w:r>
            <w:r>
              <w:rPr>
                <w:rFonts w:hAnsi="宋体" w:cs="Courier New"/>
                <w:bCs/>
                <w:kern w:val="2"/>
                <w:sz w:val="21"/>
              </w:rPr>
              <w:fldChar w:fldCharType="end"/>
            </w:r>
            <w:r>
              <w:rPr>
                <w:rFonts w:hint="eastAsia" w:hAnsi="宋体" w:cs="Courier New"/>
                <w:bCs/>
                <w:kern w:val="2"/>
                <w:sz w:val="21"/>
              </w:rPr>
              <w:t>+</w:t>
            </w:r>
            <w:r>
              <w:rPr>
                <w:rFonts w:hAnsi="宋体" w:cs="Courier New"/>
                <w:bCs/>
                <w:kern w:val="2"/>
                <w:sz w:val="21"/>
              </w:rPr>
              <w:fldChar w:fldCharType="begin"/>
            </w:r>
            <w:r>
              <w:rPr>
                <w:rFonts w:hint="eastAsia" w:hAnsi="宋体" w:cs="Courier New"/>
                <w:bCs/>
                <w:kern w:val="2"/>
                <w:sz w:val="21"/>
              </w:rPr>
              <w:instrText xml:space="preserve">= 2 \* GB3</w:instrText>
            </w:r>
            <w:r>
              <w:rPr>
                <w:rFonts w:hAnsi="宋体" w:cs="Courier New"/>
                <w:bCs/>
                <w:kern w:val="2"/>
                <w:sz w:val="21"/>
              </w:rPr>
              <w:fldChar w:fldCharType="separate"/>
            </w:r>
            <w:r>
              <w:rPr>
                <w:rFonts w:hint="eastAsia" w:hAnsi="宋体" w:cs="Courier New"/>
                <w:bCs/>
                <w:kern w:val="2"/>
                <w:sz w:val="21"/>
              </w:rPr>
              <w:t>②</w:t>
            </w:r>
            <w:r>
              <w:rPr>
                <w:rFonts w:hAnsi="宋体" w:cs="Courier New"/>
                <w:bCs/>
                <w:kern w:val="2"/>
                <w:sz w:val="21"/>
              </w:rPr>
              <w:fldChar w:fldCharType="end"/>
            </w: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满分</w:t>
            </w:r>
            <w:r>
              <w:rPr>
                <w:rFonts w:ascii="宋体" w:hAnsi="宋体"/>
                <w:bCs/>
                <w:szCs w:val="21"/>
              </w:rPr>
              <w:t>25</w:t>
            </w:r>
            <w:r>
              <w:rPr>
                <w:rFonts w:hint="eastAsia" w:ascii="宋体" w:hAnsi="宋体"/>
                <w:bCs/>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noWrap/>
            <w:vAlign w:val="center"/>
          </w:tcPr>
          <w:p>
            <w:pPr>
              <w:spacing w:line="400" w:lineRule="exact"/>
              <w:jc w:val="center"/>
              <w:rPr>
                <w:rFonts w:ascii="宋体" w:hAnsi="宋体"/>
                <w:bCs/>
                <w:szCs w:val="21"/>
              </w:rPr>
            </w:pPr>
            <w:r>
              <w:rPr>
                <w:rFonts w:hint="eastAsia" w:ascii="宋体" w:hAnsi="宋体"/>
                <w:bCs/>
                <w:szCs w:val="21"/>
              </w:rPr>
              <w:t>2</w:t>
            </w:r>
          </w:p>
        </w:tc>
        <w:tc>
          <w:tcPr>
            <w:tcW w:w="1418" w:type="dxa"/>
            <w:vMerge w:val="restart"/>
            <w:noWrap/>
            <w:vAlign w:val="center"/>
          </w:tcPr>
          <w:p>
            <w:pPr>
              <w:spacing w:line="400" w:lineRule="exact"/>
              <w:jc w:val="center"/>
              <w:rPr>
                <w:rFonts w:ascii="宋体" w:hAnsi="宋体"/>
                <w:bCs/>
                <w:szCs w:val="21"/>
              </w:rPr>
            </w:pPr>
            <w:r>
              <w:rPr>
                <w:rFonts w:hint="eastAsia" w:ascii="宋体" w:hAnsi="宋体"/>
                <w:bCs/>
                <w:szCs w:val="21"/>
              </w:rPr>
              <w:t>技术分</w:t>
            </w:r>
          </w:p>
        </w:tc>
        <w:tc>
          <w:tcPr>
            <w:tcW w:w="5386" w:type="dxa"/>
            <w:vMerge w:val="restart"/>
            <w:tcBorders>
              <w:righ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评审因素</w:t>
            </w: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noWrap/>
            <w:vAlign w:val="center"/>
          </w:tcPr>
          <w:p>
            <w:pPr>
              <w:spacing w:line="400" w:lineRule="exact"/>
              <w:jc w:val="center"/>
              <w:rPr>
                <w:rFonts w:ascii="宋体" w:hAnsi="宋体"/>
                <w:bCs/>
                <w:szCs w:val="21"/>
              </w:rPr>
            </w:pPr>
          </w:p>
        </w:tc>
        <w:tc>
          <w:tcPr>
            <w:tcW w:w="1418" w:type="dxa"/>
            <w:vMerge w:val="continue"/>
            <w:noWrap/>
            <w:vAlign w:val="center"/>
          </w:tcPr>
          <w:p>
            <w:pPr>
              <w:spacing w:line="400" w:lineRule="exact"/>
              <w:jc w:val="center"/>
              <w:rPr>
                <w:rFonts w:ascii="宋体" w:hAnsi="宋体"/>
                <w:bCs/>
                <w:szCs w:val="21"/>
              </w:rPr>
            </w:pPr>
          </w:p>
        </w:tc>
        <w:tc>
          <w:tcPr>
            <w:tcW w:w="5386" w:type="dxa"/>
            <w:vMerge w:val="continue"/>
            <w:tcBorders>
              <w:right w:val="single" w:color="auto" w:sz="4" w:space="0"/>
            </w:tcBorders>
            <w:noWrap/>
            <w:vAlign w:val="center"/>
          </w:tcPr>
          <w:p>
            <w:pPr>
              <w:spacing w:line="400" w:lineRule="exact"/>
              <w:jc w:val="center"/>
              <w:rPr>
                <w:rFonts w:ascii="宋体" w:hAnsi="宋体"/>
                <w:bCs/>
                <w:szCs w:val="21"/>
              </w:rPr>
            </w:pP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满分50分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ign w:val="center"/>
          </w:tcPr>
          <w:p>
            <w:pPr>
              <w:spacing w:line="400" w:lineRule="exact"/>
              <w:jc w:val="center"/>
              <w:rPr>
                <w:rFonts w:ascii="宋体" w:hAnsi="宋体"/>
                <w:bCs/>
                <w:szCs w:val="21"/>
              </w:rPr>
            </w:pPr>
            <w:r>
              <w:rPr>
                <w:rFonts w:hint="eastAsia" w:ascii="宋体" w:hAnsi="宋体"/>
                <w:bCs/>
                <w:szCs w:val="21"/>
              </w:rPr>
              <w:t>2.1</w:t>
            </w:r>
          </w:p>
        </w:tc>
        <w:tc>
          <w:tcPr>
            <w:tcW w:w="1418" w:type="dxa"/>
            <w:noWrap/>
            <w:vAlign w:val="center"/>
          </w:tcPr>
          <w:p>
            <w:pPr>
              <w:spacing w:line="400" w:lineRule="exact"/>
              <w:jc w:val="center"/>
              <w:rPr>
                <w:rFonts w:ascii="宋体" w:hAnsi="宋体"/>
                <w:bCs/>
                <w:szCs w:val="21"/>
              </w:rPr>
            </w:pPr>
            <w:r>
              <w:rPr>
                <w:rFonts w:hint="eastAsia" w:ascii="宋体" w:hAnsi="宋体"/>
                <w:bCs/>
                <w:szCs w:val="21"/>
              </w:rPr>
              <w:t>服务方案</w:t>
            </w:r>
          </w:p>
        </w:tc>
        <w:tc>
          <w:tcPr>
            <w:tcW w:w="5386" w:type="dxa"/>
            <w:tcBorders>
              <w:right w:val="single" w:color="auto" w:sz="4" w:space="0"/>
            </w:tcBorders>
            <w:noWrap/>
          </w:tcPr>
          <w:p>
            <w:pPr>
              <w:spacing w:line="400" w:lineRule="exact"/>
              <w:ind w:firstLine="420" w:firstLineChars="200"/>
              <w:jc w:val="left"/>
              <w:rPr>
                <w:rFonts w:ascii="宋体" w:hAnsi="宋体"/>
                <w:szCs w:val="21"/>
              </w:rPr>
            </w:pPr>
            <w:r>
              <w:rPr>
                <w:rFonts w:hint="eastAsia" w:ascii="宋体" w:hAnsi="宋体"/>
                <w:szCs w:val="21"/>
              </w:rPr>
              <w:t>一档（5分）：服务方案中对服务质量标准和工作措施有一定描述但不够全面、具体、科学，针对性不够强，缺乏可行性，基本符合项目需求实际；</w:t>
            </w:r>
          </w:p>
          <w:p>
            <w:pPr>
              <w:spacing w:line="400" w:lineRule="exact"/>
              <w:ind w:firstLine="420" w:firstLineChars="200"/>
              <w:jc w:val="left"/>
              <w:rPr>
                <w:rFonts w:ascii="宋体" w:hAnsi="宋体"/>
                <w:szCs w:val="21"/>
              </w:rPr>
            </w:pPr>
            <w:r>
              <w:rPr>
                <w:rFonts w:hint="eastAsia" w:ascii="宋体" w:hAnsi="宋体"/>
                <w:szCs w:val="21"/>
              </w:rPr>
              <w:t>二档（</w:t>
            </w:r>
            <w:r>
              <w:rPr>
                <w:rFonts w:ascii="宋体" w:hAnsi="宋体"/>
                <w:szCs w:val="21"/>
              </w:rPr>
              <w:t>1</w:t>
            </w:r>
            <w:r>
              <w:rPr>
                <w:rFonts w:hint="eastAsia" w:ascii="宋体" w:hAnsi="宋体"/>
                <w:szCs w:val="21"/>
              </w:rPr>
              <w:t>0分）：服务方案中对服务质量标准和工作措施描述比较全面、具体，针对性较强，可行性较强，基本满足采购单位需要的服务需求和质量、效率；</w:t>
            </w:r>
          </w:p>
          <w:p>
            <w:pPr>
              <w:spacing w:line="400" w:lineRule="exact"/>
              <w:ind w:firstLine="420" w:firstLineChars="200"/>
              <w:jc w:val="left"/>
              <w:rPr>
                <w:rFonts w:ascii="宋体" w:hAnsi="宋体"/>
                <w:szCs w:val="21"/>
              </w:rPr>
            </w:pPr>
            <w:r>
              <w:rPr>
                <w:rFonts w:hint="eastAsia" w:ascii="宋体" w:hAnsi="宋体"/>
                <w:szCs w:val="21"/>
              </w:rPr>
              <w:t>三档（15分）：服务方案中对服务质量标准和工作措施描述全面、具体，针对性强，工作量及计划安排切实可行具有针对性，完全满足采购单位需要的服务需求和质量、效率，并提供有优于采购文件服务的承诺且被评委接受。</w:t>
            </w:r>
          </w:p>
          <w:p>
            <w:pPr>
              <w:widowControl/>
              <w:spacing w:line="360" w:lineRule="exact"/>
              <w:ind w:firstLine="422" w:firstLineChars="200"/>
              <w:jc w:val="left"/>
              <w:textAlignment w:val="center"/>
              <w:rPr>
                <w:rFonts w:ascii="宋体" w:hAnsi="宋体"/>
                <w:szCs w:val="21"/>
              </w:rPr>
            </w:pPr>
            <w:r>
              <w:rPr>
                <w:rFonts w:hint="eastAsia" w:ascii="宋体" w:hAnsi="宋体"/>
                <w:b/>
                <w:bCs/>
                <w:szCs w:val="21"/>
              </w:rPr>
              <w:t>注：供应商提供法律服务应勤勉、尽责、及时，尽到法律事务专家的义务，紧急事务应在2小时内作出书面回复，一般事务应在24小时作出书面回复，在48小时内完成合同审阅。</w:t>
            </w: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满分15分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ign w:val="center"/>
          </w:tcPr>
          <w:p>
            <w:pPr>
              <w:spacing w:line="400" w:lineRule="exact"/>
              <w:jc w:val="center"/>
              <w:rPr>
                <w:rFonts w:ascii="宋体" w:hAnsi="宋体"/>
                <w:bCs/>
                <w:szCs w:val="21"/>
              </w:rPr>
            </w:pPr>
            <w:r>
              <w:rPr>
                <w:rFonts w:hint="eastAsia" w:ascii="宋体" w:hAnsi="宋体"/>
                <w:bCs/>
                <w:szCs w:val="21"/>
              </w:rPr>
              <w:t>2.2</w:t>
            </w:r>
          </w:p>
        </w:tc>
        <w:tc>
          <w:tcPr>
            <w:tcW w:w="1418" w:type="dxa"/>
            <w:noWrap/>
            <w:vAlign w:val="center"/>
          </w:tcPr>
          <w:p>
            <w:pPr>
              <w:spacing w:line="400" w:lineRule="exact"/>
              <w:jc w:val="center"/>
              <w:rPr>
                <w:rFonts w:ascii="宋体" w:hAnsi="宋体"/>
                <w:bCs/>
                <w:szCs w:val="21"/>
              </w:rPr>
            </w:pPr>
            <w:r>
              <w:rPr>
                <w:rFonts w:hint="eastAsia" w:ascii="宋体" w:hAnsi="宋体"/>
                <w:bCs/>
                <w:szCs w:val="21"/>
              </w:rPr>
              <w:t>管理技术力量分</w:t>
            </w:r>
          </w:p>
        </w:tc>
        <w:tc>
          <w:tcPr>
            <w:tcW w:w="5386" w:type="dxa"/>
            <w:tcBorders>
              <w:right w:val="single" w:color="auto" w:sz="4" w:space="0"/>
            </w:tcBorders>
            <w:noWrap/>
          </w:tcPr>
          <w:p>
            <w:pPr>
              <w:spacing w:line="400" w:lineRule="exact"/>
              <w:ind w:firstLine="420" w:firstLineChars="200"/>
              <w:jc w:val="left"/>
              <w:rPr>
                <w:rFonts w:ascii="宋体" w:hAnsi="宋体"/>
                <w:szCs w:val="21"/>
              </w:rPr>
            </w:pPr>
            <w:r>
              <w:rPr>
                <w:rFonts w:hint="eastAsia" w:ascii="宋体" w:hAnsi="宋体"/>
                <w:szCs w:val="21"/>
              </w:rPr>
              <w:t>（1）服务团队人数（满分10分）：</w:t>
            </w:r>
          </w:p>
          <w:p>
            <w:pPr>
              <w:spacing w:line="400" w:lineRule="exact"/>
              <w:ind w:firstLine="420" w:firstLineChars="200"/>
              <w:jc w:val="left"/>
              <w:rPr>
                <w:rFonts w:ascii="宋体" w:hAnsi="宋体"/>
                <w:szCs w:val="21"/>
              </w:rPr>
            </w:pPr>
            <w:r>
              <w:rPr>
                <w:rFonts w:hint="eastAsia" w:ascii="宋体" w:hAnsi="宋体"/>
                <w:szCs w:val="21"/>
              </w:rPr>
              <w:t>拟投入本项目的专兼职服务律师团队5人（含）以上得10分，4人得6分，3人得2分</w:t>
            </w:r>
            <w:r>
              <w:rPr>
                <w:rFonts w:hint="eastAsia" w:ascii="宋体" w:hAnsi="宋体"/>
                <w:szCs w:val="21"/>
                <w:lang w:eastAsia="zh-CN"/>
              </w:rPr>
              <w:t>，</w:t>
            </w:r>
            <w:r>
              <w:rPr>
                <w:rFonts w:hint="eastAsia" w:ascii="宋体" w:hAnsi="宋体"/>
                <w:szCs w:val="21"/>
                <w:lang w:val="en-US" w:eastAsia="zh-CN"/>
              </w:rPr>
              <w:t>2人及2人以下得1分</w:t>
            </w:r>
            <w:r>
              <w:rPr>
                <w:rFonts w:hint="eastAsia" w:ascii="宋体" w:hAnsi="宋体"/>
                <w:szCs w:val="21"/>
              </w:rPr>
              <w:t>。（</w:t>
            </w:r>
            <w:r>
              <w:rPr>
                <w:rFonts w:hint="eastAsia" w:ascii="宋体" w:hAnsi="宋体"/>
                <w:b/>
                <w:szCs w:val="21"/>
              </w:rPr>
              <w:t>响应文件中需提供供应商承诺函，格式自拟，否则不得分）</w:t>
            </w:r>
          </w:p>
          <w:p>
            <w:pPr>
              <w:spacing w:line="400" w:lineRule="exact"/>
              <w:ind w:firstLine="420" w:firstLineChars="200"/>
              <w:jc w:val="left"/>
              <w:rPr>
                <w:rFonts w:ascii="宋体" w:hAnsi="宋体"/>
                <w:szCs w:val="21"/>
              </w:rPr>
            </w:pPr>
            <w:r>
              <w:rPr>
                <w:rFonts w:hint="eastAsia" w:ascii="宋体" w:hAnsi="宋体"/>
                <w:szCs w:val="21"/>
              </w:rPr>
              <w:t>（2）团队资历（满分20分）：</w:t>
            </w:r>
          </w:p>
          <w:p>
            <w:pPr>
              <w:spacing w:line="400" w:lineRule="exact"/>
              <w:ind w:firstLine="420" w:firstLineChars="200"/>
              <w:jc w:val="left"/>
              <w:rPr>
                <w:rFonts w:ascii="宋体" w:hAnsi="宋体"/>
                <w:szCs w:val="21"/>
              </w:rPr>
            </w:pP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拟投入本项目的服务团队负责人的律师执业经历在10年（含）以上得5分（响应文件中需提供工作简历、（律师）证件复印件等证明资料），否则不得分；</w:t>
            </w:r>
          </w:p>
          <w:p>
            <w:pPr>
              <w:spacing w:line="400" w:lineRule="exact"/>
              <w:ind w:firstLine="420" w:firstLineChars="200"/>
              <w:jc w:val="left"/>
              <w:rPr>
                <w:rFonts w:ascii="宋体" w:hAnsi="宋体"/>
                <w:szCs w:val="21"/>
              </w:rPr>
            </w:pP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投入人员律师有医疗行业从业经验的得5分（响应文件中需提供有效证明资料）</w:t>
            </w:r>
          </w:p>
          <w:p>
            <w:pPr>
              <w:spacing w:line="400" w:lineRule="exact"/>
              <w:ind w:firstLine="420" w:firstLineChars="200"/>
              <w:jc w:val="left"/>
              <w:rPr>
                <w:rFonts w:ascii="宋体" w:hAnsi="宋体"/>
                <w:szCs w:val="21"/>
              </w:rPr>
            </w:pPr>
            <w:r>
              <w:rPr>
                <w:rFonts w:ascii="宋体" w:hAnsi="宋体"/>
                <w:szCs w:val="21"/>
              </w:rPr>
              <w:fldChar w:fldCharType="begin"/>
            </w:r>
            <w:r>
              <w:rPr>
                <w:rFonts w:hint="eastAsia" w:ascii="宋体" w:hAnsi="宋体"/>
                <w:szCs w:val="21"/>
              </w:rPr>
              <w:instrText xml:space="preserve">= 3 \* GB3</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除负责人外，投入人员律师执业年限满5年（含）以上的每名人员得3分，律师执业年限满4年的每名人员得2分，律师执业年限满3年的每名人员得1分，最多计10分。</w:t>
            </w:r>
          </w:p>
          <w:p>
            <w:pPr>
              <w:spacing w:line="400" w:lineRule="exact"/>
              <w:ind w:firstLine="422" w:firstLineChars="200"/>
              <w:jc w:val="left"/>
              <w:rPr>
                <w:rFonts w:ascii="宋体" w:hAnsi="宋体"/>
                <w:szCs w:val="21"/>
              </w:rPr>
            </w:pPr>
            <w:r>
              <w:rPr>
                <w:rFonts w:hint="eastAsia" w:ascii="宋体" w:hAnsi="宋体"/>
                <w:b/>
                <w:szCs w:val="21"/>
              </w:rPr>
              <w:t>注：响应文件中必须提供上述人员相关证书复印件及证明资料和劳动合同复印件。</w:t>
            </w: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满分</w:t>
            </w:r>
            <w:r>
              <w:rPr>
                <w:rFonts w:ascii="宋体" w:hAnsi="宋体"/>
                <w:bCs/>
                <w:szCs w:val="21"/>
              </w:rPr>
              <w:t>30</w:t>
            </w:r>
            <w:r>
              <w:rPr>
                <w:rFonts w:hint="eastAsia" w:ascii="宋体" w:hAnsi="宋体"/>
                <w:bCs/>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ign w:val="center"/>
          </w:tcPr>
          <w:p>
            <w:pPr>
              <w:spacing w:line="400" w:lineRule="exact"/>
              <w:jc w:val="center"/>
              <w:rPr>
                <w:rFonts w:ascii="宋体" w:hAnsi="宋体"/>
                <w:bCs/>
                <w:szCs w:val="21"/>
              </w:rPr>
            </w:pPr>
            <w:r>
              <w:rPr>
                <w:rFonts w:hint="eastAsia" w:ascii="宋体" w:hAnsi="宋体"/>
                <w:bCs/>
                <w:szCs w:val="21"/>
              </w:rPr>
              <w:t>2.3</w:t>
            </w:r>
          </w:p>
        </w:tc>
        <w:tc>
          <w:tcPr>
            <w:tcW w:w="1418" w:type="dxa"/>
            <w:noWrap/>
            <w:vAlign w:val="center"/>
          </w:tcPr>
          <w:p>
            <w:pPr>
              <w:spacing w:line="400" w:lineRule="exact"/>
              <w:jc w:val="center"/>
              <w:rPr>
                <w:rFonts w:ascii="宋体" w:hAnsi="宋体"/>
                <w:bCs/>
                <w:szCs w:val="21"/>
              </w:rPr>
            </w:pPr>
            <w:r>
              <w:rPr>
                <w:rFonts w:hint="eastAsia" w:ascii="宋体" w:hAnsi="宋体"/>
                <w:bCs/>
                <w:szCs w:val="21"/>
              </w:rPr>
              <w:t>现场服务</w:t>
            </w:r>
          </w:p>
        </w:tc>
        <w:tc>
          <w:tcPr>
            <w:tcW w:w="5386" w:type="dxa"/>
            <w:tcBorders>
              <w:right w:val="single" w:color="auto" w:sz="4" w:space="0"/>
            </w:tcBorders>
            <w:noWrap/>
          </w:tcPr>
          <w:p>
            <w:pPr>
              <w:spacing w:line="400" w:lineRule="exact"/>
              <w:jc w:val="left"/>
              <w:rPr>
                <w:rFonts w:ascii="宋体" w:hAnsi="宋体"/>
                <w:bCs/>
                <w:szCs w:val="21"/>
              </w:rPr>
            </w:pPr>
            <w:r>
              <w:rPr>
                <w:rFonts w:hint="eastAsia" w:ascii="宋体" w:hAnsi="宋体"/>
                <w:bCs/>
                <w:szCs w:val="21"/>
              </w:rPr>
              <w:t>如突发紧急情况，可以在一小时内由律所本部或分部赶到医院现场得5分。(响应文件中需提供高德地图或百度地图驾车时长截图并</w:t>
            </w:r>
            <w:r>
              <w:rPr>
                <w:rFonts w:hint="eastAsia" w:ascii="宋体" w:hAnsi="宋体"/>
                <w:bCs/>
                <w:szCs w:val="21"/>
                <w:lang w:val="en-US" w:eastAsia="zh-CN"/>
              </w:rPr>
              <w:t>加</w:t>
            </w:r>
            <w:r>
              <w:rPr>
                <w:rFonts w:hint="eastAsia" w:ascii="宋体" w:hAnsi="宋体"/>
                <w:bCs/>
                <w:szCs w:val="21"/>
              </w:rPr>
              <w:t>盖公章)</w:t>
            </w: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满分5分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noWrap/>
            <w:vAlign w:val="center"/>
          </w:tcPr>
          <w:p>
            <w:pPr>
              <w:spacing w:line="400" w:lineRule="exact"/>
              <w:jc w:val="center"/>
              <w:rPr>
                <w:rFonts w:ascii="宋体" w:hAnsi="宋体"/>
                <w:bCs/>
                <w:szCs w:val="21"/>
              </w:rPr>
            </w:pPr>
            <w:r>
              <w:rPr>
                <w:rFonts w:hint="eastAsia" w:ascii="宋体" w:hAnsi="宋体"/>
                <w:bCs/>
                <w:szCs w:val="21"/>
              </w:rPr>
              <w:t>3</w:t>
            </w:r>
          </w:p>
        </w:tc>
        <w:tc>
          <w:tcPr>
            <w:tcW w:w="1418" w:type="dxa"/>
            <w:vMerge w:val="restart"/>
            <w:noWrap/>
            <w:vAlign w:val="center"/>
          </w:tcPr>
          <w:p>
            <w:pPr>
              <w:spacing w:line="400" w:lineRule="exact"/>
              <w:jc w:val="center"/>
              <w:rPr>
                <w:rFonts w:ascii="宋体" w:hAnsi="宋体"/>
                <w:bCs/>
                <w:szCs w:val="21"/>
              </w:rPr>
            </w:pPr>
            <w:r>
              <w:rPr>
                <w:rFonts w:hint="eastAsia" w:ascii="宋体" w:hAnsi="宋体"/>
                <w:bCs/>
                <w:szCs w:val="21"/>
              </w:rPr>
              <w:t>商务分</w:t>
            </w:r>
          </w:p>
        </w:tc>
        <w:tc>
          <w:tcPr>
            <w:tcW w:w="5386" w:type="dxa"/>
            <w:vMerge w:val="restart"/>
            <w:tcBorders>
              <w:righ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评审因素</w:t>
            </w: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noWrap/>
            <w:vAlign w:val="center"/>
          </w:tcPr>
          <w:p>
            <w:pPr>
              <w:spacing w:line="400" w:lineRule="exact"/>
              <w:rPr>
                <w:rFonts w:ascii="宋体" w:hAnsi="宋体"/>
                <w:bCs/>
                <w:szCs w:val="21"/>
              </w:rPr>
            </w:pPr>
          </w:p>
        </w:tc>
        <w:tc>
          <w:tcPr>
            <w:tcW w:w="1418" w:type="dxa"/>
            <w:vMerge w:val="continue"/>
            <w:noWrap/>
            <w:vAlign w:val="center"/>
          </w:tcPr>
          <w:p>
            <w:pPr>
              <w:spacing w:line="400" w:lineRule="exact"/>
              <w:rPr>
                <w:rFonts w:ascii="宋体" w:hAnsi="宋体"/>
                <w:bCs/>
                <w:szCs w:val="21"/>
              </w:rPr>
            </w:pPr>
          </w:p>
        </w:tc>
        <w:tc>
          <w:tcPr>
            <w:tcW w:w="5386" w:type="dxa"/>
            <w:vMerge w:val="continue"/>
            <w:tcBorders>
              <w:right w:val="single" w:color="auto" w:sz="4" w:space="0"/>
            </w:tcBorders>
            <w:noWrap/>
            <w:vAlign w:val="center"/>
          </w:tcPr>
          <w:p>
            <w:pPr>
              <w:spacing w:line="400" w:lineRule="exact"/>
              <w:ind w:firstLine="420" w:firstLineChars="200"/>
              <w:jc w:val="left"/>
              <w:rPr>
                <w:rFonts w:ascii="宋体" w:hAnsi="宋体"/>
                <w:szCs w:val="21"/>
              </w:rPr>
            </w:pP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满分2</w:t>
            </w:r>
            <w:r>
              <w:rPr>
                <w:rFonts w:ascii="宋体" w:hAnsi="宋体"/>
                <w:bCs/>
                <w:szCs w:val="21"/>
              </w:rPr>
              <w:t>5</w:t>
            </w:r>
            <w:r>
              <w:rPr>
                <w:rFonts w:hint="eastAsia" w:ascii="宋体" w:hAnsi="宋体"/>
                <w:bCs/>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ign w:val="center"/>
          </w:tcPr>
          <w:p>
            <w:pPr>
              <w:spacing w:line="400" w:lineRule="exact"/>
              <w:rPr>
                <w:rFonts w:ascii="宋体" w:hAnsi="宋体"/>
                <w:bCs/>
                <w:szCs w:val="21"/>
              </w:rPr>
            </w:pPr>
            <w:r>
              <w:rPr>
                <w:rFonts w:ascii="宋体" w:hAnsi="宋体"/>
                <w:bCs/>
                <w:szCs w:val="21"/>
              </w:rPr>
              <w:t>3.1</w:t>
            </w:r>
          </w:p>
        </w:tc>
        <w:tc>
          <w:tcPr>
            <w:tcW w:w="1418" w:type="dxa"/>
            <w:noWrap/>
            <w:vAlign w:val="center"/>
          </w:tcPr>
          <w:p>
            <w:pPr>
              <w:spacing w:line="400" w:lineRule="exact"/>
              <w:jc w:val="center"/>
              <w:rPr>
                <w:rFonts w:ascii="宋体" w:hAnsi="宋体"/>
                <w:bCs/>
                <w:szCs w:val="21"/>
              </w:rPr>
            </w:pPr>
            <w:r>
              <w:rPr>
                <w:rFonts w:hint="eastAsia" w:ascii="宋体" w:hAnsi="宋体"/>
                <w:bCs/>
                <w:szCs w:val="21"/>
              </w:rPr>
              <w:t>信誉业绩</w:t>
            </w:r>
          </w:p>
        </w:tc>
        <w:tc>
          <w:tcPr>
            <w:tcW w:w="5386" w:type="dxa"/>
            <w:tcBorders>
              <w:right w:val="single" w:color="auto" w:sz="4" w:space="0"/>
            </w:tcBorders>
            <w:noWrap/>
          </w:tcPr>
          <w:p>
            <w:pPr>
              <w:spacing w:line="400" w:lineRule="exact"/>
              <w:ind w:firstLine="420" w:firstLineChars="200"/>
              <w:jc w:val="left"/>
              <w:rPr>
                <w:rFonts w:hint="eastAsia" w:ascii="宋体" w:hAnsi="宋体"/>
                <w:szCs w:val="21"/>
              </w:rPr>
            </w:pPr>
            <w:r>
              <w:rPr>
                <w:rFonts w:hint="eastAsia" w:ascii="宋体" w:hAnsi="宋体"/>
                <w:szCs w:val="21"/>
              </w:rPr>
              <w:t>（1）202</w:t>
            </w:r>
            <w:r>
              <w:rPr>
                <w:rFonts w:hint="eastAsia" w:ascii="宋体" w:hAnsi="宋体"/>
                <w:szCs w:val="21"/>
                <w:lang w:val="en-US" w:eastAsia="zh-CN"/>
              </w:rPr>
              <w:t>1</w:t>
            </w:r>
            <w:r>
              <w:rPr>
                <w:rFonts w:hint="eastAsia" w:ascii="宋体" w:hAnsi="宋体"/>
                <w:szCs w:val="21"/>
              </w:rPr>
              <w:t>年1月1日以来供应商</w:t>
            </w:r>
            <w:r>
              <w:rPr>
                <w:rFonts w:hint="eastAsia" w:ascii="宋体" w:hAnsi="宋体"/>
                <w:szCs w:val="21"/>
                <w:highlight w:val="none"/>
              </w:rPr>
              <w:t>具有同类</w:t>
            </w:r>
            <w:r>
              <w:rPr>
                <w:rFonts w:hint="eastAsia" w:ascii="宋体" w:hAnsi="宋体"/>
                <w:szCs w:val="21"/>
              </w:rPr>
              <w:t>长期定点提供法律顾问业绩的，每有1个得3分，最多得15分(响应文件中需提供中标/成交通知书或合同、协议复印件加盖公章)。</w:t>
            </w:r>
          </w:p>
          <w:p>
            <w:pPr>
              <w:spacing w:line="400" w:lineRule="exact"/>
              <w:ind w:firstLine="420" w:firstLineChars="200"/>
              <w:jc w:val="left"/>
              <w:rPr>
                <w:rFonts w:ascii="宋体" w:hAnsi="宋体"/>
                <w:szCs w:val="21"/>
              </w:rPr>
            </w:pPr>
            <w:r>
              <w:rPr>
                <w:rFonts w:hint="eastAsia" w:ascii="宋体" w:hAnsi="宋体"/>
                <w:szCs w:val="21"/>
              </w:rPr>
              <w:t>（2）202</w:t>
            </w:r>
            <w:r>
              <w:rPr>
                <w:rFonts w:hint="eastAsia" w:ascii="宋体" w:hAnsi="宋体"/>
                <w:szCs w:val="21"/>
                <w:lang w:val="en-US" w:eastAsia="zh-CN"/>
              </w:rPr>
              <w:t>1</w:t>
            </w:r>
            <w:r>
              <w:rPr>
                <w:rFonts w:hint="eastAsia" w:ascii="宋体" w:hAnsi="宋体"/>
                <w:szCs w:val="21"/>
              </w:rPr>
              <w:t>年以来供应商获得优秀律师事务所荣誉的，每项得1分，最多得5分 (响应文件中需提供相关有效证明材料，并加盖公章)</w:t>
            </w:r>
          </w:p>
          <w:p>
            <w:pPr>
              <w:spacing w:line="400" w:lineRule="exact"/>
              <w:ind w:firstLine="420" w:firstLineChars="200"/>
              <w:jc w:val="left"/>
              <w:rPr>
                <w:rFonts w:ascii="宋体" w:hAnsi="宋体"/>
                <w:szCs w:val="21"/>
              </w:rPr>
            </w:pPr>
            <w:r>
              <w:rPr>
                <w:rFonts w:hint="eastAsia" w:ascii="宋体" w:hAnsi="宋体"/>
                <w:szCs w:val="21"/>
              </w:rPr>
              <w:t>（3）优秀案例情况5分：202</w:t>
            </w:r>
            <w:r>
              <w:rPr>
                <w:rFonts w:hint="eastAsia" w:ascii="宋体" w:hAnsi="宋体"/>
                <w:szCs w:val="21"/>
                <w:lang w:val="en-US" w:eastAsia="zh-CN"/>
              </w:rPr>
              <w:t>1</w:t>
            </w:r>
            <w:bookmarkStart w:id="0" w:name="_GoBack"/>
            <w:bookmarkEnd w:id="0"/>
            <w:r>
              <w:rPr>
                <w:rFonts w:hint="eastAsia" w:ascii="宋体" w:hAnsi="宋体"/>
                <w:szCs w:val="21"/>
              </w:rPr>
              <w:t>年1月1日以来，供应商典型、优秀案例，案例需与采购人同类项目。</w:t>
            </w:r>
          </w:p>
          <w:p>
            <w:pPr>
              <w:spacing w:line="400" w:lineRule="exact"/>
              <w:ind w:firstLine="420" w:firstLineChars="200"/>
              <w:jc w:val="left"/>
              <w:rPr>
                <w:rFonts w:ascii="宋体" w:hAnsi="宋体"/>
                <w:szCs w:val="21"/>
              </w:rPr>
            </w:pPr>
            <w:r>
              <w:rPr>
                <w:rFonts w:hint="eastAsia" w:ascii="宋体" w:hAnsi="宋体"/>
                <w:szCs w:val="21"/>
              </w:rPr>
              <w:t>优秀（</w:t>
            </w:r>
            <w:r>
              <w:rPr>
                <w:rFonts w:ascii="宋体" w:hAnsi="宋体"/>
                <w:szCs w:val="21"/>
              </w:rPr>
              <w:t>4</w:t>
            </w:r>
            <w:r>
              <w:rPr>
                <w:rFonts w:hint="eastAsia" w:ascii="宋体" w:hAnsi="宋体"/>
                <w:szCs w:val="21"/>
              </w:rPr>
              <w:t>-5分）：案例真实合规，与采购人有较高契合度；</w:t>
            </w:r>
          </w:p>
          <w:p>
            <w:pPr>
              <w:spacing w:line="400" w:lineRule="exact"/>
              <w:ind w:firstLine="420" w:firstLineChars="200"/>
              <w:jc w:val="left"/>
              <w:rPr>
                <w:rFonts w:ascii="宋体" w:hAnsi="宋体"/>
                <w:szCs w:val="21"/>
              </w:rPr>
            </w:pPr>
            <w:r>
              <w:rPr>
                <w:rFonts w:hint="eastAsia" w:ascii="宋体" w:hAnsi="宋体"/>
                <w:szCs w:val="21"/>
              </w:rPr>
              <w:t>良好（</w:t>
            </w:r>
            <w:r>
              <w:rPr>
                <w:rFonts w:ascii="宋体" w:hAnsi="宋体"/>
                <w:szCs w:val="21"/>
              </w:rPr>
              <w:t>2</w:t>
            </w:r>
            <w:r>
              <w:rPr>
                <w:rFonts w:hint="eastAsia" w:ascii="宋体" w:hAnsi="宋体"/>
                <w:szCs w:val="21"/>
              </w:rPr>
              <w:t>-</w:t>
            </w:r>
            <w:r>
              <w:rPr>
                <w:rFonts w:ascii="宋体" w:hAnsi="宋体"/>
                <w:szCs w:val="21"/>
              </w:rPr>
              <w:t>3</w:t>
            </w:r>
            <w:r>
              <w:rPr>
                <w:rFonts w:hint="eastAsia" w:ascii="宋体" w:hAnsi="宋体"/>
                <w:szCs w:val="21"/>
              </w:rPr>
              <w:t>分）：案例真实合规，对采购人目前经营有一定的针对性；</w:t>
            </w:r>
          </w:p>
          <w:p>
            <w:pPr>
              <w:spacing w:line="400" w:lineRule="exact"/>
              <w:ind w:firstLine="420" w:firstLineChars="200"/>
              <w:jc w:val="left"/>
              <w:rPr>
                <w:rFonts w:ascii="宋体" w:hAnsi="宋体"/>
                <w:szCs w:val="21"/>
              </w:rPr>
            </w:pPr>
            <w:r>
              <w:rPr>
                <w:rFonts w:hint="eastAsia" w:ascii="宋体" w:hAnsi="宋体"/>
                <w:szCs w:val="21"/>
              </w:rPr>
              <w:t>一般（0-1分）：案例真实合规，与采购人实际经营关联性不强。</w:t>
            </w:r>
          </w:p>
          <w:p>
            <w:pPr>
              <w:spacing w:line="400" w:lineRule="exact"/>
              <w:ind w:firstLine="422" w:firstLineChars="200"/>
              <w:jc w:val="left"/>
              <w:rPr>
                <w:rFonts w:ascii="宋体" w:hAnsi="宋体"/>
                <w:b/>
                <w:szCs w:val="21"/>
              </w:rPr>
            </w:pPr>
            <w:r>
              <w:rPr>
                <w:rFonts w:hint="eastAsia" w:ascii="宋体" w:hAnsi="宋体"/>
                <w:b/>
                <w:szCs w:val="21"/>
              </w:rPr>
              <w:t>注：响应文件提供中不涉及商业机密的证明文件并加盖公章，否则不得分。</w:t>
            </w:r>
          </w:p>
        </w:tc>
        <w:tc>
          <w:tcPr>
            <w:tcW w:w="1197" w:type="dxa"/>
            <w:tcBorders>
              <w:left w:val="single" w:color="auto" w:sz="4" w:space="0"/>
            </w:tcBorders>
            <w:noWrap/>
            <w:vAlign w:val="center"/>
          </w:tcPr>
          <w:p>
            <w:pPr>
              <w:spacing w:line="400" w:lineRule="exact"/>
              <w:jc w:val="center"/>
              <w:rPr>
                <w:rFonts w:ascii="宋体" w:hAnsi="宋体"/>
                <w:bCs/>
                <w:szCs w:val="21"/>
              </w:rPr>
            </w:pPr>
            <w:r>
              <w:rPr>
                <w:rFonts w:hint="eastAsia" w:ascii="宋体" w:hAnsi="宋体"/>
                <w:bCs/>
                <w:szCs w:val="21"/>
              </w:rPr>
              <w:t>满分</w:t>
            </w:r>
            <w:r>
              <w:rPr>
                <w:rFonts w:ascii="宋体" w:hAnsi="宋体"/>
                <w:bCs/>
                <w:szCs w:val="21"/>
              </w:rPr>
              <w:t>25</w:t>
            </w:r>
            <w:r>
              <w:rPr>
                <w:rFonts w:hint="eastAsia" w:ascii="宋体" w:hAnsi="宋体"/>
                <w:bCs/>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6" w:type="dxa"/>
            <w:gridSpan w:val="4"/>
            <w:noWrap/>
            <w:vAlign w:val="center"/>
          </w:tcPr>
          <w:p>
            <w:pPr>
              <w:spacing w:line="400" w:lineRule="exact"/>
              <w:rPr>
                <w:rFonts w:ascii="宋体" w:hAnsi="宋体"/>
                <w:bCs/>
                <w:szCs w:val="21"/>
              </w:rPr>
            </w:pPr>
            <w:r>
              <w:rPr>
                <w:rFonts w:hint="eastAsia" w:ascii="宋体" w:hAnsi="宋体"/>
                <w:bCs/>
                <w:szCs w:val="21"/>
              </w:rPr>
              <w:t>总得分＝1＋2＋3</w:t>
            </w:r>
          </w:p>
        </w:tc>
      </w:tr>
    </w:tbl>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ZlNmNlNzJkNjMzOTI3ZTE0ODEwMTE4ZWE1NzljZGYifQ=="/>
  </w:docVars>
  <w:rsids>
    <w:rsidRoot w:val="551225F8"/>
    <w:rsid w:val="002A6ADA"/>
    <w:rsid w:val="00593E82"/>
    <w:rsid w:val="00A40753"/>
    <w:rsid w:val="0ABA4C77"/>
    <w:rsid w:val="45D93B1E"/>
    <w:rsid w:val="4E03266F"/>
    <w:rsid w:val="50474F87"/>
    <w:rsid w:val="50EE562C"/>
    <w:rsid w:val="551225F8"/>
    <w:rsid w:val="650634F2"/>
    <w:rsid w:val="6E9D45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Plain Text"/>
    <w:basedOn w:val="1"/>
    <w:autoRedefine/>
    <w:qFormat/>
    <w:uiPriority w:val="0"/>
    <w:rPr>
      <w:rFonts w:ascii="宋体" w:hAnsi="Courier New"/>
      <w:kern w:val="0"/>
      <w:sz w:val="20"/>
      <w:szCs w:val="21"/>
    </w:rPr>
  </w:style>
  <w:style w:type="paragraph" w:styleId="4">
    <w:name w:val="Balloon Text"/>
    <w:basedOn w:val="1"/>
    <w:link w:val="16"/>
    <w:autoRedefine/>
    <w:qFormat/>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autoRedefine/>
    <w:qFormat/>
    <w:uiPriority w:val="0"/>
    <w:pPr>
      <w:jc w:val="center"/>
      <w:outlineLvl w:val="0"/>
    </w:pPr>
    <w:rPr>
      <w:rFonts w:ascii="Arial" w:hAnsi="Arial"/>
      <w:b/>
      <w:sz w:val="32"/>
    </w:rPr>
  </w:style>
  <w:style w:type="paragraph" w:styleId="8">
    <w:name w:val="annotation subject"/>
    <w:basedOn w:val="2"/>
    <w:next w:val="2"/>
    <w:link w:val="15"/>
    <w:qFormat/>
    <w:uiPriority w:val="0"/>
    <w:rPr>
      <w:b/>
      <w:bCs/>
    </w:rPr>
  </w:style>
  <w:style w:type="character" w:styleId="11">
    <w:name w:val="annotation reference"/>
    <w:basedOn w:val="10"/>
    <w:uiPriority w:val="0"/>
    <w:rPr>
      <w:sz w:val="21"/>
      <w:szCs w:val="21"/>
    </w:rPr>
  </w:style>
  <w:style w:type="character" w:customStyle="1" w:styleId="12">
    <w:name w:val="页眉 Char"/>
    <w:basedOn w:val="10"/>
    <w:link w:val="6"/>
    <w:uiPriority w:val="0"/>
    <w:rPr>
      <w:rFonts w:ascii="Times New Roman" w:hAnsi="Times New Roman" w:eastAsia="宋体" w:cs="Times New Roman"/>
      <w:kern w:val="2"/>
      <w:sz w:val="18"/>
      <w:szCs w:val="18"/>
    </w:rPr>
  </w:style>
  <w:style w:type="character" w:customStyle="1" w:styleId="13">
    <w:name w:val="页脚 Char"/>
    <w:basedOn w:val="10"/>
    <w:link w:val="5"/>
    <w:uiPriority w:val="0"/>
    <w:rPr>
      <w:rFonts w:ascii="Times New Roman" w:hAnsi="Times New Roman" w:eastAsia="宋体" w:cs="Times New Roman"/>
      <w:kern w:val="2"/>
      <w:sz w:val="18"/>
      <w:szCs w:val="18"/>
    </w:rPr>
  </w:style>
  <w:style w:type="character" w:customStyle="1" w:styleId="14">
    <w:name w:val="批注文字 Char"/>
    <w:basedOn w:val="10"/>
    <w:link w:val="2"/>
    <w:autoRedefine/>
    <w:qFormat/>
    <w:uiPriority w:val="0"/>
    <w:rPr>
      <w:rFonts w:ascii="Times New Roman" w:hAnsi="Times New Roman" w:eastAsia="宋体" w:cs="Times New Roman"/>
      <w:kern w:val="2"/>
      <w:sz w:val="21"/>
      <w:szCs w:val="24"/>
    </w:rPr>
  </w:style>
  <w:style w:type="character" w:customStyle="1" w:styleId="15">
    <w:name w:val="批注主题 Char"/>
    <w:basedOn w:val="14"/>
    <w:link w:val="8"/>
    <w:qFormat/>
    <w:uiPriority w:val="0"/>
    <w:rPr>
      <w:b/>
      <w:bCs/>
    </w:rPr>
  </w:style>
  <w:style w:type="character" w:customStyle="1" w:styleId="16">
    <w:name w:val="批注框文本 Char"/>
    <w:basedOn w:val="10"/>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229</Words>
  <Characters>1311</Characters>
  <Lines>10</Lines>
  <Paragraphs>3</Paragraphs>
  <TotalTime>9</TotalTime>
  <ScaleCrop>false</ScaleCrop>
  <LinksUpToDate>false</LinksUpToDate>
  <CharactersWithSpaces>1537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2024-02-23T01:21:00Z</dcterms:created>
  <dc:creator>对方正在输入...</dc:creator>
  <cp:lastModifiedBy>对方正在输入...</cp:lastModifiedBy>
  <dcterms:modified xsi:type="dcterms:W3CDTF">2024-02-23T07:14:40Z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36B8B80AAF774CC881F6722C1AF068C0_11</vt:lpwstr>
  </property>
</Properties>
</file>