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2E99A3">
      <w:pPr>
        <w:widowControl/>
        <w:tabs>
          <w:tab w:val="left" w:pos="540"/>
        </w:tabs>
        <w:spacing w:line="420" w:lineRule="exact"/>
        <w:jc w:val="center"/>
        <w:outlineLvl w:val="0"/>
        <w:rPr>
          <w:rFonts w:hint="eastAsia" w:ascii="宋体" w:hAnsi="宋体" w:cs="宋体"/>
        </w:rPr>
      </w:pPr>
    </w:p>
    <w:tbl>
      <w:tblPr>
        <w:tblStyle w:val="13"/>
        <w:tblW w:w="111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915"/>
        <w:gridCol w:w="390"/>
        <w:gridCol w:w="420"/>
        <w:gridCol w:w="8715"/>
      </w:tblGrid>
      <w:tr w14:paraId="457B4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0" w:type="dxa"/>
            <w:noWrap w:val="0"/>
            <w:vAlign w:val="center"/>
          </w:tcPr>
          <w:p w14:paraId="75146F4F">
            <w:pPr>
              <w:pStyle w:val="9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3" w:lineRule="atLeast"/>
              <w:ind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标项号</w:t>
            </w:r>
          </w:p>
        </w:tc>
        <w:tc>
          <w:tcPr>
            <w:tcW w:w="915" w:type="dxa"/>
            <w:noWrap w:val="0"/>
            <w:vAlign w:val="center"/>
          </w:tcPr>
          <w:p w14:paraId="3745A11F">
            <w:pPr>
              <w:pStyle w:val="9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3" w:lineRule="atLeast"/>
              <w:ind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标的名称</w:t>
            </w:r>
          </w:p>
        </w:tc>
        <w:tc>
          <w:tcPr>
            <w:tcW w:w="390" w:type="dxa"/>
            <w:noWrap w:val="0"/>
            <w:vAlign w:val="center"/>
          </w:tcPr>
          <w:p w14:paraId="56CAAF55">
            <w:pPr>
              <w:pStyle w:val="9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3" w:lineRule="atLeast"/>
              <w:ind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数量</w:t>
            </w:r>
          </w:p>
        </w:tc>
        <w:tc>
          <w:tcPr>
            <w:tcW w:w="420" w:type="dxa"/>
            <w:noWrap w:val="0"/>
            <w:vAlign w:val="center"/>
          </w:tcPr>
          <w:p w14:paraId="1B63C6D8">
            <w:pPr>
              <w:pStyle w:val="9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3" w:lineRule="atLeast"/>
              <w:ind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单位</w:t>
            </w:r>
          </w:p>
        </w:tc>
        <w:tc>
          <w:tcPr>
            <w:tcW w:w="8715" w:type="dxa"/>
            <w:noWrap w:val="0"/>
            <w:vAlign w:val="center"/>
          </w:tcPr>
          <w:p w14:paraId="77648F41">
            <w:pPr>
              <w:pStyle w:val="9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3" w:lineRule="atLeast"/>
              <w:ind w:right="0"/>
              <w:jc w:val="center"/>
              <w:rPr>
                <w:rFonts w:hint="default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服务具体内容</w:t>
            </w:r>
          </w:p>
        </w:tc>
      </w:tr>
      <w:tr w14:paraId="641AE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0" w:type="dxa"/>
            <w:noWrap w:val="0"/>
            <w:vAlign w:val="center"/>
          </w:tcPr>
          <w:p w14:paraId="549AABCB">
            <w:pPr>
              <w:pStyle w:val="9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3" w:lineRule="atLeast"/>
              <w:ind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1</w:t>
            </w:r>
          </w:p>
        </w:tc>
        <w:tc>
          <w:tcPr>
            <w:tcW w:w="915" w:type="dxa"/>
            <w:noWrap w:val="0"/>
            <w:vAlign w:val="center"/>
          </w:tcPr>
          <w:p w14:paraId="02EC2D38">
            <w:pPr>
              <w:pStyle w:val="9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3" w:lineRule="atLeast"/>
              <w:ind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highlight w:val="yellow"/>
                <w:shd w:val="clear" w:color="auto" w:fill="FFFFFF"/>
                <w:lang w:eastAsia="zh-CN"/>
              </w:rPr>
              <w:t>医疗设备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highlight w:val="yellow"/>
                <w:shd w:val="clear" w:color="auto" w:fill="FFFFFF"/>
              </w:rPr>
              <w:t>维保服务项目</w:t>
            </w:r>
          </w:p>
        </w:tc>
        <w:tc>
          <w:tcPr>
            <w:tcW w:w="390" w:type="dxa"/>
            <w:noWrap w:val="0"/>
            <w:vAlign w:val="center"/>
          </w:tcPr>
          <w:p w14:paraId="544649B3">
            <w:pPr>
              <w:pStyle w:val="9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3" w:lineRule="atLeast"/>
              <w:ind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1</w:t>
            </w:r>
          </w:p>
        </w:tc>
        <w:tc>
          <w:tcPr>
            <w:tcW w:w="420" w:type="dxa"/>
            <w:noWrap w:val="0"/>
            <w:vAlign w:val="center"/>
          </w:tcPr>
          <w:p w14:paraId="14ED84C0">
            <w:pPr>
              <w:pStyle w:val="9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3" w:lineRule="atLeast"/>
              <w:ind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项</w:t>
            </w:r>
          </w:p>
        </w:tc>
        <w:tc>
          <w:tcPr>
            <w:tcW w:w="8715" w:type="dxa"/>
            <w:noWrap w:val="0"/>
            <w:vAlign w:val="center"/>
          </w:tcPr>
          <w:p w14:paraId="0B3AA491">
            <w:pPr>
              <w:spacing w:line="276" w:lineRule="auto"/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/>
                <w:bCs w:val="0"/>
                <w:spacing w:val="-7"/>
                <w:sz w:val="24"/>
                <w:szCs w:val="24"/>
                <w:lang w:val="en-US" w:eastAsia="zh-CN"/>
              </w:rPr>
              <w:t>一、维保设备：</w:t>
            </w:r>
            <w:r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  <w:t>飞利浦DSA</w:t>
            </w:r>
            <w:r>
              <w:rPr>
                <w:rFonts w:hint="eastAsia" w:cs="Times New Roman"/>
                <w:bCs/>
                <w:spacing w:val="-7"/>
                <w:sz w:val="24"/>
                <w:szCs w:val="24"/>
                <w:lang w:val="en-US" w:eastAsia="zh-CN"/>
              </w:rPr>
              <w:t>（Allura Xper FD20）</w:t>
            </w:r>
            <w:r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  <w:t>，数量：一台，以下简称“DSA”；</w:t>
            </w:r>
          </w:p>
          <w:p w14:paraId="77E53AA8">
            <w:pPr>
              <w:spacing w:line="276" w:lineRule="auto"/>
              <w:rPr>
                <w:rFonts w:hint="default" w:eastAsia="宋体" w:cs="Times New Roman"/>
                <w:bCs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/>
                <w:bCs w:val="0"/>
                <w:spacing w:val="-7"/>
                <w:sz w:val="24"/>
                <w:szCs w:val="24"/>
                <w:lang w:val="en-US" w:eastAsia="zh-CN"/>
              </w:rPr>
              <w:t>二、维保年限：</w:t>
            </w:r>
            <w:bookmarkStart w:id="0" w:name="_GoBack"/>
            <w:bookmarkEnd w:id="0"/>
            <w:r>
              <w:rPr>
                <w:rFonts w:hint="eastAsia" w:cs="Times New Roman"/>
                <w:bCs/>
                <w:spacing w:val="-7"/>
                <w:sz w:val="24"/>
                <w:szCs w:val="24"/>
                <w:lang w:val="en-US" w:eastAsia="zh-CN"/>
              </w:rPr>
              <w:t>自合同签订之日起3年</w:t>
            </w:r>
          </w:p>
          <w:p w14:paraId="6E3A0731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0" w:beforeAutospacing="0" w:after="0" w:afterAutospacing="0" w:line="420" w:lineRule="atLeast"/>
              <w:ind w:right="0"/>
              <w:jc w:val="both"/>
              <w:rPr>
                <w:rFonts w:hint="eastAsia" w:ascii="Calibri" w:hAnsi="Calibri" w:eastAsia="宋体" w:cs="Times New Roman"/>
                <w:b/>
                <w:bCs w:val="0"/>
                <w:spacing w:val="-7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/>
                <w:bCs w:val="0"/>
                <w:spacing w:val="-7"/>
                <w:kern w:val="2"/>
                <w:sz w:val="24"/>
                <w:szCs w:val="24"/>
                <w:lang w:val="en-US" w:eastAsia="zh-CN" w:bidi="ar-SA"/>
              </w:rPr>
              <w:t>三、维保类型：</w:t>
            </w:r>
            <w:r>
              <w:rPr>
                <w:rFonts w:hint="eastAsia" w:ascii="Calibri" w:hAnsi="Calibri" w:cs="Times New Roman"/>
                <w:b/>
                <w:bCs w:val="0"/>
                <w:spacing w:val="-7"/>
                <w:kern w:val="2"/>
                <w:sz w:val="24"/>
                <w:szCs w:val="24"/>
                <w:lang w:val="en-US" w:eastAsia="zh-CN" w:bidi="ar-SA"/>
              </w:rPr>
              <w:t>全保（含球管、高压发生器、探测器）</w:t>
            </w:r>
          </w:p>
          <w:p w14:paraId="6953112B">
            <w:pPr>
              <w:spacing w:line="276" w:lineRule="auto"/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/>
                <w:bCs w:val="0"/>
                <w:spacing w:val="-7"/>
                <w:sz w:val="24"/>
                <w:szCs w:val="24"/>
                <w:lang w:val="en-US" w:eastAsia="zh-CN"/>
              </w:rPr>
              <w:t>四、维保范围：</w:t>
            </w:r>
            <w:r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  <w:t>设备整机维保服务范围内，涵盖升级服务、预防性保养、工时费用、故障响应保障、技术支持、开机率保障、质量保证以及相关备件等服务项目。设备附属的UPS、打印机、阅片工作站、叫号系统等第三方设备系统不包含在保修服务范围内。</w:t>
            </w:r>
          </w:p>
          <w:p w14:paraId="1065EA04">
            <w:pPr>
              <w:spacing w:line="276" w:lineRule="auto"/>
              <w:rPr>
                <w:rFonts w:hint="eastAsia" w:eastAsia="宋体" w:cs="Times New Roman"/>
                <w:b/>
                <w:bCs w:val="0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/>
                <w:bCs w:val="0"/>
                <w:spacing w:val="-7"/>
                <w:sz w:val="24"/>
                <w:szCs w:val="24"/>
                <w:lang w:val="en-US" w:eastAsia="zh-CN"/>
              </w:rPr>
              <w:t>五、具体维保服务内容：</w:t>
            </w:r>
          </w:p>
          <w:p w14:paraId="609C895F">
            <w:pPr>
              <w:spacing w:line="276" w:lineRule="auto"/>
              <w:rPr>
                <w:rFonts w:hint="eastAsia" w:eastAsia="宋体" w:cs="Times New Roman"/>
                <w:b/>
                <w:bCs w:val="0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/>
                <w:bCs w:val="0"/>
                <w:spacing w:val="-7"/>
                <w:sz w:val="24"/>
                <w:szCs w:val="24"/>
                <w:lang w:val="en-US" w:eastAsia="zh-CN"/>
              </w:rPr>
              <w:t>1、预防性保养</w:t>
            </w:r>
          </w:p>
          <w:p w14:paraId="0C0D0E23">
            <w:pPr>
              <w:spacing w:line="276" w:lineRule="auto"/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  <w:t>(1)保养依据：服务期内，成交供应商须以行业规范及DSA保养手册为保养实施依据，对设备实施预防性保养。</w:t>
            </w:r>
          </w:p>
          <w:p w14:paraId="17899AE6">
            <w:pPr>
              <w:spacing w:line="276" w:lineRule="auto"/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  <w:t>(2)保养实施：每个合同年度，应根据设备的实际情况制定保养计划，每个合同年要求保养不能少于4次，每间隔3个月一次。在预期保养时间前一周内，应与采购人工作人员预约具体保养时间。</w:t>
            </w:r>
          </w:p>
          <w:p w14:paraId="3F859863">
            <w:pPr>
              <w:spacing w:line="276" w:lineRule="auto"/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  <w:t>(3)保养验收：每次保养工作结束后，须提供正规保养工作报告，由采购人进行验收，并由双方相关人员进行签字确认，若保养过程中发现问题，须提供解决方案并及时整改。</w:t>
            </w:r>
          </w:p>
          <w:p w14:paraId="78CA0AC1">
            <w:pPr>
              <w:spacing w:line="276" w:lineRule="auto"/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  <w:t>(4)保养耗材：每次使用的保养耗材由成交供应商免费提供。</w:t>
            </w:r>
          </w:p>
          <w:p w14:paraId="36665E8C">
            <w:pPr>
              <w:spacing w:line="276" w:lineRule="auto"/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  <w:t>(5)保养服务内容包括：设备的电气安全检查、辐射安全检查、控制台模块外观及功能检查、高压发生器显示误差校验、影像链校准及验证、显示器性能测试、机柜间检查、天轨检查、显示器吊架检查、检查床检查及校准、机架检查及校准、三维校准及验证、三方设备接口的测试检查等，并提供保养清单。</w:t>
            </w:r>
          </w:p>
          <w:p w14:paraId="1EBE38B4">
            <w:pPr>
              <w:spacing w:line="276" w:lineRule="auto"/>
              <w:rPr>
                <w:rFonts w:hint="eastAsia" w:eastAsia="宋体" w:cs="Times New Roman"/>
                <w:b/>
                <w:bCs w:val="0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/>
                <w:bCs w:val="0"/>
                <w:spacing w:val="-7"/>
                <w:sz w:val="24"/>
                <w:szCs w:val="24"/>
                <w:lang w:val="en-US" w:eastAsia="zh-CN"/>
              </w:rPr>
              <w:t>2、工时费用</w:t>
            </w:r>
          </w:p>
          <w:p w14:paraId="2D6E8990">
            <w:pPr>
              <w:spacing w:line="276" w:lineRule="auto"/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  <w:t>(1)服务期内，成交供应商维修、巡检、保养设备产生工时费、节假日加班费自行承担。</w:t>
            </w:r>
          </w:p>
          <w:p w14:paraId="54F198A1">
            <w:pPr>
              <w:spacing w:line="276" w:lineRule="auto"/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  <w:t>(2)服务期内，成交供应商自行承担服务人员的差旅费、住宿费等费用。</w:t>
            </w:r>
          </w:p>
          <w:p w14:paraId="7EB17840">
            <w:pPr>
              <w:spacing w:line="276" w:lineRule="auto"/>
              <w:rPr>
                <w:rFonts w:hint="eastAsia" w:eastAsia="宋体" w:cs="Times New Roman"/>
                <w:b/>
                <w:bCs w:val="0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/>
                <w:bCs w:val="0"/>
                <w:spacing w:val="-7"/>
                <w:sz w:val="24"/>
                <w:szCs w:val="24"/>
                <w:lang w:val="en-US" w:eastAsia="zh-CN"/>
              </w:rPr>
              <w:t>3、故障响应保障</w:t>
            </w:r>
          </w:p>
          <w:p w14:paraId="773222C7">
            <w:pPr>
              <w:spacing w:line="276" w:lineRule="auto"/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  <w:t>(1)DSA设备发生故障时，成交供应商接到采购人第一次故障报修，立即作出响应，提供电话等方式支持采购人排除故障。</w:t>
            </w:r>
          </w:p>
          <w:p w14:paraId="7D41BBF0">
            <w:pPr>
              <w:spacing w:line="276" w:lineRule="auto"/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  <w:t>(2)如电话等在线方式排除不了设备故障，必须派出工程师在24小时内到达现场进行维修，排除故障。</w:t>
            </w:r>
          </w:p>
          <w:p w14:paraId="191E7AE8">
            <w:pPr>
              <w:spacing w:line="276" w:lineRule="auto"/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  <w:t>(3)采购人享有无限次故障维修派工，享受优先派工，优先故障响应。</w:t>
            </w:r>
          </w:p>
          <w:p w14:paraId="2E9ADFE6">
            <w:pPr>
              <w:spacing w:line="276" w:lineRule="auto"/>
              <w:rPr>
                <w:rFonts w:hint="eastAsia" w:eastAsia="宋体" w:cs="Times New Roman"/>
                <w:b/>
                <w:bCs w:val="0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/>
                <w:bCs w:val="0"/>
                <w:spacing w:val="-7"/>
                <w:sz w:val="24"/>
                <w:szCs w:val="24"/>
                <w:lang w:val="en-US" w:eastAsia="zh-CN"/>
              </w:rPr>
              <w:t>4、技术支持</w:t>
            </w:r>
          </w:p>
          <w:p w14:paraId="433EDF69">
            <w:pPr>
              <w:spacing w:line="276" w:lineRule="auto"/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  <w:t>（1）服务期内，成交供应商须开通客服电话，提供在线服务，由专业工程师提供技术支持、答疑，7×24小时在线，全年不休。</w:t>
            </w:r>
          </w:p>
          <w:p w14:paraId="55DCDB57">
            <w:pPr>
              <w:spacing w:line="276" w:lineRule="auto"/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  <w:t>（2）全力保障采购人从多种渠道得到快速的专业服务，及时回应采购人提出的问题并提出解决方案，全力配合采购人开展工作。</w:t>
            </w:r>
          </w:p>
          <w:p w14:paraId="5D15C0D7">
            <w:pPr>
              <w:spacing w:line="276" w:lineRule="auto"/>
              <w:rPr>
                <w:rFonts w:hint="eastAsia" w:eastAsia="宋体" w:cs="Times New Roman"/>
                <w:b/>
                <w:bCs w:val="0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/>
                <w:bCs w:val="0"/>
                <w:spacing w:val="-7"/>
                <w:sz w:val="24"/>
                <w:szCs w:val="24"/>
                <w:lang w:val="en-US" w:eastAsia="zh-CN"/>
              </w:rPr>
              <w:t>5、开机率保障</w:t>
            </w:r>
          </w:p>
          <w:p w14:paraId="4F20670B">
            <w:pPr>
              <w:spacing w:line="276" w:lineRule="auto"/>
              <w:rPr>
                <w:rFonts w:hint="eastAsia"/>
                <w:color w:val="000000" w:themeColor="text1"/>
                <w:sz w:val="24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  <w:t>开机率：在合同维保期内确保开机率≥95%（按全年365天计算），全年累计停机超过17天，从第18天（包括第18天）或单次停机超过5天，从第6天起（包括第6天），每超1天，成交供应商须向采购人延长10天维保时间。</w:t>
            </w:r>
            <w:r>
              <w:rPr>
                <w:rFonts w:hint="eastAsia"/>
                <w:color w:val="000000" w:themeColor="text1"/>
                <w:sz w:val="24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</w:t>
            </w:r>
          </w:p>
          <w:p w14:paraId="69BD3124">
            <w:pPr>
              <w:spacing w:line="276" w:lineRule="auto"/>
              <w:rPr>
                <w:rFonts w:hint="eastAsia" w:eastAsia="宋体" w:cs="Times New Roman"/>
                <w:b/>
                <w:bCs w:val="0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/>
                <w:bCs w:val="0"/>
                <w:spacing w:val="-7"/>
                <w:sz w:val="24"/>
                <w:szCs w:val="24"/>
                <w:lang w:val="en-US" w:eastAsia="zh-CN"/>
              </w:rPr>
              <w:t>6、质量保证</w:t>
            </w:r>
          </w:p>
          <w:p w14:paraId="4D0C97A6">
            <w:pPr>
              <w:spacing w:line="276" w:lineRule="auto"/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  <w:t>（1）服务期内，成交供应商须按照厂家标准定期进行调校/校正，保证DSA设备的运行质量达到厂家指导标准及临床诊断要求。</w:t>
            </w:r>
          </w:p>
          <w:p w14:paraId="4C03EE2A">
            <w:pPr>
              <w:spacing w:line="276" w:lineRule="auto"/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  <w:t>（2）服务期内，成交供应商须保证DSA设备符合国家计量检测标准，如果计量检测不合格，需要二次检测的相关费用由成交供应商承担，直至设备检测合格。</w:t>
            </w:r>
          </w:p>
          <w:p w14:paraId="02BCF193">
            <w:pPr>
              <w:spacing w:line="276" w:lineRule="auto"/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  <w:t>（3）保修范围外的系统部件导致的质量不达标除外。</w:t>
            </w:r>
          </w:p>
          <w:p w14:paraId="45B1D703">
            <w:pPr>
              <w:spacing w:line="276" w:lineRule="auto"/>
              <w:rPr>
                <w:rFonts w:hint="eastAsia" w:eastAsia="宋体" w:cs="Times New Roman"/>
                <w:b/>
                <w:bCs w:val="0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/>
                <w:bCs w:val="0"/>
                <w:spacing w:val="-7"/>
                <w:sz w:val="24"/>
                <w:szCs w:val="24"/>
                <w:lang w:val="en-US" w:eastAsia="zh-CN"/>
              </w:rPr>
              <w:t>7、备件保障</w:t>
            </w:r>
          </w:p>
          <w:p w14:paraId="74D2A9E0">
            <w:pPr>
              <w:spacing w:line="276" w:lineRule="auto"/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  <w:t>（1）备件服务范围：成交供应商免费更换包含球管、高压发生器、探测器在内的所有问题备件，采购人不再额外支付任何备件费用。</w:t>
            </w:r>
          </w:p>
          <w:p w14:paraId="1B7E49CB">
            <w:pPr>
              <w:spacing w:line="276" w:lineRule="auto"/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  <w:t>（2）备件要求：更换所有备件必须是原厂合格的备件，保证更换后DSA设备的参数及性能与故障前一致，要求更换的备件与DSA设备兼容，不给设备稳定运行带来危害。</w:t>
            </w:r>
          </w:p>
          <w:p w14:paraId="5D2243CE">
            <w:pPr>
              <w:spacing w:line="276" w:lineRule="auto"/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  <w:t>（3）备件运送：确保备件渠道通畅、合法合规，优先运送并以最快速度运抵现场，运输费用由成交供应商承担。</w:t>
            </w:r>
          </w:p>
          <w:p w14:paraId="2A22400C">
            <w:pPr>
              <w:spacing w:line="276" w:lineRule="auto"/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  <w:t>（4）更换后的报废备件由成交供应商回收处理。</w:t>
            </w:r>
          </w:p>
          <w:p w14:paraId="39CDD2D5">
            <w:pPr>
              <w:spacing w:line="360" w:lineRule="auto"/>
              <w:contextualSpacing/>
              <w:jc w:val="both"/>
              <w:rPr>
                <w:rFonts w:hint="default" w:eastAsia="宋体" w:cs="Times New Roman"/>
                <w:bCs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  <w:t>（5）DSA设备的球管为II类医疗器械，受食药局监管，</w:t>
            </w:r>
            <w:r>
              <w:rPr>
                <w:rFonts w:hint="eastAsia" w:ascii="宋体" w:hAnsi="宋体" w:eastAsia="宋体" w:cs="宋体"/>
                <w:color w:val="000000"/>
                <w:spacing w:val="1"/>
                <w:sz w:val="24"/>
                <w:szCs w:val="24"/>
                <w:lang w:val="en-US" w:eastAsia="zh-CN"/>
              </w:rPr>
              <w:t>，须提供原厂全新同型号球管，提供在中国境内由合法渠道供应的全新原装未拆封球管，且提供球管序列号（即SN号）可以接受生产厂家溯源，并提供采购渠道证明。提供球管注册证、报关单(如进口的，须提供)、球管原厂证书等监管部门需要的全套合法材料。采购人验收合格后方可更换，缺任何一样，采购人有权拒绝收货。成交供应商须承担相应的人工费、运输费、交通费、安装调试费用等，若由于成交供应商更换的球管违反相关法律法规，由成交供应商承担全部法律责任，并赔偿采购人相应损失。球管已临近使用寿命，成交供应商须做好三天内采购、安装、调试好原厂全新同型号球管的准备。</w:t>
            </w:r>
          </w:p>
          <w:p w14:paraId="323CC575">
            <w:pPr>
              <w:spacing w:line="276" w:lineRule="auto"/>
              <w:rPr>
                <w:rFonts w:hint="eastAsia" w:eastAsia="宋体" w:cs="Times New Roman"/>
                <w:b/>
                <w:bCs w:val="0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/>
                <w:bCs w:val="0"/>
                <w:spacing w:val="-7"/>
                <w:sz w:val="24"/>
                <w:szCs w:val="24"/>
                <w:lang w:val="en-US" w:eastAsia="zh-CN"/>
              </w:rPr>
              <w:t>8、</w:t>
            </w:r>
            <w:r>
              <w:rPr>
                <w:rFonts w:hint="eastAsia" w:cs="Times New Roman"/>
                <w:b/>
                <w:bCs w:val="0"/>
                <w:spacing w:val="-7"/>
                <w:sz w:val="24"/>
                <w:szCs w:val="24"/>
                <w:lang w:val="en-US" w:eastAsia="zh-CN"/>
              </w:rPr>
              <w:t>安全升级</w:t>
            </w:r>
          </w:p>
          <w:p w14:paraId="064FC4FF">
            <w:pPr>
              <w:spacing w:line="276" w:lineRule="auto"/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</w:rPr>
              <w:t>安全升级：安全升级必须在原厂规定的升级文件规定时间内完成，并在升级完成后提供原厂升级文件及工作记录。</w:t>
            </w:r>
          </w:p>
          <w:p w14:paraId="05C882EC">
            <w:pPr>
              <w:spacing w:line="276" w:lineRule="auto"/>
              <w:rPr>
                <w:rFonts w:hint="eastAsia" w:eastAsia="宋体" w:cs="Times New Roman"/>
                <w:b/>
                <w:bCs w:val="0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/>
                <w:bCs w:val="0"/>
                <w:spacing w:val="-7"/>
                <w:sz w:val="24"/>
                <w:szCs w:val="24"/>
                <w:lang w:val="en-US" w:eastAsia="zh-CN"/>
              </w:rPr>
              <w:t>9、培训</w:t>
            </w:r>
          </w:p>
          <w:p w14:paraId="3BB7316A">
            <w:pPr>
              <w:spacing w:line="276" w:lineRule="auto"/>
              <w:rPr>
                <w:rFonts w:hint="eastAsia" w:cs="Times New Roman"/>
                <w:bCs/>
                <w:spacing w:val="-7"/>
                <w:sz w:val="24"/>
                <w:szCs w:val="24"/>
              </w:rPr>
            </w:pPr>
            <w:r>
              <w:rPr>
                <w:rFonts w:hint="eastAsia" w:cs="Times New Roman"/>
                <w:bCs/>
                <w:spacing w:val="-7"/>
                <w:sz w:val="24"/>
                <w:szCs w:val="24"/>
              </w:rPr>
              <w:t>每年至少</w:t>
            </w:r>
            <w:r>
              <w:rPr>
                <w:rFonts w:cs="Times New Roman"/>
                <w:bCs/>
                <w:spacing w:val="-7"/>
                <w:sz w:val="24"/>
                <w:szCs w:val="24"/>
              </w:rPr>
              <w:t>为</w:t>
            </w:r>
            <w:r>
              <w:rPr>
                <w:rFonts w:hint="eastAsia" w:cs="Times New Roman"/>
                <w:bCs/>
                <w:spacing w:val="-7"/>
                <w:sz w:val="24"/>
                <w:szCs w:val="24"/>
                <w:lang w:val="en-US" w:eastAsia="zh-CN"/>
              </w:rPr>
              <w:t>采购人</w:t>
            </w:r>
            <w:r>
              <w:rPr>
                <w:rFonts w:cs="Times New Roman"/>
                <w:bCs/>
                <w:spacing w:val="-7"/>
                <w:sz w:val="24"/>
                <w:szCs w:val="24"/>
              </w:rPr>
              <w:t>培训</w:t>
            </w:r>
            <w:r>
              <w:rPr>
                <w:rFonts w:hint="eastAsia" w:cs="Times New Roman"/>
                <w:bCs/>
                <w:spacing w:val="-7"/>
                <w:sz w:val="24"/>
                <w:szCs w:val="24"/>
              </w:rPr>
              <w:t>该机</w:t>
            </w:r>
            <w:r>
              <w:rPr>
                <w:rFonts w:cs="Times New Roman"/>
                <w:bCs/>
                <w:spacing w:val="-7"/>
                <w:sz w:val="24"/>
                <w:szCs w:val="24"/>
              </w:rPr>
              <w:t>设备维修维护人员</w:t>
            </w:r>
            <w:r>
              <w:rPr>
                <w:rFonts w:hint="eastAsia" w:cs="Times New Roman"/>
                <w:bCs/>
                <w:spacing w:val="-7"/>
                <w:sz w:val="24"/>
                <w:szCs w:val="24"/>
              </w:rPr>
              <w:t>2人次；或同等层次</w:t>
            </w:r>
            <w:r>
              <w:rPr>
                <w:rFonts w:cs="Times New Roman"/>
                <w:bCs/>
                <w:spacing w:val="-7"/>
                <w:sz w:val="24"/>
                <w:szCs w:val="24"/>
              </w:rPr>
              <w:t>设备培训维护人员</w:t>
            </w:r>
            <w:r>
              <w:rPr>
                <w:rFonts w:hint="eastAsia" w:cs="Times New Roman"/>
                <w:bCs/>
                <w:spacing w:val="-7"/>
                <w:sz w:val="24"/>
                <w:szCs w:val="24"/>
              </w:rPr>
              <w:t>2人次。</w:t>
            </w:r>
          </w:p>
          <w:p w14:paraId="22E733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cs="Times New Roman"/>
                <w:b/>
                <w:bCs w:val="0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/>
                <w:bCs w:val="0"/>
                <w:spacing w:val="-7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维修钥匙及</w:t>
            </w:r>
            <w:r>
              <w:rPr>
                <w:rFonts w:hint="eastAsia" w:cs="Times New Roman"/>
                <w:b/>
                <w:bCs w:val="0"/>
                <w:spacing w:val="-7"/>
                <w:sz w:val="24"/>
                <w:szCs w:val="24"/>
                <w:lang w:val="en-US" w:eastAsia="zh-CN"/>
              </w:rPr>
              <w:t>远程服务</w:t>
            </w:r>
          </w:p>
          <w:p w14:paraId="238CCBB9">
            <w:pPr>
              <w:spacing w:line="276" w:lineRule="auto"/>
              <w:rPr>
                <w:rFonts w:hint="default" w:eastAsia="宋体" w:cs="Times New Roman"/>
                <w:bCs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Cs/>
                <w:spacing w:val="-7"/>
                <w:sz w:val="24"/>
                <w:szCs w:val="24"/>
                <w:lang w:val="en-US" w:eastAsia="zh-CN"/>
              </w:rPr>
              <w:t>能合法获得在有效期内的原厂高级故障诊断软件的诊断维修钥匙(service key)，并保证不违反国家有关知识产权的法律规定。提供基于设备嵌入式远程连接方案的实时远程服务,在采购人允许的情况下可以接入设备，以保证维修的及时性，且远程服务应满足以下需求:该远程服务可以实现远程不断监控和保护医疗设备，及时发出预警，在出现故障之前，就可对其进行远程维护和处理，以减少设备停机时间，提高设备使用率。</w:t>
            </w:r>
          </w:p>
        </w:tc>
      </w:tr>
    </w:tbl>
    <w:p w14:paraId="369BEA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9740A5"/>
    <w:multiLevelType w:val="singleLevel"/>
    <w:tmpl w:val="D39740A5"/>
    <w:lvl w:ilvl="0" w:tentative="0">
      <w:start w:val="1"/>
      <w:numFmt w:val="decimal"/>
      <w:pStyle w:val="2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kZTI4YTM2M2UzZWFjOTYwYTIwODE0MDRkZjkzZTAifQ=="/>
  </w:docVars>
  <w:rsids>
    <w:rsidRoot w:val="5E7575FE"/>
    <w:rsid w:val="01172F74"/>
    <w:rsid w:val="0EE70FB9"/>
    <w:rsid w:val="22B56D90"/>
    <w:rsid w:val="3A105465"/>
    <w:rsid w:val="3F152B44"/>
    <w:rsid w:val="549C1EC4"/>
    <w:rsid w:val="5E7575FE"/>
    <w:rsid w:val="7DA52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Number"/>
    <w:basedOn w:val="1"/>
    <w:qFormat/>
    <w:uiPriority w:val="0"/>
    <w:pPr>
      <w:numPr>
        <w:ilvl w:val="0"/>
        <w:numId w:val="1"/>
      </w:numPr>
    </w:p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  <w:szCs w:val="20"/>
    </w:rPr>
  </w:style>
  <w:style w:type="paragraph" w:styleId="7">
    <w:name w:val="Plain Text"/>
    <w:basedOn w:val="1"/>
    <w:next w:val="8"/>
    <w:qFormat/>
    <w:uiPriority w:val="0"/>
    <w:rPr>
      <w:rFonts w:ascii="宋体" w:hAnsi="Courier New"/>
      <w:kern w:val="0"/>
      <w:sz w:val="20"/>
      <w:szCs w:val="21"/>
    </w:rPr>
  </w:style>
  <w:style w:type="paragraph" w:styleId="8">
    <w:name w:val="Date"/>
    <w:basedOn w:val="1"/>
    <w:next w:val="1"/>
    <w:qFormat/>
    <w:uiPriority w:val="0"/>
    <w:pPr>
      <w:ind w:left="100" w:leftChars="2500"/>
    </w:pPr>
    <w:rPr>
      <w:rFonts w:ascii="宋体" w:hAnsi="Courier New"/>
      <w:kern w:val="0"/>
      <w:sz w:val="20"/>
      <w:szCs w:val="21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0">
    <w:name w:val="Body Text First Indent"/>
    <w:basedOn w:val="3"/>
    <w:next w:val="11"/>
    <w:qFormat/>
    <w:uiPriority w:val="0"/>
    <w:pPr>
      <w:ind w:firstLine="420" w:firstLineChars="100"/>
    </w:pPr>
    <w:rPr>
      <w:szCs w:val="24"/>
    </w:rPr>
  </w:style>
  <w:style w:type="paragraph" w:styleId="11">
    <w:name w:val="Body Text First Indent 2"/>
    <w:basedOn w:val="4"/>
    <w:unhideWhenUsed/>
    <w:qFormat/>
    <w:uiPriority w:val="99"/>
    <w:pPr>
      <w:ind w:firstLine="420" w:firstLineChars="200"/>
    </w:pPr>
  </w:style>
  <w:style w:type="table" w:styleId="13">
    <w:name w:val="Table Grid"/>
    <w:basedOn w:val="1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font11"/>
    <w:basedOn w:val="1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2041</Words>
  <Characters>2116</Characters>
  <Lines>0</Lines>
  <Paragraphs>0</Paragraphs>
  <TotalTime>6</TotalTime>
  <ScaleCrop>false</ScaleCrop>
  <LinksUpToDate>false</LinksUpToDate>
  <CharactersWithSpaces>2136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2025-03-30T00:28:00Z</dcterms:created>
  <dc:creator>王民军</dc:creator>
  <cp:lastModifiedBy>李燕妮</cp:lastModifiedBy>
  <dcterms:modified xsi:type="dcterms:W3CDTF">2025-10-23T11:14:11Z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CE178C9419174CF28365C8C4B243C9BC_13</vt:lpwstr>
  </property>
  <property fmtid="{D5CDD505-2E9C-101B-9397-08002B2CF9AE}" pid="4" name="KSOTemplateDocerSaveRecord">
    <vt:lpwstr>eyJoZGlkIjoiYjdlYjUwMDM5MDYwOTNmOTk2MWZkOTNhYzAyNDc4OTMiLCJ1c2VySWQiOiI2MDkyMzMyMTkifQ==</vt:lpwstr>
  </property>
</Properties>
</file>