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E70BF">
      <w:pPr>
        <w:pStyle w:val="8"/>
        <w:spacing w:line="440" w:lineRule="exact"/>
        <w:jc w:val="center"/>
        <w:rPr>
          <w:rFonts w:ascii="Arial" w:hAnsi="Arial" w:eastAsia="楷体_GB2312" w:cs="Arial"/>
          <w:b/>
          <w:bCs/>
          <w:color w:val="auto"/>
          <w:sz w:val="56"/>
          <w:szCs w:val="72"/>
          <w:highlight w:val="none"/>
        </w:rPr>
      </w:pPr>
    </w:p>
    <w:p w14:paraId="2F280A95">
      <w:pPr>
        <w:pStyle w:val="8"/>
        <w:spacing w:line="440" w:lineRule="exact"/>
        <w:jc w:val="center"/>
        <w:rPr>
          <w:rFonts w:ascii="Arial" w:hAnsi="Arial" w:eastAsia="楷体_GB2312" w:cs="Arial"/>
          <w:b/>
          <w:bCs/>
          <w:color w:val="auto"/>
          <w:sz w:val="56"/>
          <w:szCs w:val="72"/>
          <w:highlight w:val="none"/>
        </w:rPr>
      </w:pPr>
    </w:p>
    <w:p w14:paraId="2E2ABCA3">
      <w:pPr>
        <w:pStyle w:val="8"/>
        <w:spacing w:line="600" w:lineRule="exact"/>
        <w:jc w:val="center"/>
        <w:rPr>
          <w:rFonts w:ascii="Arial" w:hAnsi="Arial" w:eastAsia="楷体_GB2312" w:cs="Arial"/>
          <w:b/>
          <w:bCs/>
          <w:color w:val="auto"/>
          <w:sz w:val="56"/>
          <w:szCs w:val="72"/>
          <w:highlight w:val="none"/>
        </w:rPr>
      </w:pPr>
    </w:p>
    <w:p w14:paraId="38939022">
      <w:pPr>
        <w:pStyle w:val="8"/>
        <w:spacing w:line="600" w:lineRule="exact"/>
        <w:jc w:val="center"/>
        <w:rPr>
          <w:rFonts w:ascii="Arial" w:hAnsi="Arial" w:eastAsia="楷体_GB2312" w:cs="Arial"/>
          <w:b/>
          <w:bCs/>
          <w:color w:val="auto"/>
          <w:sz w:val="56"/>
          <w:szCs w:val="72"/>
          <w:highlight w:val="none"/>
        </w:rPr>
      </w:pPr>
    </w:p>
    <w:p w14:paraId="100D36CE">
      <w:pPr>
        <w:pStyle w:val="8"/>
        <w:spacing w:line="600" w:lineRule="exact"/>
        <w:jc w:val="center"/>
        <w:rPr>
          <w:rFonts w:ascii="Arial" w:hAnsi="Arial" w:eastAsia="楷体_GB2312" w:cs="Arial"/>
          <w:b/>
          <w:bCs/>
          <w:color w:val="auto"/>
          <w:sz w:val="56"/>
          <w:szCs w:val="72"/>
          <w:highlight w:val="none"/>
        </w:rPr>
      </w:pPr>
    </w:p>
    <w:p w14:paraId="65FC3721">
      <w:pPr>
        <w:pStyle w:val="8"/>
        <w:spacing w:line="600" w:lineRule="exact"/>
        <w:jc w:val="center"/>
        <w:rPr>
          <w:rFonts w:ascii="Arial" w:hAnsi="Arial" w:eastAsia="楷体_GB2312" w:cs="Arial"/>
          <w:b/>
          <w:bCs/>
          <w:color w:val="auto"/>
          <w:sz w:val="56"/>
          <w:szCs w:val="72"/>
          <w:highlight w:val="none"/>
        </w:rPr>
      </w:pPr>
    </w:p>
    <w:p w14:paraId="17DBD2F8">
      <w:pPr>
        <w:pStyle w:val="8"/>
        <w:spacing w:line="480" w:lineRule="exact"/>
        <w:jc w:val="center"/>
        <w:rPr>
          <w:rFonts w:hint="eastAsia" w:hAnsi="宋体" w:cs="宋体"/>
          <w:b/>
          <w:bCs/>
          <w:color w:val="auto"/>
          <w:sz w:val="48"/>
          <w:szCs w:val="48"/>
          <w:highlight w:val="none"/>
        </w:rPr>
      </w:pPr>
      <w:r>
        <w:rPr>
          <w:rFonts w:hint="eastAsia" w:hAnsi="宋体" w:cs="宋体"/>
          <w:b/>
          <w:bCs/>
          <w:color w:val="auto"/>
          <w:sz w:val="48"/>
          <w:szCs w:val="48"/>
          <w:highlight w:val="none"/>
        </w:rPr>
        <w:t>桂林市人民医院投诉纠纷管理系统</w:t>
      </w:r>
    </w:p>
    <w:p w14:paraId="67392FBC">
      <w:pPr>
        <w:pStyle w:val="8"/>
        <w:spacing w:line="480" w:lineRule="exact"/>
        <w:jc w:val="center"/>
        <w:rPr>
          <w:rFonts w:hint="eastAsia" w:hAnsi="宋体" w:cs="宋体"/>
          <w:b/>
          <w:bCs/>
          <w:color w:val="auto"/>
          <w:sz w:val="48"/>
          <w:szCs w:val="48"/>
          <w:highlight w:val="none"/>
        </w:rPr>
      </w:pPr>
    </w:p>
    <w:p w14:paraId="17E92F9E">
      <w:pPr>
        <w:pStyle w:val="8"/>
        <w:spacing w:line="480" w:lineRule="exact"/>
        <w:rPr>
          <w:rFonts w:hint="eastAsia" w:hAnsi="宋体" w:cs="宋体"/>
          <w:b/>
          <w:bCs/>
          <w:color w:val="auto"/>
          <w:sz w:val="48"/>
          <w:szCs w:val="48"/>
          <w:highlight w:val="none"/>
        </w:rPr>
      </w:pPr>
    </w:p>
    <w:p w14:paraId="67D47E96">
      <w:pPr>
        <w:pStyle w:val="8"/>
        <w:spacing w:line="480" w:lineRule="exact"/>
        <w:jc w:val="center"/>
        <w:rPr>
          <w:rFonts w:hint="eastAsia" w:hAnsi="宋体" w:cs="宋体"/>
          <w:b/>
          <w:bCs/>
          <w:color w:val="auto"/>
          <w:sz w:val="48"/>
          <w:szCs w:val="48"/>
          <w:highlight w:val="none"/>
        </w:rPr>
      </w:pPr>
    </w:p>
    <w:p w14:paraId="5E09378D">
      <w:pPr>
        <w:pStyle w:val="8"/>
        <w:spacing w:line="480" w:lineRule="exact"/>
        <w:jc w:val="center"/>
        <w:rPr>
          <w:rFonts w:hint="eastAsia" w:hAnsi="宋体" w:eastAsia="宋体" w:cs="宋体"/>
          <w:b/>
          <w:bCs/>
          <w:color w:val="auto"/>
          <w:sz w:val="48"/>
          <w:szCs w:val="48"/>
          <w:highlight w:val="none"/>
          <w:lang w:eastAsia="zh-CN"/>
        </w:rPr>
      </w:pPr>
      <w:r>
        <w:rPr>
          <w:rFonts w:hint="eastAsia" w:hAnsi="宋体" w:cs="宋体"/>
          <w:b/>
          <w:bCs/>
          <w:color w:val="auto"/>
          <w:sz w:val="48"/>
          <w:szCs w:val="48"/>
          <w:highlight w:val="none"/>
          <w:lang w:eastAsia="zh-CN"/>
        </w:rPr>
        <w:t>议价文件</w:t>
      </w:r>
    </w:p>
    <w:p w14:paraId="22A50E1E">
      <w:pPr>
        <w:pStyle w:val="8"/>
        <w:spacing w:line="440" w:lineRule="exact"/>
        <w:jc w:val="center"/>
        <w:rPr>
          <w:rFonts w:ascii="Arial" w:hAnsi="Arial" w:eastAsia="楷体_GB2312" w:cs="Arial"/>
          <w:b/>
          <w:bCs/>
          <w:color w:val="auto"/>
          <w:sz w:val="24"/>
          <w:szCs w:val="24"/>
          <w:highlight w:val="none"/>
        </w:rPr>
      </w:pPr>
    </w:p>
    <w:p w14:paraId="311B4BF9">
      <w:pPr>
        <w:pStyle w:val="8"/>
        <w:spacing w:line="440" w:lineRule="exact"/>
        <w:ind w:firstLine="2695"/>
        <w:rPr>
          <w:rFonts w:ascii="Arial" w:hAnsi="Arial" w:cs="Arial"/>
          <w:color w:val="auto"/>
          <w:sz w:val="24"/>
          <w:szCs w:val="24"/>
          <w:highlight w:val="none"/>
        </w:rPr>
      </w:pPr>
    </w:p>
    <w:p w14:paraId="7F3E5656">
      <w:pPr>
        <w:pStyle w:val="8"/>
        <w:spacing w:line="440" w:lineRule="exact"/>
        <w:ind w:firstLine="2695"/>
        <w:rPr>
          <w:rFonts w:ascii="Arial" w:hAnsi="Arial" w:cs="Arial"/>
          <w:color w:val="auto"/>
          <w:sz w:val="28"/>
          <w:highlight w:val="none"/>
        </w:rPr>
      </w:pPr>
      <w:r>
        <w:rPr>
          <w:rFonts w:ascii="Arial" w:hAnsi="Arial" w:cs="Arial"/>
          <w:color w:val="auto"/>
          <w:sz w:val="28"/>
          <w:highlight w:val="none"/>
        </w:rPr>
        <w:cr/>
      </w:r>
    </w:p>
    <w:p w14:paraId="15831B01">
      <w:pPr>
        <w:pStyle w:val="8"/>
        <w:spacing w:line="440" w:lineRule="exact"/>
        <w:ind w:firstLine="2695"/>
        <w:rPr>
          <w:rFonts w:ascii="Arial" w:hAnsi="Arial" w:cs="Arial"/>
          <w:color w:val="auto"/>
          <w:sz w:val="28"/>
          <w:highlight w:val="none"/>
        </w:rPr>
      </w:pPr>
    </w:p>
    <w:p w14:paraId="61AFAF48">
      <w:pPr>
        <w:pStyle w:val="8"/>
        <w:spacing w:line="440" w:lineRule="exact"/>
        <w:ind w:firstLine="2695"/>
        <w:rPr>
          <w:rFonts w:ascii="Arial" w:hAnsi="Arial" w:cs="Arial"/>
          <w:color w:val="auto"/>
          <w:sz w:val="28"/>
          <w:highlight w:val="none"/>
        </w:rPr>
      </w:pPr>
    </w:p>
    <w:p w14:paraId="2BE446A8">
      <w:pPr>
        <w:pStyle w:val="8"/>
        <w:spacing w:line="440" w:lineRule="exact"/>
        <w:ind w:firstLine="2695"/>
        <w:rPr>
          <w:rFonts w:ascii="Arial" w:hAnsi="Arial" w:cs="Arial"/>
          <w:color w:val="auto"/>
          <w:sz w:val="28"/>
          <w:highlight w:val="none"/>
        </w:rPr>
      </w:pPr>
    </w:p>
    <w:p w14:paraId="6F776B47">
      <w:pPr>
        <w:pStyle w:val="8"/>
        <w:spacing w:line="440" w:lineRule="exact"/>
        <w:ind w:firstLine="2695"/>
        <w:rPr>
          <w:rFonts w:ascii="Arial" w:hAnsi="Arial" w:cs="Arial"/>
          <w:color w:val="auto"/>
          <w:sz w:val="28"/>
          <w:highlight w:val="none"/>
        </w:rPr>
      </w:pPr>
    </w:p>
    <w:p w14:paraId="535B713D">
      <w:pPr>
        <w:pStyle w:val="8"/>
        <w:spacing w:line="440" w:lineRule="exact"/>
        <w:rPr>
          <w:rFonts w:ascii="Arial" w:hAnsi="Arial" w:cs="Arial"/>
          <w:color w:val="auto"/>
          <w:sz w:val="28"/>
          <w:highlight w:val="none"/>
        </w:rPr>
      </w:pPr>
    </w:p>
    <w:p w14:paraId="7614011B">
      <w:pPr>
        <w:pStyle w:val="8"/>
        <w:spacing w:line="440" w:lineRule="exact"/>
        <w:rPr>
          <w:rFonts w:ascii="Arial" w:hAnsi="Arial" w:cs="Arial"/>
          <w:color w:val="auto"/>
          <w:sz w:val="28"/>
          <w:highlight w:val="none"/>
        </w:rPr>
      </w:pPr>
    </w:p>
    <w:p w14:paraId="787B61BD">
      <w:pPr>
        <w:pStyle w:val="8"/>
        <w:spacing w:line="440" w:lineRule="exact"/>
        <w:rPr>
          <w:rFonts w:ascii="Arial" w:hAnsi="Arial" w:cs="Arial"/>
          <w:color w:val="auto"/>
          <w:sz w:val="28"/>
          <w:highlight w:val="none"/>
        </w:rPr>
      </w:pPr>
    </w:p>
    <w:p w14:paraId="30619675">
      <w:pPr>
        <w:pStyle w:val="8"/>
        <w:spacing w:line="440" w:lineRule="exact"/>
        <w:jc w:val="center"/>
        <w:rPr>
          <w:rFonts w:hint="eastAsia" w:hAnsi="宋体" w:cs="宋体"/>
          <w:b/>
          <w:bCs/>
          <w:color w:val="auto"/>
          <w:sz w:val="36"/>
          <w:szCs w:val="36"/>
          <w:highlight w:val="none"/>
        </w:rPr>
      </w:pPr>
      <w:r>
        <w:rPr>
          <w:rFonts w:hint="eastAsia" w:hAnsi="宋体" w:cs="宋体"/>
          <w:b/>
          <w:bCs/>
          <w:color w:val="auto"/>
          <w:sz w:val="36"/>
          <w:szCs w:val="36"/>
          <w:highlight w:val="none"/>
        </w:rPr>
        <w:t>2025年</w:t>
      </w:r>
      <w:r>
        <w:rPr>
          <w:rFonts w:hint="eastAsia" w:hAnsi="宋体" w:cs="宋体"/>
          <w:b/>
          <w:bCs/>
          <w:color w:val="auto"/>
          <w:sz w:val="36"/>
          <w:szCs w:val="36"/>
          <w:highlight w:val="none"/>
          <w:lang w:val="en-US" w:eastAsia="zh-CN"/>
        </w:rPr>
        <w:t>2</w:t>
      </w:r>
      <w:r>
        <w:rPr>
          <w:rFonts w:hint="eastAsia" w:hAnsi="宋体" w:cs="宋体"/>
          <w:b/>
          <w:bCs/>
          <w:color w:val="auto"/>
          <w:sz w:val="36"/>
          <w:szCs w:val="36"/>
          <w:highlight w:val="none"/>
        </w:rPr>
        <w:t>月</w:t>
      </w:r>
      <w:r>
        <w:rPr>
          <w:rFonts w:hint="eastAsia" w:hAnsi="宋体" w:cs="宋体"/>
          <w:b/>
          <w:bCs/>
          <w:color w:val="auto"/>
          <w:sz w:val="36"/>
          <w:szCs w:val="36"/>
          <w:highlight w:val="none"/>
          <w:lang w:val="en-US" w:eastAsia="zh-CN"/>
        </w:rPr>
        <w:t>21</w:t>
      </w:r>
      <w:r>
        <w:rPr>
          <w:rFonts w:hint="eastAsia" w:hAnsi="宋体" w:cs="宋体"/>
          <w:b/>
          <w:bCs/>
          <w:color w:val="auto"/>
          <w:sz w:val="36"/>
          <w:szCs w:val="36"/>
          <w:highlight w:val="none"/>
        </w:rPr>
        <w:t>日</w:t>
      </w:r>
    </w:p>
    <w:p w14:paraId="2AD5D7A7">
      <w:pPr>
        <w:pStyle w:val="8"/>
        <w:spacing w:line="440" w:lineRule="exact"/>
        <w:jc w:val="center"/>
        <w:rPr>
          <w:rFonts w:hint="eastAsia" w:hAnsi="宋体" w:cs="宋体"/>
          <w:b/>
          <w:bCs/>
          <w:color w:val="auto"/>
          <w:sz w:val="36"/>
          <w:szCs w:val="36"/>
          <w:highlight w:val="none"/>
        </w:rPr>
      </w:pPr>
    </w:p>
    <w:p w14:paraId="68BEF0A4">
      <w:pPr>
        <w:pStyle w:val="8"/>
        <w:spacing w:line="440" w:lineRule="exact"/>
        <w:jc w:val="center"/>
        <w:rPr>
          <w:rFonts w:hint="eastAsia" w:hAnsi="宋体" w:cs="宋体"/>
          <w:b/>
          <w:bCs/>
          <w:color w:val="auto"/>
          <w:sz w:val="36"/>
          <w:szCs w:val="36"/>
          <w:highlight w:val="none"/>
        </w:rPr>
      </w:pPr>
    </w:p>
    <w:p w14:paraId="0022AEA8">
      <w:pPr>
        <w:pStyle w:val="8"/>
        <w:spacing w:line="440" w:lineRule="exact"/>
        <w:jc w:val="center"/>
        <w:rPr>
          <w:rFonts w:hint="eastAsia" w:hAnsi="宋体" w:cs="宋体"/>
          <w:b/>
          <w:bCs/>
          <w:color w:val="auto"/>
          <w:sz w:val="36"/>
          <w:szCs w:val="36"/>
          <w:highlight w:val="none"/>
        </w:rPr>
      </w:pPr>
    </w:p>
    <w:p w14:paraId="4D9305CC">
      <w:pPr>
        <w:pStyle w:val="8"/>
        <w:spacing w:line="440" w:lineRule="exact"/>
        <w:jc w:val="center"/>
        <w:rPr>
          <w:rFonts w:hint="eastAsia" w:hAnsi="宋体" w:cs="宋体"/>
          <w:b/>
          <w:bCs/>
          <w:color w:val="auto"/>
          <w:sz w:val="36"/>
          <w:szCs w:val="36"/>
          <w:highlight w:val="none"/>
        </w:rPr>
      </w:pPr>
    </w:p>
    <w:p w14:paraId="1C5247BE">
      <w:pPr>
        <w:pStyle w:val="8"/>
        <w:spacing w:line="440" w:lineRule="exact"/>
        <w:jc w:val="center"/>
        <w:rPr>
          <w:rFonts w:hint="eastAsia" w:hAnsi="宋体" w:cs="宋体"/>
          <w:b/>
          <w:bCs/>
          <w:color w:val="auto"/>
          <w:sz w:val="36"/>
          <w:szCs w:val="36"/>
          <w:highlight w:val="none"/>
        </w:rPr>
      </w:pPr>
    </w:p>
    <w:p w14:paraId="1B9703B7">
      <w:pPr>
        <w:pStyle w:val="8"/>
        <w:spacing w:line="440" w:lineRule="exact"/>
        <w:jc w:val="center"/>
        <w:rPr>
          <w:rFonts w:hint="eastAsia" w:hAnsi="宋体" w:cs="宋体"/>
          <w:b/>
          <w:bCs/>
          <w:color w:val="auto"/>
          <w:sz w:val="36"/>
          <w:szCs w:val="36"/>
          <w:highlight w:val="none"/>
        </w:rPr>
      </w:pPr>
    </w:p>
    <w:p w14:paraId="0B764618">
      <w:pPr>
        <w:pStyle w:val="8"/>
        <w:spacing w:line="440" w:lineRule="exact"/>
        <w:jc w:val="center"/>
        <w:rPr>
          <w:rFonts w:hint="eastAsia" w:hAnsi="宋体" w:cs="宋体"/>
          <w:b/>
          <w:bCs/>
          <w:color w:val="auto"/>
          <w:sz w:val="36"/>
          <w:szCs w:val="36"/>
          <w:highlight w:val="none"/>
        </w:rPr>
      </w:pPr>
    </w:p>
    <w:p w14:paraId="536BCC8D">
      <w:pPr>
        <w:pStyle w:val="8"/>
        <w:spacing w:line="440" w:lineRule="exact"/>
        <w:jc w:val="center"/>
        <w:rPr>
          <w:rFonts w:hint="eastAsia" w:hAnsi="宋体" w:cs="宋体"/>
          <w:b/>
          <w:bCs/>
          <w:color w:val="auto"/>
          <w:sz w:val="36"/>
          <w:szCs w:val="36"/>
          <w:highlight w:val="none"/>
        </w:rPr>
      </w:pPr>
    </w:p>
    <w:p w14:paraId="69932226">
      <w:pPr>
        <w:pStyle w:val="25"/>
        <w:spacing w:before="0" w:line="440" w:lineRule="exact"/>
        <w:ind w:left="0"/>
        <w:jc w:val="center"/>
        <w:rPr>
          <w:rFonts w:hint="eastAsia" w:ascii="Arial" w:hAnsi="宋体" w:eastAsia="宋体" w:cs="Arial"/>
          <w:b/>
          <w:bCs/>
          <w:color w:val="auto"/>
          <w:sz w:val="44"/>
          <w:szCs w:val="44"/>
          <w:highlight w:val="none"/>
          <w:lang w:val="zh-CN"/>
        </w:rPr>
      </w:pPr>
      <w:r>
        <w:rPr>
          <w:rFonts w:ascii="Arial" w:hAnsi="宋体" w:eastAsia="宋体" w:cs="Arial"/>
          <w:b/>
          <w:bCs/>
          <w:color w:val="auto"/>
          <w:sz w:val="44"/>
          <w:szCs w:val="44"/>
          <w:highlight w:val="none"/>
          <w:lang w:val="zh-CN"/>
        </w:rPr>
        <w:t>目</w:t>
      </w:r>
      <w:r>
        <w:rPr>
          <w:rFonts w:hint="eastAsia" w:ascii="Arial" w:hAnsi="宋体" w:eastAsia="宋体" w:cs="Arial"/>
          <w:b/>
          <w:bCs/>
          <w:color w:val="auto"/>
          <w:sz w:val="44"/>
          <w:szCs w:val="44"/>
          <w:highlight w:val="none"/>
          <w:lang w:val="zh-CN"/>
        </w:rPr>
        <w:t xml:space="preserve"> </w:t>
      </w:r>
      <w:r>
        <w:rPr>
          <w:rFonts w:hint="eastAsia" w:ascii="Arial" w:hAnsi="宋体" w:eastAsia="宋体" w:cs="Arial"/>
          <w:b/>
          <w:bCs/>
          <w:color w:val="auto"/>
          <w:sz w:val="44"/>
          <w:szCs w:val="44"/>
          <w:highlight w:val="none"/>
        </w:rPr>
        <w:t xml:space="preserve">  </w:t>
      </w:r>
      <w:r>
        <w:rPr>
          <w:rFonts w:ascii="Arial" w:hAnsi="宋体" w:eastAsia="宋体" w:cs="Arial"/>
          <w:b/>
          <w:bCs/>
          <w:color w:val="auto"/>
          <w:sz w:val="44"/>
          <w:szCs w:val="44"/>
          <w:highlight w:val="none"/>
          <w:lang w:val="zh-CN"/>
        </w:rPr>
        <w:t>录</w:t>
      </w:r>
    </w:p>
    <w:p w14:paraId="4C91FF58">
      <w:pPr>
        <w:spacing w:line="440" w:lineRule="exact"/>
        <w:rPr>
          <w:color w:val="auto"/>
          <w:highlight w:val="none"/>
        </w:rPr>
      </w:pPr>
    </w:p>
    <w:p w14:paraId="17FDB042">
      <w:pPr>
        <w:pStyle w:val="7"/>
        <w:tabs>
          <w:tab w:val="right" w:leader="dot" w:pos="9628"/>
        </w:tabs>
        <w:spacing w:line="540" w:lineRule="exact"/>
        <w:ind w:left="0" w:leftChars="0"/>
        <w:rPr>
          <w:rFonts w:ascii="Arial" w:hAnsi="Arial" w:cs="Arial"/>
          <w:color w:val="auto"/>
          <w:sz w:val="24"/>
          <w:highlight w:val="none"/>
        </w:rPr>
      </w:pPr>
      <w:r>
        <w:rPr>
          <w:rFonts w:ascii="Arial" w:hAnsi="Arial" w:cs="Arial"/>
          <w:color w:val="auto"/>
          <w:highlight w:val="none"/>
        </w:rPr>
        <w:fldChar w:fldCharType="begin"/>
      </w:r>
      <w:r>
        <w:rPr>
          <w:rFonts w:ascii="Arial" w:hAnsi="Arial" w:cs="Arial"/>
          <w:color w:val="auto"/>
          <w:highlight w:val="none"/>
        </w:rPr>
        <w:instrText xml:space="preserve"> TOC \o "1-3" \h \z \u </w:instrText>
      </w:r>
      <w:r>
        <w:rPr>
          <w:rFonts w:ascii="Arial" w:hAnsi="Arial" w:cs="Arial"/>
          <w:color w:val="auto"/>
          <w:highlight w:val="none"/>
        </w:rPr>
        <w:fldChar w:fldCharType="separate"/>
      </w:r>
      <w:r>
        <w:rPr>
          <w:color w:val="auto"/>
          <w:highlight w:val="none"/>
        </w:rPr>
        <w:fldChar w:fldCharType="begin"/>
      </w:r>
      <w:r>
        <w:rPr>
          <w:color w:val="auto"/>
          <w:highlight w:val="none"/>
        </w:rPr>
        <w:instrText xml:space="preserve"> HYPERLINK \l "_Toc33820534" </w:instrText>
      </w:r>
      <w:r>
        <w:rPr>
          <w:color w:val="auto"/>
          <w:highlight w:val="none"/>
        </w:rPr>
        <w:fldChar w:fldCharType="separate"/>
      </w:r>
      <w:r>
        <w:rPr>
          <w:rStyle w:val="19"/>
          <w:rFonts w:ascii="Arial" w:cs="Arial"/>
          <w:color w:val="auto"/>
          <w:sz w:val="24"/>
          <w:highlight w:val="none"/>
        </w:rPr>
        <w:t>第一章</w:t>
      </w:r>
      <w:r>
        <w:rPr>
          <w:rStyle w:val="19"/>
          <w:rFonts w:ascii="Arial" w:hAnsi="Arial" w:cs="Arial"/>
          <w:color w:val="auto"/>
          <w:sz w:val="24"/>
          <w:highlight w:val="none"/>
        </w:rPr>
        <w:t xml:space="preserve">  </w:t>
      </w:r>
      <w:r>
        <w:rPr>
          <w:rStyle w:val="19"/>
          <w:rFonts w:hint="eastAsia" w:ascii="Arial" w:cs="Arial"/>
          <w:color w:val="auto"/>
          <w:sz w:val="24"/>
          <w:highlight w:val="none"/>
          <w:lang w:val="en-US" w:eastAsia="zh-CN"/>
        </w:rPr>
        <w:t>议价</w:t>
      </w:r>
      <w:r>
        <w:rPr>
          <w:rStyle w:val="19"/>
          <w:rFonts w:ascii="Arial" w:cs="Arial"/>
          <w:color w:val="auto"/>
          <w:sz w:val="24"/>
          <w:highlight w:val="none"/>
        </w:rPr>
        <w:t>公告</w:t>
      </w:r>
      <w:r>
        <w:rPr>
          <w:rFonts w:ascii="Arial" w:hAnsi="Arial" w:cs="Arial"/>
          <w:color w:val="auto"/>
          <w:sz w:val="24"/>
          <w:highlight w:val="none"/>
        </w:rPr>
        <w:tab/>
      </w:r>
      <w:r>
        <w:rPr>
          <w:rFonts w:hint="eastAsia" w:ascii="Arial" w:hAnsi="Arial" w:cs="Arial"/>
          <w:color w:val="auto"/>
          <w:sz w:val="24"/>
          <w:highlight w:val="none"/>
        </w:rPr>
        <w:t>3</w:t>
      </w:r>
      <w:r>
        <w:rPr>
          <w:rFonts w:hint="eastAsia" w:ascii="Arial" w:hAnsi="Arial" w:cs="Arial"/>
          <w:color w:val="auto"/>
          <w:sz w:val="24"/>
          <w:highlight w:val="none"/>
        </w:rPr>
        <w:fldChar w:fldCharType="end"/>
      </w:r>
    </w:p>
    <w:p w14:paraId="7A5F8CEB">
      <w:pPr>
        <w:pStyle w:val="7"/>
        <w:tabs>
          <w:tab w:val="right" w:leader="dot" w:pos="9628"/>
        </w:tabs>
        <w:spacing w:line="540" w:lineRule="exact"/>
        <w:ind w:left="0" w:leftChars="0"/>
        <w:rPr>
          <w:rFonts w:ascii="Arial" w:hAnsi="Arial" w:cs="Arial"/>
          <w:color w:val="auto"/>
          <w:sz w:val="24"/>
          <w:highlight w:val="none"/>
        </w:rPr>
      </w:pPr>
      <w:r>
        <w:rPr>
          <w:color w:val="auto"/>
          <w:highlight w:val="none"/>
        </w:rPr>
        <w:fldChar w:fldCharType="begin"/>
      </w:r>
      <w:r>
        <w:rPr>
          <w:color w:val="auto"/>
          <w:highlight w:val="none"/>
        </w:rPr>
        <w:instrText xml:space="preserve"> HYPERLINK \l "_Toc33820536" </w:instrText>
      </w:r>
      <w:r>
        <w:rPr>
          <w:color w:val="auto"/>
          <w:highlight w:val="none"/>
        </w:rPr>
        <w:fldChar w:fldCharType="separate"/>
      </w:r>
      <w:r>
        <w:rPr>
          <w:rStyle w:val="19"/>
          <w:rFonts w:ascii="Arial" w:cs="Arial"/>
          <w:color w:val="auto"/>
          <w:sz w:val="24"/>
          <w:highlight w:val="none"/>
        </w:rPr>
        <w:t>第</w:t>
      </w:r>
      <w:r>
        <w:rPr>
          <w:rStyle w:val="19"/>
          <w:rFonts w:hint="eastAsia" w:ascii="Arial" w:cs="Arial"/>
          <w:color w:val="auto"/>
          <w:sz w:val="24"/>
          <w:highlight w:val="none"/>
        </w:rPr>
        <w:t>二</w:t>
      </w:r>
      <w:r>
        <w:rPr>
          <w:rStyle w:val="19"/>
          <w:rFonts w:ascii="Arial" w:cs="Arial"/>
          <w:color w:val="auto"/>
          <w:sz w:val="24"/>
          <w:highlight w:val="none"/>
        </w:rPr>
        <w:t>章</w:t>
      </w:r>
      <w:r>
        <w:rPr>
          <w:rStyle w:val="19"/>
          <w:rFonts w:ascii="Arial" w:hAnsi="Arial" w:cs="Arial"/>
          <w:color w:val="auto"/>
          <w:sz w:val="24"/>
          <w:highlight w:val="none"/>
        </w:rPr>
        <w:t xml:space="preserve">  </w:t>
      </w:r>
      <w:r>
        <w:rPr>
          <w:rStyle w:val="19"/>
          <w:rFonts w:ascii="Arial" w:cs="Arial"/>
          <w:color w:val="auto"/>
          <w:sz w:val="24"/>
          <w:highlight w:val="none"/>
        </w:rPr>
        <w:t>项目需求和说明</w:t>
      </w:r>
      <w:r>
        <w:rPr>
          <w:rFonts w:ascii="Arial" w:hAnsi="Arial" w:cs="Arial"/>
          <w:color w:val="auto"/>
          <w:sz w:val="24"/>
          <w:highlight w:val="none"/>
        </w:rPr>
        <w:tab/>
      </w:r>
      <w:r>
        <w:rPr>
          <w:rFonts w:hint="eastAsia" w:ascii="Arial" w:hAnsi="Arial" w:cs="Arial"/>
          <w:color w:val="auto"/>
          <w:sz w:val="24"/>
          <w:highlight w:val="none"/>
          <w:lang w:val="en-US" w:eastAsia="zh-CN"/>
        </w:rPr>
        <w:t>5</w:t>
      </w:r>
      <w:r>
        <w:rPr>
          <w:rFonts w:hint="eastAsia" w:ascii="Arial" w:hAnsi="Arial" w:cs="Arial"/>
          <w:color w:val="auto"/>
          <w:sz w:val="24"/>
          <w:highlight w:val="none"/>
        </w:rPr>
        <w:fldChar w:fldCharType="end"/>
      </w:r>
    </w:p>
    <w:p w14:paraId="3EAE155F">
      <w:pPr>
        <w:pStyle w:val="7"/>
        <w:tabs>
          <w:tab w:val="right" w:leader="dot" w:pos="9628"/>
        </w:tabs>
        <w:spacing w:line="540" w:lineRule="exact"/>
        <w:ind w:left="0" w:leftChars="0"/>
        <w:rPr>
          <w:rFonts w:hint="eastAsia" w:ascii="Arial" w:hAnsi="Arial" w:eastAsia="宋体" w:cs="Arial"/>
          <w:color w:val="auto"/>
          <w:sz w:val="24"/>
          <w:highlight w:val="none"/>
          <w:lang w:eastAsia="zh-CN"/>
        </w:rPr>
      </w:pPr>
      <w:r>
        <w:rPr>
          <w:color w:val="auto"/>
          <w:highlight w:val="none"/>
        </w:rPr>
        <w:fldChar w:fldCharType="begin"/>
      </w:r>
      <w:r>
        <w:rPr>
          <w:color w:val="auto"/>
          <w:highlight w:val="none"/>
        </w:rPr>
        <w:instrText xml:space="preserve"> HYPERLINK \l "_Toc33820539" </w:instrText>
      </w:r>
      <w:r>
        <w:rPr>
          <w:color w:val="auto"/>
          <w:highlight w:val="none"/>
        </w:rPr>
        <w:fldChar w:fldCharType="separate"/>
      </w:r>
      <w:r>
        <w:rPr>
          <w:rFonts w:ascii="Arial" w:hAnsi="Arial" w:cs="Arial"/>
          <w:color w:val="auto"/>
          <w:sz w:val="24"/>
          <w:highlight w:val="none"/>
        </w:rPr>
        <w:t>第</w:t>
      </w:r>
      <w:r>
        <w:rPr>
          <w:rFonts w:hint="eastAsia" w:ascii="Arial" w:hAnsi="Arial" w:cs="Arial"/>
          <w:color w:val="auto"/>
          <w:sz w:val="24"/>
          <w:highlight w:val="none"/>
        </w:rPr>
        <w:t>三</w:t>
      </w:r>
      <w:r>
        <w:rPr>
          <w:rFonts w:ascii="Arial" w:hAnsi="Arial" w:cs="Arial"/>
          <w:color w:val="auto"/>
          <w:sz w:val="24"/>
          <w:highlight w:val="none"/>
        </w:rPr>
        <w:t>章  评</w:t>
      </w:r>
      <w:r>
        <w:rPr>
          <w:rFonts w:hint="eastAsia" w:ascii="Arial" w:hAnsi="Arial" w:cs="Arial"/>
          <w:color w:val="auto"/>
          <w:sz w:val="24"/>
          <w:highlight w:val="none"/>
        </w:rPr>
        <w:t>分</w:t>
      </w:r>
      <w:r>
        <w:rPr>
          <w:rFonts w:ascii="Arial" w:hAnsi="Arial" w:cs="Arial"/>
          <w:color w:val="auto"/>
          <w:sz w:val="24"/>
          <w:highlight w:val="none"/>
        </w:rPr>
        <w:t>标准</w:t>
      </w:r>
      <w:r>
        <w:rPr>
          <w:rFonts w:ascii="Arial" w:hAnsi="Arial" w:cs="Arial"/>
          <w:color w:val="auto"/>
          <w:sz w:val="24"/>
          <w:highlight w:val="none"/>
        </w:rPr>
        <w:tab/>
      </w:r>
      <w:r>
        <w:rPr>
          <w:rFonts w:hint="eastAsia" w:ascii="Arial" w:hAnsi="Arial" w:cs="Arial"/>
          <w:color w:val="auto"/>
          <w:sz w:val="24"/>
          <w:highlight w:val="none"/>
        </w:rPr>
        <w:t>1</w:t>
      </w:r>
      <w:r>
        <w:rPr>
          <w:rFonts w:hint="eastAsia" w:ascii="Arial" w:hAnsi="Arial" w:cs="Arial"/>
          <w:color w:val="auto"/>
          <w:sz w:val="24"/>
          <w:highlight w:val="none"/>
        </w:rPr>
        <w:fldChar w:fldCharType="end"/>
      </w:r>
      <w:r>
        <w:rPr>
          <w:rFonts w:hint="eastAsia" w:ascii="Arial" w:hAnsi="Arial" w:cs="Arial"/>
          <w:color w:val="auto"/>
          <w:sz w:val="24"/>
          <w:highlight w:val="none"/>
          <w:lang w:val="en-US" w:eastAsia="zh-CN"/>
        </w:rPr>
        <w:t>4</w:t>
      </w:r>
    </w:p>
    <w:p w14:paraId="3776BD0C">
      <w:pPr>
        <w:pStyle w:val="7"/>
        <w:tabs>
          <w:tab w:val="right" w:leader="dot" w:pos="9628"/>
        </w:tabs>
        <w:spacing w:line="540" w:lineRule="exact"/>
        <w:ind w:left="0" w:leftChars="0"/>
        <w:rPr>
          <w:rFonts w:hint="eastAsia" w:ascii="Arial" w:hAnsi="Arial" w:eastAsia="宋体" w:cs="Arial"/>
          <w:color w:val="auto"/>
          <w:sz w:val="24"/>
          <w:highlight w:val="none"/>
          <w:lang w:eastAsia="zh-CN"/>
        </w:rPr>
      </w:pPr>
      <w:r>
        <w:rPr>
          <w:rFonts w:hint="eastAsia" w:ascii="Arial" w:hAnsi="Arial" w:cs="Arial"/>
          <w:color w:val="auto"/>
          <w:sz w:val="24"/>
          <w:highlight w:val="none"/>
        </w:rPr>
        <w:t xml:space="preserve">第四章  </w:t>
      </w:r>
      <w:r>
        <w:rPr>
          <w:rFonts w:hint="eastAsia" w:ascii="Arial" w:hAnsi="Arial" w:cs="Arial"/>
          <w:color w:val="auto"/>
          <w:sz w:val="24"/>
          <w:highlight w:val="none"/>
          <w:lang w:val="en-US" w:eastAsia="zh-CN"/>
        </w:rPr>
        <w:t>议价</w:t>
      </w:r>
      <w:r>
        <w:rPr>
          <w:rFonts w:hint="eastAsia" w:ascii="Arial" w:hAnsi="Arial" w:cs="Arial"/>
          <w:color w:val="auto"/>
          <w:sz w:val="24"/>
          <w:highlight w:val="none"/>
        </w:rPr>
        <w:t>文件格式</w:t>
      </w:r>
      <w:r>
        <w:rPr>
          <w:rFonts w:ascii="Arial" w:hAnsi="Arial" w:cs="Arial"/>
          <w:color w:val="auto"/>
          <w:sz w:val="24"/>
          <w:highlight w:val="none"/>
        </w:rPr>
        <w:tab/>
      </w:r>
      <w:r>
        <w:rPr>
          <w:rFonts w:ascii="Arial" w:hAnsi="Arial" w:cs="Arial"/>
          <w:color w:val="auto"/>
          <w:sz w:val="24"/>
          <w:highlight w:val="none"/>
        </w:rPr>
        <w:t>……………………………………………………………………………</w:t>
      </w:r>
      <w:r>
        <w:rPr>
          <w:rFonts w:hint="eastAsia" w:ascii="Arial" w:hAnsi="Arial" w:cs="Arial"/>
          <w:color w:val="auto"/>
          <w:sz w:val="24"/>
          <w:highlight w:val="none"/>
        </w:rPr>
        <w:t>1</w:t>
      </w:r>
      <w:r>
        <w:rPr>
          <w:rFonts w:hint="eastAsia" w:ascii="Arial" w:hAnsi="Arial" w:cs="Arial"/>
          <w:color w:val="auto"/>
          <w:sz w:val="24"/>
          <w:highlight w:val="none"/>
          <w:lang w:val="en-US" w:eastAsia="zh-CN"/>
        </w:rPr>
        <w:t>6</w:t>
      </w:r>
    </w:p>
    <w:p w14:paraId="613F3F89">
      <w:pPr>
        <w:rPr>
          <w:color w:val="auto"/>
          <w:highlight w:val="none"/>
        </w:rPr>
      </w:pPr>
    </w:p>
    <w:p w14:paraId="5275643A">
      <w:pPr>
        <w:spacing w:line="440" w:lineRule="exact"/>
        <w:jc w:val="center"/>
        <w:rPr>
          <w:rFonts w:ascii="Arial" w:hAnsi="Arial" w:cs="Arial"/>
          <w:b/>
          <w:bCs/>
          <w:color w:val="auto"/>
          <w:highlight w:val="none"/>
          <w:lang w:val="zh-CN"/>
        </w:rPr>
      </w:pPr>
      <w:r>
        <w:rPr>
          <w:rFonts w:ascii="Arial" w:hAnsi="Arial" w:cs="Arial"/>
          <w:b/>
          <w:bCs/>
          <w:color w:val="auto"/>
          <w:highlight w:val="none"/>
          <w:lang w:val="zh-CN"/>
        </w:rPr>
        <w:fldChar w:fldCharType="end"/>
      </w:r>
    </w:p>
    <w:p w14:paraId="7C92EFC4">
      <w:pPr>
        <w:rPr>
          <w:rFonts w:ascii="Arial" w:hAnsi="Arial" w:cs="Arial"/>
          <w:b/>
          <w:bCs/>
          <w:color w:val="auto"/>
          <w:highlight w:val="none"/>
          <w:lang w:val="zh-CN"/>
        </w:rPr>
      </w:pPr>
      <w:r>
        <w:rPr>
          <w:rFonts w:ascii="Arial" w:hAnsi="Arial" w:cs="Arial"/>
          <w:b/>
          <w:bCs/>
          <w:color w:val="auto"/>
          <w:highlight w:val="none"/>
          <w:lang w:val="zh-CN"/>
        </w:rPr>
        <w:br w:type="page"/>
      </w:r>
    </w:p>
    <w:p w14:paraId="2C052538">
      <w:pPr>
        <w:spacing w:line="440" w:lineRule="exact"/>
        <w:jc w:val="center"/>
        <w:outlineLvl w:val="0"/>
        <w:rPr>
          <w:rFonts w:hint="eastAsia" w:asciiTheme="majorEastAsia" w:hAnsiTheme="majorEastAsia" w:eastAsiaTheme="majorEastAsia" w:cstheme="majorEastAsia"/>
          <w:b/>
          <w:bCs/>
          <w:color w:val="auto"/>
          <w:sz w:val="28"/>
          <w:szCs w:val="28"/>
          <w:highlight w:val="none"/>
        </w:rPr>
      </w:pPr>
      <w:r>
        <w:rPr>
          <w:rFonts w:hint="eastAsia" w:ascii="宋体" w:hAnsi="宋体" w:cs="宋体"/>
          <w:b/>
          <w:bCs/>
          <w:color w:val="auto"/>
          <w:sz w:val="32"/>
          <w:szCs w:val="32"/>
          <w:highlight w:val="none"/>
        </w:rPr>
        <w:t xml:space="preserve">第一章  </w:t>
      </w:r>
      <w:r>
        <w:rPr>
          <w:rFonts w:hint="eastAsia" w:ascii="宋体" w:hAnsi="宋体" w:cs="宋体"/>
          <w:b/>
          <w:bCs/>
          <w:color w:val="auto"/>
          <w:sz w:val="32"/>
          <w:szCs w:val="32"/>
          <w:highlight w:val="none"/>
          <w:lang w:val="en-US" w:eastAsia="zh-CN"/>
        </w:rPr>
        <w:t>议价</w:t>
      </w:r>
      <w:r>
        <w:rPr>
          <w:rFonts w:hint="eastAsia" w:ascii="宋体" w:hAnsi="宋体" w:cs="宋体"/>
          <w:b/>
          <w:bCs/>
          <w:color w:val="auto"/>
          <w:sz w:val="32"/>
          <w:szCs w:val="32"/>
          <w:highlight w:val="none"/>
        </w:rPr>
        <w:t>公告</w:t>
      </w:r>
    </w:p>
    <w:p w14:paraId="5C71A84A">
      <w:pPr>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w:t>
      </w:r>
    </w:p>
    <w:p w14:paraId="0F51FBA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现有桂林市人民医院投诉纠纷管理系统项目采购，为确保项目质优价廉，决定通过院内</w:t>
      </w:r>
      <w:r>
        <w:rPr>
          <w:rFonts w:hint="eastAsia" w:asciiTheme="minorEastAsia" w:hAnsiTheme="minorEastAsia" w:eastAsiaTheme="minorEastAsia" w:cstheme="minorEastAsia"/>
          <w:color w:val="auto"/>
          <w:sz w:val="24"/>
          <w:highlight w:val="none"/>
          <w:lang w:val="en-US" w:eastAsia="zh-CN"/>
        </w:rPr>
        <w:t>议价</w:t>
      </w:r>
      <w:r>
        <w:rPr>
          <w:rFonts w:hint="eastAsia" w:asciiTheme="minorEastAsia" w:hAnsiTheme="minorEastAsia" w:eastAsiaTheme="minorEastAsia" w:cstheme="minorEastAsia"/>
          <w:color w:val="auto"/>
          <w:sz w:val="24"/>
          <w:highlight w:val="none"/>
        </w:rPr>
        <w:t>确定供应商，现将有关内容公告如下：</w:t>
      </w:r>
    </w:p>
    <w:p w14:paraId="572FBDD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一、项目基本情况：</w:t>
      </w:r>
    </w:p>
    <w:p w14:paraId="5D928CDD">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项目名称：桂林市人民医院投诉纠纷管理系统项目</w:t>
      </w:r>
    </w:p>
    <w:p w14:paraId="5A32D71F">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项目编号：XXK-2025-001</w:t>
      </w:r>
    </w:p>
    <w:p w14:paraId="6B739C1F">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资金来源：自筹资金</w:t>
      </w:r>
    </w:p>
    <w:p w14:paraId="4D3945A0">
      <w:pPr>
        <w:spacing w:line="440" w:lineRule="exact"/>
        <w:ind w:firstLine="480" w:firstLineChars="200"/>
        <w:rPr>
          <w:rFonts w:hint="eastAsia" w:ascii="宋体" w:hAnsi="宋体" w:cs="宋体"/>
          <w:color w:val="auto"/>
          <w:spacing w:val="-2"/>
          <w:sz w:val="24"/>
          <w:highlight w:val="none"/>
        </w:rPr>
      </w:pPr>
      <w:r>
        <w:rPr>
          <w:rFonts w:hint="eastAsia" w:asciiTheme="minorEastAsia" w:hAnsiTheme="minorEastAsia" w:eastAsiaTheme="minorEastAsia" w:cstheme="minorEastAsia"/>
          <w:color w:val="auto"/>
          <w:sz w:val="24"/>
          <w:highlight w:val="none"/>
        </w:rPr>
        <w:t>4</w:t>
      </w:r>
      <w:r>
        <w:rPr>
          <w:rFonts w:hint="eastAsia" w:asciiTheme="minorEastAsia" w:hAnsiTheme="minorEastAsia" w:cstheme="minorEastAsia"/>
          <w:color w:val="auto"/>
          <w:sz w:val="24"/>
          <w:highlight w:val="none"/>
        </w:rPr>
        <w:t>.</w:t>
      </w:r>
      <w:r>
        <w:rPr>
          <w:rFonts w:hint="eastAsia" w:ascii="宋体" w:hAnsi="宋体" w:cs="宋体"/>
          <w:bCs/>
          <w:color w:val="auto"/>
          <w:sz w:val="24"/>
          <w:highlight w:val="none"/>
        </w:rPr>
        <w:t>最高限价</w:t>
      </w:r>
      <w:r>
        <w:rPr>
          <w:rFonts w:hint="eastAsia" w:asciiTheme="minorEastAsia" w:hAnsiTheme="minorEastAsia" w:eastAsiaTheme="minorEastAsia" w:cstheme="minorEastAsia"/>
          <w:color w:val="auto"/>
          <w:sz w:val="24"/>
          <w:highlight w:val="none"/>
        </w:rPr>
        <w:t>：</w:t>
      </w:r>
      <w:r>
        <w:rPr>
          <w:rFonts w:hint="eastAsia" w:ascii="宋体" w:hAnsi="宋体" w:cs="宋体"/>
          <w:color w:val="auto"/>
          <w:spacing w:val="-2"/>
          <w:sz w:val="24"/>
          <w:highlight w:val="none"/>
        </w:rPr>
        <w:t>本项目预算金额为</w:t>
      </w:r>
      <w:r>
        <w:rPr>
          <w:rFonts w:hint="eastAsia" w:ascii="宋体" w:hAnsi="宋体" w:cs="宋体"/>
          <w:color w:val="auto"/>
          <w:sz w:val="24"/>
          <w:highlight w:val="none"/>
        </w:rPr>
        <w:t>人民币贰拾柒万捌仟元整（¥278000）</w:t>
      </w:r>
      <w:r>
        <w:rPr>
          <w:rFonts w:hint="eastAsia" w:ascii="宋体" w:hAnsi="宋体" w:cs="宋体"/>
          <w:color w:val="auto"/>
          <w:spacing w:val="-2"/>
          <w:sz w:val="24"/>
          <w:highlight w:val="none"/>
        </w:rPr>
        <w:t>，供应商报价超出参考预算金额的，按无效处理。</w:t>
      </w:r>
    </w:p>
    <w:p w14:paraId="2930E86A">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二、资质条件要求</w:t>
      </w:r>
    </w:p>
    <w:p w14:paraId="5450E374">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cstheme="minorEastAsia"/>
          <w:color w:val="auto"/>
          <w:sz w:val="24"/>
          <w:highlight w:val="none"/>
        </w:rPr>
        <w:t>.</w:t>
      </w:r>
      <w:r>
        <w:rPr>
          <w:rFonts w:hint="eastAsia" w:ascii="宋体" w:hAnsi="宋体" w:cs="宋体"/>
          <w:color w:val="auto"/>
          <w:sz w:val="24"/>
          <w:highlight w:val="none"/>
        </w:rPr>
        <w:t>国内注册【依法在市场监督管理部门（或行政审批部门）登记注册】的，具备合法资格的供应商</w:t>
      </w:r>
      <w:r>
        <w:rPr>
          <w:rFonts w:hint="eastAsia" w:asciiTheme="minorEastAsia" w:hAnsiTheme="minorEastAsia" w:eastAsiaTheme="minorEastAsia" w:cstheme="minorEastAsia"/>
          <w:color w:val="auto"/>
          <w:sz w:val="24"/>
          <w:highlight w:val="none"/>
        </w:rPr>
        <w:t>；</w:t>
      </w:r>
    </w:p>
    <w:p w14:paraId="3E32B4C7">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具备履行合同所必需的设备和专业技术能力；</w:t>
      </w:r>
    </w:p>
    <w:p w14:paraId="3A4E15C1">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参加本议价采购活动前三年内，在经营活动中没有重大违法记录；</w:t>
      </w:r>
    </w:p>
    <w:p w14:paraId="60A55053">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本项目不接受在“信用中国”网站(www.creditchina.gov.cn)被列入失信被执行人、重大税收违法失信主体、严重违法失信行为记录名单的供应商参与报价；</w:t>
      </w:r>
    </w:p>
    <w:p w14:paraId="4107575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r>
        <w:rPr>
          <w:rFonts w:hint="eastAsia" w:asciiTheme="minorEastAsia" w:hAnsiTheme="minorEastAsia" w:cstheme="minorEastAsia"/>
          <w:color w:val="auto"/>
          <w:sz w:val="24"/>
          <w:highlight w:val="none"/>
        </w:rPr>
        <w:t>.</w:t>
      </w:r>
      <w:r>
        <w:rPr>
          <w:rFonts w:hint="eastAsia" w:asciiTheme="minorEastAsia" w:hAnsiTheme="minorEastAsia" w:eastAsiaTheme="minorEastAsia" w:cstheme="minorEastAsia"/>
          <w:color w:val="auto"/>
          <w:sz w:val="24"/>
          <w:highlight w:val="none"/>
        </w:rPr>
        <w:t>本项目不接受联合体参与报价。</w:t>
      </w:r>
    </w:p>
    <w:p w14:paraId="51AF9B79">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三、报名时间、方式及获取议价文件方式</w:t>
      </w:r>
    </w:p>
    <w:p w14:paraId="58EC4121">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报名时间：2025年</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lang w:val="en-US" w:eastAsia="zh-CN"/>
        </w:rPr>
        <w:t>21</w:t>
      </w:r>
      <w:r>
        <w:rPr>
          <w:rFonts w:hint="eastAsia" w:asciiTheme="minorEastAsia" w:hAnsiTheme="minorEastAsia" w:eastAsiaTheme="minorEastAsia" w:cstheme="minorEastAsia"/>
          <w:color w:val="auto"/>
          <w:sz w:val="24"/>
          <w:highlight w:val="none"/>
        </w:rPr>
        <w:t>日至</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lang w:val="en-US" w:eastAsia="zh-CN"/>
        </w:rPr>
        <w:t>27</w:t>
      </w:r>
      <w:r>
        <w:rPr>
          <w:rFonts w:hint="eastAsia" w:asciiTheme="minorEastAsia" w:hAnsiTheme="minorEastAsia" w:eastAsiaTheme="minorEastAsia" w:cstheme="minorEastAsia"/>
          <w:color w:val="auto"/>
          <w:sz w:val="24"/>
          <w:highlight w:val="none"/>
        </w:rPr>
        <w:t>日17：30时止，逾期报名无效。</w:t>
      </w:r>
    </w:p>
    <w:p w14:paraId="7A8B767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报名方式：网上报名。请潜在供应商自行下载附件《报名表》，并按《报名表》的格式内容填写相关信息，同时附上“信用中国(www.creditchina.gov.cn)”上打印的信用查询记录，以及中国政府采购网(www.ccgp.gov.cn)相关信息。供应商将上述材料填写准备好后发至邮箱（</w:t>
      </w:r>
      <w:r>
        <w:rPr>
          <w:color w:val="auto"/>
          <w:highlight w:val="none"/>
        </w:rPr>
        <w:fldChar w:fldCharType="begin"/>
      </w:r>
      <w:r>
        <w:rPr>
          <w:color w:val="auto"/>
          <w:highlight w:val="none"/>
        </w:rPr>
        <w:instrText xml:space="preserve"> HYPERLINK "mailto:glsrmyyzbb@163.com" </w:instrText>
      </w:r>
      <w:r>
        <w:rPr>
          <w:color w:val="auto"/>
          <w:highlight w:val="none"/>
        </w:rPr>
        <w:fldChar w:fldCharType="separate"/>
      </w:r>
      <w:r>
        <w:rPr>
          <w:rFonts w:hint="eastAsia" w:asciiTheme="minorEastAsia" w:hAnsiTheme="minorEastAsia" w:eastAsiaTheme="minorEastAsia" w:cstheme="minorEastAsia"/>
          <w:color w:val="auto"/>
          <w:sz w:val="24"/>
          <w:highlight w:val="none"/>
        </w:rPr>
        <w:t>glsrmyyzbb@163.com</w:t>
      </w:r>
      <w:r>
        <w:rPr>
          <w:rFonts w:hint="eastAsia" w:asciiTheme="minorEastAsia" w:hAnsiTheme="minorEastAsia" w:eastAsiaTheme="minorEastAsia" w:cstheme="minorEastAsia"/>
          <w:color w:val="auto"/>
          <w:sz w:val="24"/>
          <w:highlight w:val="none"/>
        </w:rPr>
        <w:fldChar w:fldCharType="end"/>
      </w:r>
      <w:r>
        <w:rPr>
          <w:rFonts w:hint="eastAsia" w:asciiTheme="minorEastAsia" w:hAnsiTheme="minorEastAsia" w:eastAsiaTheme="minorEastAsia" w:cstheme="minorEastAsia"/>
          <w:color w:val="auto"/>
          <w:sz w:val="24"/>
          <w:highlight w:val="none"/>
        </w:rPr>
        <w:t>）即完成报名，否则将视为报名不成功。《报名表》要求WORD版，其他材料加盖公章后上传扫描件。</w:t>
      </w:r>
    </w:p>
    <w:p w14:paraId="534C872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获取议价文件方式：桂林市人民医院官网（www.glrmyy.com）</w:t>
      </w:r>
    </w:p>
    <w:p w14:paraId="39E9A76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四、议价采购活动要求</w:t>
      </w:r>
    </w:p>
    <w:p w14:paraId="53C8ECA5">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1.议价时间：议价具体时间另行通知，请报名后根据所获取的议价文件要求及时准备正式的报价文件。</w:t>
      </w:r>
    </w:p>
    <w:p w14:paraId="5E2B4CE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本项目接受二次报价：如二次报价与</w:t>
      </w:r>
      <w:r>
        <w:rPr>
          <w:rFonts w:hint="eastAsia" w:asciiTheme="minorEastAsia" w:hAnsiTheme="minorEastAsia" w:eastAsiaTheme="minorEastAsia" w:cstheme="minorEastAsia"/>
          <w:color w:val="auto"/>
          <w:sz w:val="24"/>
          <w:highlight w:val="none"/>
          <w:lang w:val="en-US" w:eastAsia="zh-CN"/>
        </w:rPr>
        <w:t>报价</w:t>
      </w:r>
      <w:r>
        <w:rPr>
          <w:rFonts w:hint="eastAsia" w:asciiTheme="minorEastAsia" w:hAnsiTheme="minorEastAsia" w:eastAsiaTheme="minorEastAsia" w:cstheme="minorEastAsia"/>
          <w:color w:val="auto"/>
          <w:sz w:val="24"/>
          <w:highlight w:val="none"/>
        </w:rPr>
        <w:t>文件第一次报价有调整，需当场由法定代表人或授权委托代理人签字确认。</w:t>
      </w:r>
    </w:p>
    <w:p w14:paraId="3E33423E">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rPr>
        <w:t>议价地点：桂林市人民医院招标办公室（广西桂林市象山区文明路29号）</w:t>
      </w:r>
    </w:p>
    <w:p w14:paraId="4F81210F">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rPr>
        <w:t>报价文件：</w:t>
      </w:r>
    </w:p>
    <w:p w14:paraId="27DE22CE">
      <w:pPr>
        <w:pStyle w:val="23"/>
        <w:widowControl w:val="0"/>
        <w:tabs>
          <w:tab w:val="left" w:pos="1915"/>
        </w:tabs>
        <w:spacing w:line="440" w:lineRule="exact"/>
        <w:ind w:firstLine="480"/>
        <w:rPr>
          <w:rFonts w:hint="eastAsia" w:asciiTheme="minorEastAsia" w:hAnsiTheme="minorEastAsia" w:cstheme="minorEastAsia"/>
          <w:color w:val="auto"/>
          <w:highlight w:val="none"/>
        </w:rPr>
      </w:pPr>
      <w:r>
        <w:rPr>
          <w:rFonts w:hint="eastAsia" w:asciiTheme="minorEastAsia" w:hAnsiTheme="minorEastAsia" w:cstheme="minorEastAsia"/>
          <w:color w:val="auto"/>
          <w:highlight w:val="none"/>
        </w:rPr>
        <w:t>(1)报价文件组成：</w:t>
      </w:r>
      <w:r>
        <w:rPr>
          <w:rFonts w:hint="eastAsia"/>
          <w:color w:val="auto"/>
          <w:highlight w:val="none"/>
        </w:rPr>
        <w:t>必须含有但不限于响应函、营业执照复印件、法定代表人（负责人）身份证复印件、法定代表人授权书原件（委托代理时必须提供）、授权委托代理人身份证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项目报价、技术部分、服务能力、项目实施方案、售后服务方案、培训方案、联系人及电话等资料。供应商应完整准备上述报价文件的材料，否则由此引起的不利后果由供应商承担。</w:t>
      </w:r>
      <w:r>
        <w:rPr>
          <w:rFonts w:hint="eastAsia" w:ascii="黑体" w:hAnsi="黑体" w:eastAsia="黑体"/>
          <w:b/>
          <w:bCs/>
          <w:color w:val="auto"/>
          <w:highlight w:val="none"/>
        </w:rPr>
        <w:t>报价文件所提供的证照及相关证明材料必须真实有效，一经发现造假，将取消本次议价资格并追究相关法律责任！</w:t>
      </w:r>
    </w:p>
    <w:p w14:paraId="0FE9F0F6">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（2）报价文件份数：正本一份，副本六份。</w:t>
      </w:r>
    </w:p>
    <w:p w14:paraId="1CCDC2B8">
      <w:pPr>
        <w:spacing w:line="4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cstheme="minorEastAsia"/>
          <w:color w:val="auto"/>
          <w:sz w:val="24"/>
          <w:highlight w:val="none"/>
        </w:rPr>
        <w:t xml:space="preserve">    4.</w:t>
      </w:r>
      <w:r>
        <w:rPr>
          <w:rFonts w:hint="eastAsia" w:asciiTheme="minorEastAsia" w:hAnsiTheme="minorEastAsia" w:eastAsiaTheme="minorEastAsia" w:cstheme="minorEastAsia"/>
          <w:color w:val="auto"/>
          <w:sz w:val="24"/>
          <w:highlight w:val="none"/>
        </w:rPr>
        <w:t>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CB3CCE9">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cstheme="minorEastAsia"/>
          <w:color w:val="auto"/>
          <w:sz w:val="24"/>
          <w:highlight w:val="none"/>
        </w:rPr>
        <w:t>5.</w:t>
      </w:r>
      <w:r>
        <w:rPr>
          <w:rFonts w:hint="eastAsia" w:asciiTheme="minorEastAsia" w:hAnsiTheme="minorEastAsia" w:eastAsiaTheme="minorEastAsia" w:cstheme="minorEastAsia"/>
          <w:color w:val="auto"/>
          <w:sz w:val="24"/>
          <w:highlight w:val="none"/>
        </w:rPr>
        <w:t>凡报名合格并获取了议价文件的供应商，视同响应承诺参与本次议价采购活动。若因故不能按期参加的，请至少于采购活动截止时间前两天以书面邮件形式（发送邮箱地址：</w:t>
      </w:r>
      <w:r>
        <w:rPr>
          <w:color w:val="auto"/>
          <w:highlight w:val="none"/>
        </w:rPr>
        <w:fldChar w:fldCharType="begin"/>
      </w:r>
      <w:r>
        <w:rPr>
          <w:color w:val="auto"/>
          <w:highlight w:val="none"/>
        </w:rPr>
        <w:instrText xml:space="preserve"> HYPERLINK "mailto:glsrmyyzbb@163.com" </w:instrText>
      </w:r>
      <w:r>
        <w:rPr>
          <w:color w:val="auto"/>
          <w:highlight w:val="none"/>
        </w:rPr>
        <w:fldChar w:fldCharType="separate"/>
      </w:r>
      <w:r>
        <w:rPr>
          <w:rFonts w:hint="eastAsia" w:asciiTheme="minorEastAsia" w:hAnsiTheme="minorEastAsia" w:eastAsiaTheme="minorEastAsia" w:cstheme="minorEastAsia"/>
          <w:color w:val="auto"/>
          <w:sz w:val="24"/>
          <w:highlight w:val="none"/>
        </w:rPr>
        <w:t>glsrmyyzbb@163.com</w:t>
      </w:r>
      <w:r>
        <w:rPr>
          <w:rFonts w:hint="eastAsia" w:asciiTheme="minorEastAsia" w:hAnsiTheme="minorEastAsia" w:eastAsiaTheme="minorEastAsia" w:cstheme="minorEastAsia"/>
          <w:color w:val="auto"/>
          <w:sz w:val="24"/>
          <w:highlight w:val="none"/>
        </w:rPr>
        <w:fldChar w:fldCharType="end"/>
      </w:r>
      <w:r>
        <w:rPr>
          <w:rFonts w:hint="eastAsia" w:asciiTheme="minorEastAsia" w:hAnsiTheme="minorEastAsia" w:eastAsiaTheme="minorEastAsia" w:cstheme="minorEastAsia"/>
          <w:color w:val="auto"/>
          <w:sz w:val="24"/>
          <w:highlight w:val="none"/>
        </w:rPr>
        <w:t>）告知我院招标办公室，否则，将被视为不诚信供应商，列入我院供应商黑名单，至少一年内不接受其参与我院院内的任何议价采购活动。</w:t>
      </w:r>
    </w:p>
    <w:p w14:paraId="38C8C5BC">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五、信息公告发布媒体</w:t>
      </w:r>
    </w:p>
    <w:p w14:paraId="095694E4">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本次议价采购公告在桂林市人民医院官网（www.glrmyy.com）发布。</w:t>
      </w:r>
    </w:p>
    <w:p w14:paraId="599AAF44">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六、联系方式</w:t>
      </w:r>
    </w:p>
    <w:p w14:paraId="1E42A5A3">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1.联系人：罗老师、戴老师</w:t>
      </w:r>
    </w:p>
    <w:p w14:paraId="7DD92133">
      <w:pPr>
        <w:spacing w:line="44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2.联系电话：0773-2803316</w:t>
      </w:r>
    </w:p>
    <w:p w14:paraId="0DDB8A35">
      <w:pPr>
        <w:spacing w:line="440" w:lineRule="exact"/>
        <w:ind w:firstLine="480" w:firstLineChars="200"/>
        <w:rPr>
          <w:rFonts w:hint="eastAsia" w:asciiTheme="minorEastAsia" w:hAnsiTheme="minorEastAsia" w:eastAsiaTheme="minorEastAsia" w:cstheme="minorEastAsia"/>
          <w:color w:val="auto"/>
          <w:sz w:val="24"/>
          <w:highlight w:val="none"/>
        </w:rPr>
      </w:pPr>
    </w:p>
    <w:p w14:paraId="3A51BD4A">
      <w:pPr>
        <w:tabs>
          <w:tab w:val="left" w:pos="6583"/>
        </w:tabs>
        <w:spacing w:line="440" w:lineRule="exact"/>
        <w:ind w:firstLine="5760" w:firstLineChars="2400"/>
        <w:jc w:val="righ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桂林市人民医院</w:t>
      </w:r>
    </w:p>
    <w:p w14:paraId="6CD795E6">
      <w:pPr>
        <w:tabs>
          <w:tab w:val="left" w:pos="5623"/>
        </w:tabs>
        <w:spacing w:line="440" w:lineRule="exact"/>
        <w:jc w:val="righ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ab/>
      </w:r>
      <w:r>
        <w:rPr>
          <w:rFonts w:hint="eastAsia" w:asciiTheme="minorEastAsia" w:hAnsiTheme="minorEastAsia" w:eastAsiaTheme="minorEastAsia" w:cstheme="minorEastAsia"/>
          <w:color w:val="auto"/>
          <w:sz w:val="24"/>
          <w:highlight w:val="none"/>
        </w:rPr>
        <w:t>2025年</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 xml:space="preserve">月 </w:t>
      </w:r>
      <w:r>
        <w:rPr>
          <w:rFonts w:hint="eastAsia" w:asciiTheme="minorEastAsia" w:hAnsiTheme="minorEastAsia" w:eastAsiaTheme="minorEastAsia" w:cstheme="minorEastAsia"/>
          <w:color w:val="auto"/>
          <w:sz w:val="24"/>
          <w:highlight w:val="none"/>
          <w:lang w:val="en-US" w:eastAsia="zh-CN"/>
        </w:rPr>
        <w:t>21</w:t>
      </w:r>
      <w:bookmarkStart w:id="0" w:name="_GoBack"/>
      <w:bookmarkEnd w:id="0"/>
      <w:r>
        <w:rPr>
          <w:rFonts w:hint="eastAsia" w:asciiTheme="minorEastAsia" w:hAnsiTheme="minorEastAsia" w:eastAsiaTheme="minorEastAsia" w:cstheme="minorEastAsia"/>
          <w:color w:val="auto"/>
          <w:sz w:val="24"/>
          <w:highlight w:val="none"/>
        </w:rPr>
        <w:t>日</w:t>
      </w:r>
    </w:p>
    <w:p w14:paraId="259E867A">
      <w:pPr>
        <w:tabs>
          <w:tab w:val="left" w:pos="5623"/>
        </w:tabs>
        <w:spacing w:line="440" w:lineRule="exact"/>
        <w:jc w:val="left"/>
        <w:rPr>
          <w:rFonts w:hint="eastAsia" w:asciiTheme="minorEastAsia" w:hAnsiTheme="minorEastAsia" w:eastAsiaTheme="minorEastAsia" w:cstheme="minorEastAsia"/>
          <w:color w:val="auto"/>
          <w:sz w:val="24"/>
          <w:highlight w:val="none"/>
        </w:rPr>
      </w:pPr>
    </w:p>
    <w:p w14:paraId="4D99BBC7">
      <w:pPr>
        <w:rPr>
          <w:rFonts w:hint="eastAsia" w:asciiTheme="minorEastAsia" w:hAnsiTheme="minorEastAsia" w:eastAsiaTheme="minorEastAsia" w:cstheme="minorEastAsia"/>
          <w:b/>
          <w:bCs/>
          <w:color w:val="auto"/>
          <w:w w:val="95"/>
          <w:sz w:val="32"/>
          <w:szCs w:val="32"/>
          <w:highlight w:val="none"/>
        </w:rPr>
      </w:pPr>
      <w:r>
        <w:rPr>
          <w:rFonts w:hint="eastAsia" w:asciiTheme="minorEastAsia" w:hAnsiTheme="minorEastAsia" w:eastAsiaTheme="minorEastAsia" w:cstheme="minorEastAsia"/>
          <w:b/>
          <w:bCs/>
          <w:color w:val="auto"/>
          <w:w w:val="95"/>
          <w:sz w:val="32"/>
          <w:szCs w:val="32"/>
          <w:highlight w:val="none"/>
        </w:rPr>
        <w:br w:type="page"/>
      </w:r>
    </w:p>
    <w:p w14:paraId="1DC5A9BF">
      <w:pPr>
        <w:pStyle w:val="14"/>
        <w:spacing w:before="0" w:line="440" w:lineRule="exact"/>
        <w:ind w:left="0" w:right="0"/>
        <w:outlineLvl w:val="0"/>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bCs/>
          <w:color w:val="auto"/>
          <w:w w:val="95"/>
          <w:sz w:val="32"/>
          <w:szCs w:val="32"/>
          <w:highlight w:val="none"/>
        </w:rPr>
        <w:t xml:space="preserve">第二章  项目需求和说明 </w:t>
      </w:r>
    </w:p>
    <w:p w14:paraId="430DBFCE">
      <w:pPr>
        <w:numPr>
          <w:ilvl w:val="0"/>
          <w:numId w:val="1"/>
        </w:numPr>
        <w:rPr>
          <w:rFonts w:eastAsia="方正大标宋简体"/>
          <w:color w:val="auto"/>
          <w:sz w:val="30"/>
          <w:szCs w:val="30"/>
          <w:highlight w:val="none"/>
        </w:rPr>
      </w:pPr>
      <w:r>
        <w:rPr>
          <w:rFonts w:hint="eastAsia" w:ascii="宋体" w:hAnsi="宋体" w:cs="宋体"/>
          <w:b/>
          <w:color w:val="auto"/>
          <w:sz w:val="24"/>
          <w:highlight w:val="none"/>
        </w:rPr>
        <w:t>技术要求</w:t>
      </w:r>
    </w:p>
    <w:tbl>
      <w:tblPr>
        <w:tblStyle w:val="16"/>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522"/>
        <w:gridCol w:w="5846"/>
        <w:gridCol w:w="839"/>
        <w:gridCol w:w="728"/>
      </w:tblGrid>
      <w:tr w14:paraId="5E0B6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01841D41">
            <w:pPr>
              <w:jc w:val="center"/>
              <w:rPr>
                <w:rFonts w:hint="eastAsia" w:ascii="宋体" w:hAnsi="宋体" w:cs="宋体"/>
                <w:b/>
                <w:bCs/>
                <w:color w:val="auto"/>
                <w:sz w:val="24"/>
                <w:highlight w:val="none"/>
              </w:rPr>
            </w:pPr>
            <w:r>
              <w:rPr>
                <w:rFonts w:hint="eastAsia" w:ascii="宋体" w:hAnsi="宋体" w:cs="宋体"/>
                <w:b/>
                <w:bCs/>
                <w:color w:val="auto"/>
                <w:sz w:val="24"/>
                <w:highlight w:val="none"/>
              </w:rPr>
              <w:t>序号</w:t>
            </w:r>
          </w:p>
        </w:tc>
        <w:tc>
          <w:tcPr>
            <w:tcW w:w="1522" w:type="dxa"/>
            <w:vAlign w:val="center"/>
          </w:tcPr>
          <w:p w14:paraId="4462EACE">
            <w:pPr>
              <w:jc w:val="center"/>
              <w:rPr>
                <w:rFonts w:hint="eastAsia" w:ascii="宋体" w:hAnsi="宋体" w:cs="宋体"/>
                <w:b/>
                <w:bCs/>
                <w:color w:val="auto"/>
                <w:sz w:val="24"/>
                <w:highlight w:val="none"/>
              </w:rPr>
            </w:pPr>
            <w:r>
              <w:rPr>
                <w:rFonts w:hint="eastAsia" w:ascii="宋体" w:hAnsi="宋体" w:cs="宋体"/>
                <w:b/>
                <w:bCs/>
                <w:color w:val="auto"/>
                <w:kern w:val="0"/>
                <w:sz w:val="24"/>
                <w:highlight w:val="none"/>
                <w:lang w:bidi="ar"/>
              </w:rPr>
              <w:t>功能需求</w:t>
            </w:r>
          </w:p>
        </w:tc>
        <w:tc>
          <w:tcPr>
            <w:tcW w:w="5846" w:type="dxa"/>
            <w:vAlign w:val="center"/>
          </w:tcPr>
          <w:p w14:paraId="21D6B06A">
            <w:pPr>
              <w:jc w:val="center"/>
              <w:rPr>
                <w:rFonts w:hint="eastAsia" w:ascii="宋体" w:hAnsi="宋体" w:cs="宋体"/>
                <w:b/>
                <w:bCs/>
                <w:color w:val="auto"/>
                <w:sz w:val="24"/>
                <w:highlight w:val="none"/>
              </w:rPr>
            </w:pPr>
            <w:r>
              <w:rPr>
                <w:rFonts w:hint="eastAsia" w:ascii="宋体" w:hAnsi="宋体" w:cs="宋体"/>
                <w:b/>
                <w:bCs/>
                <w:color w:val="auto"/>
                <w:sz w:val="24"/>
                <w:highlight w:val="none"/>
              </w:rPr>
              <w:t>需求内容</w:t>
            </w:r>
          </w:p>
        </w:tc>
        <w:tc>
          <w:tcPr>
            <w:tcW w:w="839" w:type="dxa"/>
            <w:vAlign w:val="center"/>
          </w:tcPr>
          <w:p w14:paraId="443A8DB4">
            <w:pPr>
              <w:jc w:val="center"/>
              <w:rPr>
                <w:rFonts w:hint="eastAsia" w:ascii="宋体" w:hAnsi="宋体" w:cs="宋体"/>
                <w:b/>
                <w:bCs/>
                <w:color w:val="auto"/>
                <w:sz w:val="24"/>
                <w:highlight w:val="none"/>
              </w:rPr>
            </w:pPr>
            <w:r>
              <w:rPr>
                <w:rFonts w:hint="eastAsia" w:ascii="宋体" w:hAnsi="宋体" w:cs="宋体"/>
                <w:b/>
                <w:bCs/>
                <w:color w:val="auto"/>
                <w:sz w:val="24"/>
                <w:highlight w:val="none"/>
              </w:rPr>
              <w:t>数量</w:t>
            </w:r>
          </w:p>
        </w:tc>
        <w:tc>
          <w:tcPr>
            <w:tcW w:w="728" w:type="dxa"/>
            <w:vAlign w:val="center"/>
          </w:tcPr>
          <w:p w14:paraId="155AF8E7">
            <w:pPr>
              <w:jc w:val="center"/>
              <w:rPr>
                <w:rFonts w:hint="eastAsia" w:ascii="宋体" w:hAnsi="宋体" w:cs="宋体"/>
                <w:b/>
                <w:bCs/>
                <w:color w:val="auto"/>
                <w:sz w:val="24"/>
                <w:highlight w:val="none"/>
              </w:rPr>
            </w:pPr>
            <w:r>
              <w:rPr>
                <w:rFonts w:hint="eastAsia" w:ascii="宋体" w:hAnsi="宋体" w:cs="宋体"/>
                <w:b/>
                <w:bCs/>
                <w:color w:val="auto"/>
                <w:sz w:val="24"/>
                <w:highlight w:val="none"/>
              </w:rPr>
              <w:t>单位</w:t>
            </w:r>
          </w:p>
        </w:tc>
      </w:tr>
      <w:tr w14:paraId="6DE7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7666FE67">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522" w:type="dxa"/>
            <w:vMerge w:val="restart"/>
            <w:vAlign w:val="center"/>
          </w:tcPr>
          <w:p w14:paraId="683ABC70">
            <w:pPr>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新增投诉</w:t>
            </w:r>
          </w:p>
        </w:tc>
        <w:tc>
          <w:tcPr>
            <w:tcW w:w="5846" w:type="dxa"/>
            <w:shd w:val="clear" w:color="auto" w:fill="FFFFFF"/>
            <w:vAlign w:val="center"/>
          </w:tcPr>
          <w:p w14:paraId="305BFAD1">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新增投诉单信息录入，包括投诉的基本信息（患者姓名、患者性别、就诊科室、投诉人电话等）以及投诉事件内容（投诉事件性质、各类行政单位和业务部门等投诉来源、不同行政单位、投诉就医环节及原因、主要意见及事由等）。</w:t>
            </w:r>
          </w:p>
        </w:tc>
        <w:tc>
          <w:tcPr>
            <w:tcW w:w="839" w:type="dxa"/>
            <w:vMerge w:val="restart"/>
            <w:shd w:val="clear" w:color="auto" w:fill="FFFFFF"/>
            <w:vAlign w:val="center"/>
          </w:tcPr>
          <w:p w14:paraId="53B1ED81">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1</w:t>
            </w:r>
          </w:p>
          <w:p w14:paraId="6BF155F0">
            <w:pPr>
              <w:widowControl/>
              <w:jc w:val="center"/>
              <w:textAlignment w:val="center"/>
              <w:rPr>
                <w:rFonts w:hint="eastAsia" w:ascii="宋体" w:hAnsi="宋体" w:cs="宋体"/>
                <w:color w:val="auto"/>
                <w:kern w:val="0"/>
                <w:sz w:val="24"/>
                <w:highlight w:val="none"/>
                <w:lang w:bidi="ar"/>
              </w:rPr>
            </w:pPr>
          </w:p>
        </w:tc>
        <w:tc>
          <w:tcPr>
            <w:tcW w:w="728" w:type="dxa"/>
            <w:vMerge w:val="restart"/>
            <w:shd w:val="clear" w:color="auto" w:fill="FFFFFF"/>
            <w:vAlign w:val="center"/>
          </w:tcPr>
          <w:p w14:paraId="247ABD7E">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套</w:t>
            </w:r>
          </w:p>
          <w:p w14:paraId="13C4546E">
            <w:pPr>
              <w:widowControl/>
              <w:jc w:val="center"/>
              <w:textAlignment w:val="center"/>
              <w:rPr>
                <w:rFonts w:hint="eastAsia" w:ascii="宋体" w:hAnsi="宋体" w:cs="宋体"/>
                <w:color w:val="auto"/>
                <w:kern w:val="0"/>
                <w:sz w:val="24"/>
                <w:highlight w:val="none"/>
                <w:lang w:bidi="ar"/>
              </w:rPr>
            </w:pPr>
          </w:p>
        </w:tc>
      </w:tr>
      <w:tr w14:paraId="3C4C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6" w:type="dxa"/>
            <w:vAlign w:val="center"/>
          </w:tcPr>
          <w:p w14:paraId="70091CC2">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522" w:type="dxa"/>
            <w:vMerge w:val="continue"/>
            <w:vAlign w:val="center"/>
          </w:tcPr>
          <w:p w14:paraId="28A12EF2">
            <w:pPr>
              <w:jc w:val="center"/>
              <w:rPr>
                <w:rFonts w:hint="eastAsia" w:ascii="宋体" w:hAnsi="宋体" w:cs="宋体"/>
                <w:color w:val="auto"/>
                <w:sz w:val="24"/>
                <w:highlight w:val="none"/>
              </w:rPr>
            </w:pPr>
          </w:p>
        </w:tc>
        <w:tc>
          <w:tcPr>
            <w:tcW w:w="5846" w:type="dxa"/>
            <w:shd w:val="clear" w:color="auto" w:fill="FFFFFF"/>
            <w:vAlign w:val="center"/>
          </w:tcPr>
          <w:p w14:paraId="4A92C61E">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★自动填写表单：支持根据院方上传excel模版，系统可自动识别excel数据，并自动填写到页面表单（需提供系统截图）。</w:t>
            </w:r>
          </w:p>
        </w:tc>
        <w:tc>
          <w:tcPr>
            <w:tcW w:w="839" w:type="dxa"/>
            <w:vMerge w:val="continue"/>
            <w:shd w:val="clear" w:color="auto" w:fill="FFFFFF"/>
            <w:vAlign w:val="center"/>
          </w:tcPr>
          <w:p w14:paraId="7BC73C52">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2562044F">
            <w:pPr>
              <w:widowControl/>
              <w:jc w:val="center"/>
              <w:textAlignment w:val="center"/>
              <w:rPr>
                <w:rFonts w:hint="eastAsia" w:ascii="宋体" w:hAnsi="宋体" w:cs="宋体"/>
                <w:color w:val="auto"/>
                <w:kern w:val="0"/>
                <w:sz w:val="24"/>
                <w:highlight w:val="none"/>
                <w:lang w:bidi="ar"/>
              </w:rPr>
            </w:pPr>
          </w:p>
        </w:tc>
      </w:tr>
      <w:tr w14:paraId="2566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FAF98FA">
            <w:pPr>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522" w:type="dxa"/>
            <w:vMerge w:val="continue"/>
            <w:vAlign w:val="center"/>
          </w:tcPr>
          <w:p w14:paraId="1E8C939A">
            <w:pPr>
              <w:jc w:val="center"/>
              <w:rPr>
                <w:rFonts w:hint="eastAsia" w:ascii="宋体" w:hAnsi="宋体" w:cs="宋体"/>
                <w:color w:val="auto"/>
                <w:sz w:val="24"/>
                <w:highlight w:val="none"/>
              </w:rPr>
            </w:pPr>
          </w:p>
        </w:tc>
        <w:tc>
          <w:tcPr>
            <w:tcW w:w="5846" w:type="dxa"/>
            <w:shd w:val="clear" w:color="auto" w:fill="FFFFFF"/>
            <w:vAlign w:val="center"/>
          </w:tcPr>
          <w:p w14:paraId="12073A30">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支持投诉人与患者信息的同源处理，支持在院投诉患者与信息平台数据的同源处理，快速提取数据，减轻人员录入工作量。</w:t>
            </w:r>
          </w:p>
        </w:tc>
        <w:tc>
          <w:tcPr>
            <w:tcW w:w="839" w:type="dxa"/>
            <w:vMerge w:val="continue"/>
            <w:shd w:val="clear" w:color="auto" w:fill="FFFFFF"/>
            <w:vAlign w:val="center"/>
          </w:tcPr>
          <w:p w14:paraId="3A50029A">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2A80AC82">
            <w:pPr>
              <w:widowControl/>
              <w:jc w:val="center"/>
              <w:textAlignment w:val="center"/>
              <w:rPr>
                <w:rFonts w:hint="eastAsia" w:ascii="宋体" w:hAnsi="宋体" w:cs="宋体"/>
                <w:color w:val="auto"/>
                <w:kern w:val="0"/>
                <w:sz w:val="24"/>
                <w:highlight w:val="none"/>
                <w:lang w:bidi="ar"/>
              </w:rPr>
            </w:pPr>
          </w:p>
        </w:tc>
      </w:tr>
      <w:tr w14:paraId="1BF2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7002BDCD">
            <w:pPr>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522" w:type="dxa"/>
            <w:vMerge w:val="continue"/>
            <w:vAlign w:val="center"/>
          </w:tcPr>
          <w:p w14:paraId="3438474D">
            <w:pPr>
              <w:rPr>
                <w:rFonts w:hint="eastAsia" w:ascii="宋体" w:hAnsi="宋体" w:cs="宋体"/>
                <w:color w:val="auto"/>
                <w:sz w:val="24"/>
                <w:highlight w:val="none"/>
              </w:rPr>
            </w:pPr>
          </w:p>
        </w:tc>
        <w:tc>
          <w:tcPr>
            <w:tcW w:w="5846" w:type="dxa"/>
            <w:shd w:val="clear" w:color="auto" w:fill="FFFFFF"/>
            <w:vAlign w:val="center"/>
          </w:tcPr>
          <w:p w14:paraId="6E14291D">
            <w:pPr>
              <w:rPr>
                <w:rFonts w:hint="eastAsia" w:ascii="宋体" w:hAnsi="宋体" w:cs="宋体"/>
                <w:color w:val="auto"/>
                <w:sz w:val="24"/>
                <w:highlight w:val="none"/>
              </w:rPr>
            </w:pPr>
            <w:r>
              <w:rPr>
                <w:rFonts w:hint="eastAsia" w:ascii="宋体" w:hAnsi="宋体" w:cs="宋体"/>
                <w:color w:val="auto"/>
                <w:sz w:val="24"/>
                <w:highlight w:val="none"/>
              </w:rPr>
              <w:t>支持原始投诉信息材料以附件上传形式保存，支持.jpg、.png、.pdf等文件格式，并以所见即所得的智能预览方式。</w:t>
            </w:r>
          </w:p>
        </w:tc>
        <w:tc>
          <w:tcPr>
            <w:tcW w:w="839" w:type="dxa"/>
            <w:vMerge w:val="continue"/>
            <w:shd w:val="clear" w:color="auto" w:fill="FFFFFF"/>
            <w:vAlign w:val="center"/>
          </w:tcPr>
          <w:p w14:paraId="167A3D11">
            <w:pPr>
              <w:jc w:val="center"/>
              <w:rPr>
                <w:rFonts w:hint="eastAsia" w:ascii="宋体" w:hAnsi="宋体" w:cs="宋体"/>
                <w:color w:val="auto"/>
                <w:sz w:val="24"/>
                <w:highlight w:val="none"/>
              </w:rPr>
            </w:pPr>
          </w:p>
        </w:tc>
        <w:tc>
          <w:tcPr>
            <w:tcW w:w="728" w:type="dxa"/>
            <w:vMerge w:val="continue"/>
            <w:shd w:val="clear" w:color="auto" w:fill="FFFFFF"/>
            <w:vAlign w:val="center"/>
          </w:tcPr>
          <w:p w14:paraId="6A856EA5">
            <w:pPr>
              <w:jc w:val="center"/>
              <w:rPr>
                <w:rFonts w:hint="eastAsia" w:ascii="宋体" w:hAnsi="宋体" w:cs="宋体"/>
                <w:color w:val="auto"/>
                <w:sz w:val="24"/>
                <w:highlight w:val="none"/>
              </w:rPr>
            </w:pPr>
          </w:p>
        </w:tc>
      </w:tr>
      <w:tr w14:paraId="4993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16" w:type="dxa"/>
            <w:vAlign w:val="center"/>
          </w:tcPr>
          <w:p w14:paraId="44711A3F">
            <w:pPr>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522" w:type="dxa"/>
            <w:vMerge w:val="continue"/>
            <w:vAlign w:val="center"/>
          </w:tcPr>
          <w:p w14:paraId="4208CF15">
            <w:pPr>
              <w:rPr>
                <w:rFonts w:hint="eastAsia" w:ascii="宋体" w:hAnsi="宋体" w:cs="宋体"/>
                <w:color w:val="auto"/>
                <w:sz w:val="24"/>
                <w:highlight w:val="none"/>
              </w:rPr>
            </w:pPr>
          </w:p>
        </w:tc>
        <w:tc>
          <w:tcPr>
            <w:tcW w:w="5846" w:type="dxa"/>
            <w:shd w:val="clear" w:color="auto" w:fill="FFFFFF"/>
            <w:vAlign w:val="center"/>
          </w:tcPr>
          <w:p w14:paraId="66FD3D8E">
            <w:pPr>
              <w:rPr>
                <w:rFonts w:hint="eastAsia" w:ascii="宋体" w:hAnsi="宋体" w:cs="宋体"/>
                <w:color w:val="auto"/>
                <w:sz w:val="24"/>
                <w:highlight w:val="none"/>
              </w:rPr>
            </w:pPr>
            <w:r>
              <w:rPr>
                <w:rFonts w:ascii="宋体" w:hAnsi="宋体" w:cs="宋体"/>
                <w:color w:val="auto"/>
                <w:sz w:val="24"/>
                <w:highlight w:val="none"/>
              </w:rPr>
              <w:t>▲</w:t>
            </w:r>
            <w:r>
              <w:rPr>
                <w:rFonts w:hint="eastAsia" w:ascii="宋体" w:hAnsi="宋体" w:cs="宋体"/>
                <w:color w:val="auto"/>
                <w:sz w:val="24"/>
                <w:highlight w:val="none"/>
                <w:shd w:val="clear" w:color="auto" w:fill="FDFDFE"/>
              </w:rPr>
              <w:t>支持OCR技术自动识别投诉单图片中的信息，并精准提取出对应的文字内容</w:t>
            </w:r>
            <w:r>
              <w:rPr>
                <w:rFonts w:hint="eastAsia" w:ascii="宋体" w:hAnsi="宋体" w:cs="宋体"/>
                <w:color w:val="auto"/>
                <w:kern w:val="0"/>
                <w:sz w:val="24"/>
                <w:highlight w:val="none"/>
                <w:lang w:bidi="ar"/>
              </w:rPr>
              <w:t>（需提供系统截图）</w:t>
            </w:r>
            <w:r>
              <w:rPr>
                <w:rFonts w:hint="eastAsia" w:ascii="宋体" w:hAnsi="宋体" w:cs="宋体"/>
                <w:color w:val="auto"/>
                <w:sz w:val="24"/>
                <w:highlight w:val="none"/>
              </w:rPr>
              <w:t>。</w:t>
            </w:r>
          </w:p>
        </w:tc>
        <w:tc>
          <w:tcPr>
            <w:tcW w:w="839" w:type="dxa"/>
            <w:vMerge w:val="continue"/>
            <w:shd w:val="clear" w:color="auto" w:fill="FFFFFF"/>
            <w:vAlign w:val="center"/>
          </w:tcPr>
          <w:p w14:paraId="1C2F6421">
            <w:pPr>
              <w:jc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6120FCE9">
            <w:pPr>
              <w:jc w:val="center"/>
              <w:rPr>
                <w:rFonts w:hint="eastAsia" w:ascii="宋体" w:hAnsi="宋体" w:cs="宋体"/>
                <w:color w:val="auto"/>
                <w:kern w:val="0"/>
                <w:sz w:val="24"/>
                <w:highlight w:val="none"/>
                <w:lang w:bidi="ar"/>
              </w:rPr>
            </w:pPr>
          </w:p>
        </w:tc>
      </w:tr>
      <w:tr w14:paraId="45F1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34554D47">
            <w:pPr>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1522" w:type="dxa"/>
            <w:shd w:val="clear" w:color="auto" w:fill="FFFFFF"/>
            <w:vAlign w:val="center"/>
          </w:tcPr>
          <w:p w14:paraId="47827C40">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投诉中心</w:t>
            </w:r>
          </w:p>
        </w:tc>
        <w:tc>
          <w:tcPr>
            <w:tcW w:w="5846" w:type="dxa"/>
            <w:shd w:val="clear" w:color="auto" w:fill="FFFFFF"/>
            <w:vAlign w:val="center"/>
          </w:tcPr>
          <w:p w14:paraId="73E58CD2">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★支持医务处对正在发生的投诉事件详细信息进行查看及处理（需提供系统截图）。</w:t>
            </w:r>
          </w:p>
        </w:tc>
        <w:tc>
          <w:tcPr>
            <w:tcW w:w="839" w:type="dxa"/>
            <w:vMerge w:val="continue"/>
            <w:shd w:val="clear" w:color="auto" w:fill="FFFFFF"/>
            <w:vAlign w:val="center"/>
          </w:tcPr>
          <w:p w14:paraId="485851DE">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7F499BF8">
            <w:pPr>
              <w:widowControl/>
              <w:jc w:val="center"/>
              <w:textAlignment w:val="center"/>
              <w:rPr>
                <w:rFonts w:hint="eastAsia" w:ascii="宋体" w:hAnsi="宋体" w:cs="宋体"/>
                <w:color w:val="auto"/>
                <w:kern w:val="0"/>
                <w:sz w:val="24"/>
                <w:highlight w:val="none"/>
                <w:lang w:bidi="ar"/>
              </w:rPr>
            </w:pPr>
          </w:p>
        </w:tc>
      </w:tr>
      <w:tr w14:paraId="410FB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A545B1D">
            <w:pPr>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1522" w:type="dxa"/>
            <w:shd w:val="clear" w:color="auto" w:fill="FFFFFF"/>
            <w:vAlign w:val="center"/>
          </w:tcPr>
          <w:p w14:paraId="71384964">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事件进度追踪</w:t>
            </w:r>
          </w:p>
        </w:tc>
        <w:tc>
          <w:tcPr>
            <w:tcW w:w="5846" w:type="dxa"/>
            <w:shd w:val="clear" w:color="auto" w:fill="FFFFFF"/>
            <w:vAlign w:val="center"/>
          </w:tcPr>
          <w:p w14:paraId="176463B6">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支持医务处可视化方式查看各项投诉事件的处理进度。</w:t>
            </w:r>
          </w:p>
        </w:tc>
        <w:tc>
          <w:tcPr>
            <w:tcW w:w="839" w:type="dxa"/>
            <w:vMerge w:val="continue"/>
            <w:shd w:val="clear" w:color="auto" w:fill="FFFFFF"/>
            <w:vAlign w:val="center"/>
          </w:tcPr>
          <w:p w14:paraId="015203A1">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4261E80B">
            <w:pPr>
              <w:widowControl/>
              <w:jc w:val="center"/>
              <w:textAlignment w:val="center"/>
              <w:rPr>
                <w:rFonts w:hint="eastAsia" w:ascii="宋体" w:hAnsi="宋体" w:cs="宋体"/>
                <w:color w:val="auto"/>
                <w:kern w:val="0"/>
                <w:sz w:val="24"/>
                <w:highlight w:val="none"/>
                <w:lang w:bidi="ar"/>
              </w:rPr>
            </w:pPr>
          </w:p>
        </w:tc>
      </w:tr>
      <w:tr w14:paraId="63B5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3BD4D8A">
            <w:pPr>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1522" w:type="dxa"/>
            <w:shd w:val="clear" w:color="auto" w:fill="FFFFFF"/>
            <w:vAlign w:val="center"/>
          </w:tcPr>
          <w:p w14:paraId="60545EBA">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事件超时提醒</w:t>
            </w:r>
          </w:p>
        </w:tc>
        <w:tc>
          <w:tcPr>
            <w:tcW w:w="5846" w:type="dxa"/>
            <w:shd w:val="clear" w:color="auto" w:fill="FFFFFF"/>
            <w:vAlign w:val="center"/>
          </w:tcPr>
          <w:p w14:paraId="1FC2FD3C">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★支持投诉事件处理超时提醒，对重要紧急、即将超时、已超时的案件进行督促处理，并用图标或颜色区分，支持一键提醒相关职能部门及时处理（需提供系统截图）。</w:t>
            </w:r>
          </w:p>
        </w:tc>
        <w:tc>
          <w:tcPr>
            <w:tcW w:w="839" w:type="dxa"/>
            <w:vMerge w:val="continue"/>
            <w:shd w:val="clear" w:color="auto" w:fill="FFFFFF"/>
            <w:vAlign w:val="center"/>
          </w:tcPr>
          <w:p w14:paraId="16799D59">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52961BCC">
            <w:pPr>
              <w:widowControl/>
              <w:jc w:val="center"/>
              <w:textAlignment w:val="center"/>
              <w:rPr>
                <w:rFonts w:hint="eastAsia" w:ascii="宋体" w:hAnsi="宋体" w:cs="宋体"/>
                <w:color w:val="auto"/>
                <w:kern w:val="0"/>
                <w:sz w:val="24"/>
                <w:highlight w:val="none"/>
                <w:lang w:bidi="ar"/>
              </w:rPr>
            </w:pPr>
          </w:p>
        </w:tc>
      </w:tr>
      <w:tr w14:paraId="1C2D1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3DFEC748">
            <w:pPr>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1522" w:type="dxa"/>
            <w:shd w:val="clear" w:color="auto" w:fill="FFFFFF"/>
            <w:vAlign w:val="center"/>
          </w:tcPr>
          <w:p w14:paraId="722FE9F9">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任务节点提醒</w:t>
            </w:r>
          </w:p>
        </w:tc>
        <w:tc>
          <w:tcPr>
            <w:tcW w:w="5846" w:type="dxa"/>
            <w:shd w:val="clear" w:color="auto" w:fill="FFFFFF"/>
            <w:vAlign w:val="center"/>
          </w:tcPr>
          <w:p w14:paraId="332FE6F9">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支持对投诉事件对应处理环节责任人进行系统内通知，短信等方式提醒。</w:t>
            </w:r>
          </w:p>
        </w:tc>
        <w:tc>
          <w:tcPr>
            <w:tcW w:w="839" w:type="dxa"/>
            <w:vMerge w:val="continue"/>
            <w:shd w:val="clear" w:color="auto" w:fill="FFFFFF"/>
            <w:vAlign w:val="center"/>
          </w:tcPr>
          <w:p w14:paraId="4FBCBF7D">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170B00DE">
            <w:pPr>
              <w:widowControl/>
              <w:jc w:val="center"/>
              <w:textAlignment w:val="center"/>
              <w:rPr>
                <w:rFonts w:hint="eastAsia" w:ascii="宋体" w:hAnsi="宋体" w:cs="宋体"/>
                <w:color w:val="auto"/>
                <w:kern w:val="0"/>
                <w:sz w:val="24"/>
                <w:highlight w:val="none"/>
                <w:lang w:bidi="ar"/>
              </w:rPr>
            </w:pPr>
          </w:p>
        </w:tc>
      </w:tr>
      <w:tr w14:paraId="150C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081A488E">
            <w:pPr>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1522" w:type="dxa"/>
            <w:shd w:val="clear" w:color="auto" w:fill="FFFFFF"/>
            <w:vAlign w:val="center"/>
          </w:tcPr>
          <w:p w14:paraId="735E1C2A">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重复投诉提醒</w:t>
            </w:r>
          </w:p>
        </w:tc>
        <w:tc>
          <w:tcPr>
            <w:tcW w:w="5846" w:type="dxa"/>
            <w:shd w:val="clear" w:color="auto" w:fill="FFFFFF"/>
            <w:vAlign w:val="center"/>
          </w:tcPr>
          <w:p w14:paraId="7C6B7A61">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w:t>
            </w:r>
            <w:r>
              <w:rPr>
                <w:rFonts w:hint="eastAsia" w:ascii="宋体" w:hAnsi="宋体" w:cs="宋体"/>
                <w:color w:val="auto"/>
                <w:sz w:val="24"/>
                <w:highlight w:val="none"/>
              </w:rPr>
              <w:t>对于发生重复投诉的患者，可定义标签，</w:t>
            </w:r>
            <w:r>
              <w:rPr>
                <w:rFonts w:hint="eastAsia" w:ascii="宋体" w:hAnsi="宋体" w:cs="宋体"/>
                <w:color w:val="auto"/>
                <w:kern w:val="0"/>
                <w:sz w:val="24"/>
                <w:highlight w:val="none"/>
                <w:lang w:bidi="ar"/>
              </w:rPr>
              <w:t>在再入院时进行预警，提醒医务处及相关部门重点关注，避免发生类似纠纷事件（需提供系统截图）。</w:t>
            </w:r>
          </w:p>
        </w:tc>
        <w:tc>
          <w:tcPr>
            <w:tcW w:w="839" w:type="dxa"/>
            <w:vMerge w:val="continue"/>
            <w:shd w:val="clear" w:color="auto" w:fill="FFFFFF"/>
            <w:vAlign w:val="center"/>
          </w:tcPr>
          <w:p w14:paraId="4242D6A5">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19315814">
            <w:pPr>
              <w:widowControl/>
              <w:jc w:val="center"/>
              <w:textAlignment w:val="center"/>
              <w:rPr>
                <w:rFonts w:hint="eastAsia" w:ascii="宋体" w:hAnsi="宋体" w:cs="宋体"/>
                <w:color w:val="auto"/>
                <w:kern w:val="0"/>
                <w:sz w:val="24"/>
                <w:highlight w:val="none"/>
                <w:lang w:bidi="ar"/>
              </w:rPr>
            </w:pPr>
          </w:p>
        </w:tc>
      </w:tr>
      <w:tr w14:paraId="305D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224129B9">
            <w:pPr>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1522" w:type="dxa"/>
            <w:shd w:val="clear" w:color="auto" w:fill="FFFFFF"/>
            <w:vAlign w:val="center"/>
          </w:tcPr>
          <w:p w14:paraId="38EA658A">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投诉风险预警</w:t>
            </w:r>
          </w:p>
        </w:tc>
        <w:tc>
          <w:tcPr>
            <w:tcW w:w="5846" w:type="dxa"/>
            <w:shd w:val="clear" w:color="auto" w:fill="FFFFFF"/>
            <w:vAlign w:val="center"/>
          </w:tcPr>
          <w:p w14:paraId="134635FA">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★支持展示在院投诉患者最新的风险预警级别（需提供系统截图）。</w:t>
            </w:r>
          </w:p>
        </w:tc>
        <w:tc>
          <w:tcPr>
            <w:tcW w:w="839" w:type="dxa"/>
            <w:vMerge w:val="continue"/>
            <w:shd w:val="clear" w:color="auto" w:fill="FFFFFF"/>
            <w:vAlign w:val="center"/>
          </w:tcPr>
          <w:p w14:paraId="07917F4E">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73CD91C0">
            <w:pPr>
              <w:widowControl/>
              <w:jc w:val="center"/>
              <w:textAlignment w:val="center"/>
              <w:rPr>
                <w:rFonts w:hint="eastAsia" w:ascii="宋体" w:hAnsi="宋体" w:cs="宋体"/>
                <w:color w:val="auto"/>
                <w:kern w:val="0"/>
                <w:sz w:val="24"/>
                <w:highlight w:val="none"/>
                <w:lang w:bidi="ar"/>
              </w:rPr>
            </w:pPr>
          </w:p>
        </w:tc>
      </w:tr>
      <w:tr w14:paraId="4D57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08135A3A">
            <w:pPr>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1522" w:type="dxa"/>
            <w:shd w:val="clear" w:color="auto" w:fill="FFFFFF"/>
            <w:vAlign w:val="center"/>
          </w:tcPr>
          <w:p w14:paraId="69791B44">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预警指标详情</w:t>
            </w:r>
          </w:p>
        </w:tc>
        <w:tc>
          <w:tcPr>
            <w:tcW w:w="5846" w:type="dxa"/>
            <w:shd w:val="clear" w:color="auto" w:fill="FFFFFF"/>
            <w:vAlign w:val="center"/>
          </w:tcPr>
          <w:p w14:paraId="6617E262">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★支持展示在院投诉患者详细的风险指标信息（需提供系统截图）。</w:t>
            </w:r>
          </w:p>
        </w:tc>
        <w:tc>
          <w:tcPr>
            <w:tcW w:w="839" w:type="dxa"/>
            <w:vMerge w:val="continue"/>
            <w:shd w:val="clear" w:color="auto" w:fill="FFFFFF"/>
            <w:vAlign w:val="center"/>
          </w:tcPr>
          <w:p w14:paraId="3D54ABE8">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7453C91B">
            <w:pPr>
              <w:widowControl/>
              <w:jc w:val="center"/>
              <w:textAlignment w:val="center"/>
              <w:rPr>
                <w:rFonts w:hint="eastAsia" w:ascii="宋体" w:hAnsi="宋体" w:cs="宋体"/>
                <w:color w:val="auto"/>
                <w:kern w:val="0"/>
                <w:sz w:val="24"/>
                <w:highlight w:val="none"/>
                <w:lang w:bidi="ar"/>
              </w:rPr>
            </w:pPr>
          </w:p>
        </w:tc>
      </w:tr>
      <w:tr w14:paraId="2B8A4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F571BDF">
            <w:pPr>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1522" w:type="dxa"/>
            <w:shd w:val="clear" w:color="auto" w:fill="FFFFFF"/>
            <w:vAlign w:val="center"/>
          </w:tcPr>
          <w:p w14:paraId="6BD50563">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预警工单详情</w:t>
            </w:r>
          </w:p>
        </w:tc>
        <w:tc>
          <w:tcPr>
            <w:tcW w:w="5846" w:type="dxa"/>
            <w:shd w:val="clear" w:color="auto" w:fill="FFFFFF"/>
            <w:vAlign w:val="center"/>
          </w:tcPr>
          <w:p w14:paraId="663C9CD3">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★支持展示在院投诉患者的风控干预工单，便于医务工作者综合分析投诉原因及解决方案（需提供系统截图）。</w:t>
            </w:r>
          </w:p>
        </w:tc>
        <w:tc>
          <w:tcPr>
            <w:tcW w:w="839" w:type="dxa"/>
            <w:vMerge w:val="continue"/>
            <w:shd w:val="clear" w:color="auto" w:fill="FFFFFF"/>
            <w:vAlign w:val="center"/>
          </w:tcPr>
          <w:p w14:paraId="3E594037">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01015799">
            <w:pPr>
              <w:widowControl/>
              <w:jc w:val="center"/>
              <w:textAlignment w:val="center"/>
              <w:rPr>
                <w:rFonts w:hint="eastAsia" w:ascii="宋体" w:hAnsi="宋体" w:cs="宋体"/>
                <w:color w:val="auto"/>
                <w:kern w:val="0"/>
                <w:sz w:val="24"/>
                <w:highlight w:val="none"/>
                <w:lang w:bidi="ar"/>
              </w:rPr>
            </w:pPr>
          </w:p>
        </w:tc>
      </w:tr>
      <w:tr w14:paraId="415AC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016" w:type="dxa"/>
            <w:vAlign w:val="center"/>
          </w:tcPr>
          <w:p w14:paraId="72934D15">
            <w:pPr>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1522" w:type="dxa"/>
            <w:shd w:val="clear" w:color="auto" w:fill="FFFFFF"/>
            <w:vAlign w:val="center"/>
          </w:tcPr>
          <w:p w14:paraId="18011D99">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预警趋势详情</w:t>
            </w:r>
          </w:p>
        </w:tc>
        <w:tc>
          <w:tcPr>
            <w:tcW w:w="5846" w:type="dxa"/>
            <w:shd w:val="clear" w:color="auto" w:fill="FFFFFF"/>
            <w:vAlign w:val="center"/>
          </w:tcPr>
          <w:p w14:paraId="7DD9354B">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★支持展示在院投诉患者的历史风险预警等级趋势图（需提供系统截图）。</w:t>
            </w:r>
          </w:p>
        </w:tc>
        <w:tc>
          <w:tcPr>
            <w:tcW w:w="839" w:type="dxa"/>
            <w:vMerge w:val="continue"/>
            <w:shd w:val="clear" w:color="auto" w:fill="FFFFFF"/>
            <w:vAlign w:val="center"/>
          </w:tcPr>
          <w:p w14:paraId="10DE7FBA">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42D6B140">
            <w:pPr>
              <w:widowControl/>
              <w:jc w:val="center"/>
              <w:textAlignment w:val="center"/>
              <w:rPr>
                <w:rFonts w:hint="eastAsia" w:ascii="宋体" w:hAnsi="宋体" w:cs="宋体"/>
                <w:color w:val="auto"/>
                <w:kern w:val="0"/>
                <w:sz w:val="24"/>
                <w:highlight w:val="none"/>
                <w:lang w:bidi="ar"/>
              </w:rPr>
            </w:pPr>
          </w:p>
        </w:tc>
      </w:tr>
      <w:tr w14:paraId="45CF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16" w:type="dxa"/>
            <w:vAlign w:val="center"/>
          </w:tcPr>
          <w:p w14:paraId="5229DF4B">
            <w:pPr>
              <w:jc w:val="center"/>
              <w:rPr>
                <w:rFonts w:hint="eastAsia" w:ascii="宋体" w:hAnsi="宋体" w:cs="宋体"/>
                <w:color w:val="auto"/>
                <w:sz w:val="24"/>
                <w:highlight w:val="none"/>
              </w:rPr>
            </w:pPr>
            <w:r>
              <w:rPr>
                <w:rFonts w:hint="eastAsia" w:ascii="宋体" w:hAnsi="宋体" w:cs="宋体"/>
                <w:color w:val="auto"/>
                <w:sz w:val="24"/>
                <w:highlight w:val="none"/>
              </w:rPr>
              <w:t>15</w:t>
            </w:r>
          </w:p>
        </w:tc>
        <w:tc>
          <w:tcPr>
            <w:tcW w:w="1522" w:type="dxa"/>
            <w:shd w:val="clear" w:color="auto" w:fill="FFFFFF"/>
            <w:vAlign w:val="center"/>
          </w:tcPr>
          <w:p w14:paraId="2B681CDC">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在院诊疗概况</w:t>
            </w:r>
          </w:p>
        </w:tc>
        <w:tc>
          <w:tcPr>
            <w:tcW w:w="5846" w:type="dxa"/>
            <w:shd w:val="clear" w:color="auto" w:fill="FFFFFF"/>
            <w:vAlign w:val="center"/>
          </w:tcPr>
          <w:p w14:paraId="5427EAE1">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★支持展示在院投诉患者的用药、手术开展等详情信息（需提供系统截图）。</w:t>
            </w:r>
          </w:p>
        </w:tc>
        <w:tc>
          <w:tcPr>
            <w:tcW w:w="839" w:type="dxa"/>
            <w:vMerge w:val="continue"/>
            <w:shd w:val="clear" w:color="auto" w:fill="FFFFFF"/>
            <w:vAlign w:val="center"/>
          </w:tcPr>
          <w:p w14:paraId="1A6A941B">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05C08589">
            <w:pPr>
              <w:widowControl/>
              <w:jc w:val="center"/>
              <w:textAlignment w:val="center"/>
              <w:rPr>
                <w:rFonts w:hint="eastAsia" w:ascii="宋体" w:hAnsi="宋体" w:cs="宋体"/>
                <w:color w:val="auto"/>
                <w:kern w:val="0"/>
                <w:sz w:val="24"/>
                <w:highlight w:val="none"/>
                <w:lang w:bidi="ar"/>
              </w:rPr>
            </w:pPr>
          </w:p>
        </w:tc>
      </w:tr>
      <w:tr w14:paraId="5C94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79FEEE9">
            <w:pPr>
              <w:jc w:val="center"/>
              <w:rPr>
                <w:rFonts w:hint="eastAsia" w:ascii="宋体" w:hAnsi="宋体" w:cs="宋体"/>
                <w:color w:val="auto"/>
                <w:sz w:val="24"/>
                <w:highlight w:val="none"/>
              </w:rPr>
            </w:pPr>
            <w:r>
              <w:rPr>
                <w:rFonts w:hint="eastAsia" w:ascii="宋体" w:hAnsi="宋体" w:cs="宋体"/>
                <w:color w:val="auto"/>
                <w:sz w:val="24"/>
                <w:highlight w:val="none"/>
              </w:rPr>
              <w:t>16</w:t>
            </w:r>
          </w:p>
        </w:tc>
        <w:tc>
          <w:tcPr>
            <w:tcW w:w="1522" w:type="dxa"/>
            <w:shd w:val="clear" w:color="auto" w:fill="FFFFFF"/>
            <w:vAlign w:val="center"/>
          </w:tcPr>
          <w:p w14:paraId="5D9D3A1C">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投诉量分析</w:t>
            </w:r>
          </w:p>
        </w:tc>
        <w:tc>
          <w:tcPr>
            <w:tcW w:w="5846" w:type="dxa"/>
            <w:shd w:val="clear" w:color="auto" w:fill="FFFFFF"/>
            <w:vAlign w:val="center"/>
          </w:tcPr>
          <w:p w14:paraId="73CB195D">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★支持医务处查看每日科室投诉量、每日全院投诉案件量、每月各科室投诉量、科室投诉排名及平均处理时间（需提供系统截图）；支持将当前页面信息导出为excel表格文件。</w:t>
            </w:r>
          </w:p>
        </w:tc>
        <w:tc>
          <w:tcPr>
            <w:tcW w:w="839" w:type="dxa"/>
            <w:vMerge w:val="continue"/>
            <w:shd w:val="clear" w:color="auto" w:fill="FFFFFF"/>
            <w:vAlign w:val="center"/>
          </w:tcPr>
          <w:p w14:paraId="5198F2C7">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73A6AF01">
            <w:pPr>
              <w:widowControl/>
              <w:jc w:val="center"/>
              <w:textAlignment w:val="center"/>
              <w:rPr>
                <w:rFonts w:hint="eastAsia" w:ascii="宋体" w:hAnsi="宋体" w:cs="宋体"/>
                <w:color w:val="auto"/>
                <w:kern w:val="0"/>
                <w:sz w:val="24"/>
                <w:highlight w:val="none"/>
                <w:lang w:bidi="ar"/>
              </w:rPr>
            </w:pPr>
          </w:p>
        </w:tc>
      </w:tr>
      <w:tr w14:paraId="2B0FC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126DB6B">
            <w:pPr>
              <w:jc w:val="center"/>
              <w:rPr>
                <w:rFonts w:hint="eastAsia" w:ascii="宋体" w:hAnsi="宋体" w:cs="宋体"/>
                <w:color w:val="auto"/>
                <w:sz w:val="24"/>
                <w:highlight w:val="none"/>
              </w:rPr>
            </w:pPr>
            <w:r>
              <w:rPr>
                <w:rFonts w:hint="eastAsia" w:ascii="宋体" w:hAnsi="宋体" w:cs="宋体"/>
                <w:color w:val="auto"/>
                <w:sz w:val="24"/>
                <w:highlight w:val="none"/>
              </w:rPr>
              <w:t>17</w:t>
            </w:r>
          </w:p>
        </w:tc>
        <w:tc>
          <w:tcPr>
            <w:tcW w:w="1522" w:type="dxa"/>
            <w:vMerge w:val="restart"/>
            <w:shd w:val="clear" w:color="auto" w:fill="FFFFFF"/>
            <w:vAlign w:val="center"/>
          </w:tcPr>
          <w:p w14:paraId="5ABC7D53">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投诉原因分析</w:t>
            </w:r>
          </w:p>
        </w:tc>
        <w:tc>
          <w:tcPr>
            <w:tcW w:w="5846" w:type="dxa"/>
            <w:shd w:val="clear" w:color="auto" w:fill="FFFFFF"/>
            <w:vAlign w:val="center"/>
          </w:tcPr>
          <w:p w14:paraId="0C20B0BF">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★支持医务处对投诉就医各个环节进行分析，支持折线图，环形图等展示形式，可导出为图片或excel格式（需提供系统截图）。</w:t>
            </w:r>
          </w:p>
        </w:tc>
        <w:tc>
          <w:tcPr>
            <w:tcW w:w="839" w:type="dxa"/>
            <w:vMerge w:val="continue"/>
            <w:shd w:val="clear" w:color="auto" w:fill="FFFFFF"/>
            <w:vAlign w:val="center"/>
          </w:tcPr>
          <w:p w14:paraId="5D294FD3">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14E83396">
            <w:pPr>
              <w:widowControl/>
              <w:jc w:val="center"/>
              <w:textAlignment w:val="center"/>
              <w:rPr>
                <w:rFonts w:hint="eastAsia" w:ascii="宋体" w:hAnsi="宋体" w:cs="宋体"/>
                <w:color w:val="auto"/>
                <w:kern w:val="0"/>
                <w:sz w:val="24"/>
                <w:highlight w:val="none"/>
                <w:lang w:bidi="ar"/>
              </w:rPr>
            </w:pPr>
          </w:p>
        </w:tc>
      </w:tr>
      <w:tr w14:paraId="4E04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6F164FF">
            <w:pPr>
              <w:jc w:val="center"/>
              <w:rPr>
                <w:rFonts w:hint="eastAsia" w:ascii="宋体" w:hAnsi="宋体" w:cs="宋体"/>
                <w:color w:val="auto"/>
                <w:sz w:val="24"/>
                <w:highlight w:val="none"/>
              </w:rPr>
            </w:pPr>
            <w:r>
              <w:rPr>
                <w:rFonts w:hint="eastAsia" w:ascii="宋体" w:hAnsi="宋体" w:cs="宋体"/>
                <w:color w:val="auto"/>
                <w:sz w:val="24"/>
                <w:highlight w:val="none"/>
              </w:rPr>
              <w:t>18</w:t>
            </w:r>
          </w:p>
        </w:tc>
        <w:tc>
          <w:tcPr>
            <w:tcW w:w="1522" w:type="dxa"/>
            <w:vMerge w:val="continue"/>
            <w:shd w:val="clear" w:color="auto" w:fill="FFFFFF"/>
            <w:vAlign w:val="center"/>
          </w:tcPr>
          <w:p w14:paraId="45BC5AF6">
            <w:pPr>
              <w:widowControl/>
              <w:jc w:val="center"/>
              <w:textAlignment w:val="center"/>
              <w:rPr>
                <w:rFonts w:hint="eastAsia" w:ascii="宋体" w:hAnsi="宋体" w:cs="宋体"/>
                <w:color w:val="auto"/>
                <w:kern w:val="0"/>
                <w:sz w:val="24"/>
                <w:highlight w:val="none"/>
                <w:lang w:bidi="ar"/>
              </w:rPr>
            </w:pPr>
          </w:p>
        </w:tc>
        <w:tc>
          <w:tcPr>
            <w:tcW w:w="5846" w:type="dxa"/>
            <w:shd w:val="clear" w:color="auto" w:fill="FFFFFF"/>
            <w:vAlign w:val="center"/>
          </w:tcPr>
          <w:p w14:paraId="65FA5E6A">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★支持医务处对投诉事件的原因进行归类分析，支持柱状图、旭日图等展示形式，可导出为图片或excel格式（需提供系统截图）。</w:t>
            </w:r>
          </w:p>
        </w:tc>
        <w:tc>
          <w:tcPr>
            <w:tcW w:w="839" w:type="dxa"/>
            <w:vMerge w:val="continue"/>
            <w:shd w:val="clear" w:color="auto" w:fill="FFFFFF"/>
            <w:vAlign w:val="center"/>
          </w:tcPr>
          <w:p w14:paraId="5104FA8C">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470CB83B">
            <w:pPr>
              <w:widowControl/>
              <w:jc w:val="center"/>
              <w:textAlignment w:val="center"/>
              <w:rPr>
                <w:rFonts w:hint="eastAsia" w:ascii="宋体" w:hAnsi="宋体" w:cs="宋体"/>
                <w:color w:val="auto"/>
                <w:kern w:val="0"/>
                <w:sz w:val="24"/>
                <w:highlight w:val="none"/>
                <w:lang w:bidi="ar"/>
              </w:rPr>
            </w:pPr>
          </w:p>
        </w:tc>
      </w:tr>
      <w:tr w14:paraId="363F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20BF60D6">
            <w:pPr>
              <w:jc w:val="center"/>
              <w:rPr>
                <w:rFonts w:hint="eastAsia" w:ascii="宋体" w:hAnsi="宋体" w:cs="宋体"/>
                <w:color w:val="auto"/>
                <w:sz w:val="24"/>
                <w:highlight w:val="none"/>
              </w:rPr>
            </w:pPr>
            <w:r>
              <w:rPr>
                <w:rFonts w:hint="eastAsia" w:ascii="宋体" w:hAnsi="宋体" w:cs="宋体"/>
                <w:color w:val="auto"/>
                <w:sz w:val="24"/>
                <w:highlight w:val="none"/>
              </w:rPr>
              <w:t>19</w:t>
            </w:r>
          </w:p>
        </w:tc>
        <w:tc>
          <w:tcPr>
            <w:tcW w:w="1522" w:type="dxa"/>
            <w:vMerge w:val="continue"/>
            <w:shd w:val="clear" w:color="auto" w:fill="FFFFFF"/>
            <w:vAlign w:val="center"/>
          </w:tcPr>
          <w:p w14:paraId="68F2A48B">
            <w:pPr>
              <w:widowControl/>
              <w:jc w:val="center"/>
              <w:textAlignment w:val="center"/>
              <w:rPr>
                <w:rFonts w:hint="eastAsia" w:ascii="宋体" w:hAnsi="宋体" w:cs="宋体"/>
                <w:color w:val="auto"/>
                <w:kern w:val="0"/>
                <w:sz w:val="24"/>
                <w:highlight w:val="none"/>
                <w:lang w:bidi="ar"/>
              </w:rPr>
            </w:pPr>
          </w:p>
        </w:tc>
        <w:tc>
          <w:tcPr>
            <w:tcW w:w="5846" w:type="dxa"/>
            <w:shd w:val="clear" w:color="auto" w:fill="FFFFFF"/>
            <w:vAlign w:val="center"/>
          </w:tcPr>
          <w:p w14:paraId="3F9F482E">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★支持医务处对投诉事件的类型进行分析，支持图表、环形图等展示形式，可导出为图片或excel格式（需提供系统截图）。</w:t>
            </w:r>
          </w:p>
        </w:tc>
        <w:tc>
          <w:tcPr>
            <w:tcW w:w="839" w:type="dxa"/>
            <w:vMerge w:val="continue"/>
            <w:shd w:val="clear" w:color="auto" w:fill="FFFFFF"/>
            <w:vAlign w:val="center"/>
          </w:tcPr>
          <w:p w14:paraId="5CA0E4D3">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237763DF">
            <w:pPr>
              <w:widowControl/>
              <w:jc w:val="center"/>
              <w:textAlignment w:val="center"/>
              <w:rPr>
                <w:rFonts w:hint="eastAsia" w:ascii="宋体" w:hAnsi="宋体" w:cs="宋体"/>
                <w:color w:val="auto"/>
                <w:kern w:val="0"/>
                <w:sz w:val="24"/>
                <w:highlight w:val="none"/>
                <w:lang w:bidi="ar"/>
              </w:rPr>
            </w:pPr>
          </w:p>
        </w:tc>
      </w:tr>
      <w:tr w14:paraId="7B6F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2FCBAFB1">
            <w:pPr>
              <w:jc w:val="center"/>
              <w:rPr>
                <w:rFonts w:hint="eastAsia" w:ascii="宋体" w:hAnsi="宋体" w:cs="宋体"/>
                <w:color w:val="auto"/>
                <w:sz w:val="24"/>
                <w:highlight w:val="none"/>
              </w:rPr>
            </w:pPr>
            <w:r>
              <w:rPr>
                <w:rFonts w:hint="eastAsia" w:ascii="宋体" w:hAnsi="宋体" w:cs="宋体"/>
                <w:color w:val="auto"/>
                <w:sz w:val="24"/>
                <w:highlight w:val="none"/>
              </w:rPr>
              <w:t>20</w:t>
            </w:r>
          </w:p>
        </w:tc>
        <w:tc>
          <w:tcPr>
            <w:tcW w:w="1522" w:type="dxa"/>
            <w:vMerge w:val="restart"/>
            <w:shd w:val="clear" w:color="auto" w:fill="FFFFFF"/>
            <w:vAlign w:val="center"/>
          </w:tcPr>
          <w:p w14:paraId="341FE953">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在院案件</w:t>
            </w:r>
          </w:p>
        </w:tc>
        <w:tc>
          <w:tcPr>
            <w:tcW w:w="5846" w:type="dxa"/>
            <w:shd w:val="clear" w:color="auto" w:fill="FFFFFF"/>
            <w:vAlign w:val="center"/>
          </w:tcPr>
          <w:p w14:paraId="4746EEB1">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支持根据患者姓名、住院号、投诉人联系方式等条件进行数据查询，支持将查询结果以excel导出。</w:t>
            </w:r>
          </w:p>
        </w:tc>
        <w:tc>
          <w:tcPr>
            <w:tcW w:w="839" w:type="dxa"/>
            <w:vMerge w:val="continue"/>
            <w:shd w:val="clear" w:color="auto" w:fill="FFFFFF"/>
            <w:vAlign w:val="center"/>
          </w:tcPr>
          <w:p w14:paraId="073FD877">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376010BE">
            <w:pPr>
              <w:widowControl/>
              <w:jc w:val="center"/>
              <w:textAlignment w:val="center"/>
              <w:rPr>
                <w:rFonts w:hint="eastAsia" w:ascii="宋体" w:hAnsi="宋体" w:cs="宋体"/>
                <w:color w:val="auto"/>
                <w:kern w:val="0"/>
                <w:sz w:val="24"/>
                <w:highlight w:val="none"/>
                <w:lang w:bidi="ar"/>
              </w:rPr>
            </w:pPr>
          </w:p>
        </w:tc>
      </w:tr>
      <w:tr w14:paraId="258F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FA24096">
            <w:pPr>
              <w:jc w:val="center"/>
              <w:rPr>
                <w:rFonts w:hint="eastAsia" w:ascii="宋体" w:hAnsi="宋体" w:cs="宋体"/>
                <w:color w:val="auto"/>
                <w:sz w:val="24"/>
                <w:highlight w:val="none"/>
              </w:rPr>
            </w:pPr>
            <w:r>
              <w:rPr>
                <w:rFonts w:hint="eastAsia" w:ascii="宋体" w:hAnsi="宋体" w:cs="宋体"/>
                <w:color w:val="auto"/>
                <w:sz w:val="24"/>
                <w:highlight w:val="none"/>
              </w:rPr>
              <w:t>21</w:t>
            </w:r>
          </w:p>
        </w:tc>
        <w:tc>
          <w:tcPr>
            <w:tcW w:w="1522" w:type="dxa"/>
            <w:vMerge w:val="continue"/>
            <w:shd w:val="clear" w:color="auto" w:fill="FFFFFF"/>
            <w:vAlign w:val="center"/>
          </w:tcPr>
          <w:p w14:paraId="3E94B29A">
            <w:pPr>
              <w:widowControl/>
              <w:jc w:val="center"/>
              <w:textAlignment w:val="center"/>
              <w:rPr>
                <w:rFonts w:hint="eastAsia" w:ascii="宋体" w:hAnsi="宋体" w:cs="宋体"/>
                <w:color w:val="auto"/>
                <w:kern w:val="0"/>
                <w:sz w:val="24"/>
                <w:highlight w:val="none"/>
                <w:lang w:bidi="ar"/>
              </w:rPr>
            </w:pPr>
          </w:p>
        </w:tc>
        <w:tc>
          <w:tcPr>
            <w:tcW w:w="5846" w:type="dxa"/>
            <w:shd w:val="clear" w:color="auto" w:fill="FFFFFF"/>
            <w:vAlign w:val="center"/>
          </w:tcPr>
          <w:p w14:paraId="69949E60">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支持以列表形式展示在院投诉案件的信息，包括：患者姓名、患者性别、投诉科室、就诊科室、住院号、患者居住所在地、患者身份证号、投诉人联系方式、投诉人姓名、案件编号、投诉事由等信息。</w:t>
            </w:r>
          </w:p>
        </w:tc>
        <w:tc>
          <w:tcPr>
            <w:tcW w:w="839" w:type="dxa"/>
            <w:vMerge w:val="continue"/>
            <w:shd w:val="clear" w:color="auto" w:fill="FFFFFF"/>
            <w:vAlign w:val="center"/>
          </w:tcPr>
          <w:p w14:paraId="058CC051">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03BA8513">
            <w:pPr>
              <w:widowControl/>
              <w:jc w:val="center"/>
              <w:textAlignment w:val="center"/>
              <w:rPr>
                <w:rFonts w:hint="eastAsia" w:ascii="宋体" w:hAnsi="宋体" w:cs="宋体"/>
                <w:color w:val="auto"/>
                <w:kern w:val="0"/>
                <w:sz w:val="24"/>
                <w:highlight w:val="none"/>
                <w:lang w:bidi="ar"/>
              </w:rPr>
            </w:pPr>
          </w:p>
        </w:tc>
      </w:tr>
      <w:tr w14:paraId="66BD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8A02145">
            <w:pPr>
              <w:jc w:val="center"/>
              <w:rPr>
                <w:rFonts w:hint="eastAsia" w:ascii="宋体" w:hAnsi="宋体" w:cs="宋体"/>
                <w:color w:val="auto"/>
                <w:sz w:val="24"/>
                <w:highlight w:val="none"/>
              </w:rPr>
            </w:pPr>
            <w:r>
              <w:rPr>
                <w:rFonts w:hint="eastAsia" w:ascii="宋体" w:hAnsi="宋体" w:cs="宋体"/>
                <w:color w:val="auto"/>
                <w:sz w:val="24"/>
                <w:highlight w:val="none"/>
              </w:rPr>
              <w:t>22</w:t>
            </w:r>
          </w:p>
        </w:tc>
        <w:tc>
          <w:tcPr>
            <w:tcW w:w="1522" w:type="dxa"/>
            <w:vMerge w:val="restart"/>
            <w:shd w:val="clear" w:color="auto" w:fill="FFFFFF"/>
            <w:vAlign w:val="center"/>
          </w:tcPr>
          <w:p w14:paraId="522915DA">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案件汇总</w:t>
            </w:r>
          </w:p>
        </w:tc>
        <w:tc>
          <w:tcPr>
            <w:tcW w:w="5846" w:type="dxa"/>
            <w:shd w:val="clear" w:color="auto" w:fill="FFFFFF"/>
            <w:vAlign w:val="center"/>
          </w:tcPr>
          <w:p w14:paraId="0D383878">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支持根据投诉时间、投诉类型、患者姓名、住院号、投诉姓名、案件状态、受理类型、投诉科室等条件进行数据查询，支持将查询结果以excel导出。</w:t>
            </w:r>
          </w:p>
        </w:tc>
        <w:tc>
          <w:tcPr>
            <w:tcW w:w="839" w:type="dxa"/>
            <w:vMerge w:val="continue"/>
            <w:shd w:val="clear" w:color="auto" w:fill="FFFFFF"/>
            <w:vAlign w:val="center"/>
          </w:tcPr>
          <w:p w14:paraId="40DB1921">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305FD00B">
            <w:pPr>
              <w:widowControl/>
              <w:jc w:val="center"/>
              <w:textAlignment w:val="center"/>
              <w:rPr>
                <w:rFonts w:hint="eastAsia" w:ascii="宋体" w:hAnsi="宋体" w:cs="宋体"/>
                <w:color w:val="auto"/>
                <w:kern w:val="0"/>
                <w:sz w:val="24"/>
                <w:highlight w:val="none"/>
                <w:lang w:bidi="ar"/>
              </w:rPr>
            </w:pPr>
          </w:p>
        </w:tc>
      </w:tr>
      <w:tr w14:paraId="1877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7EA7EFD1">
            <w:pPr>
              <w:jc w:val="center"/>
              <w:rPr>
                <w:rFonts w:hint="eastAsia" w:ascii="宋体" w:hAnsi="宋体" w:cs="宋体"/>
                <w:color w:val="auto"/>
                <w:sz w:val="24"/>
                <w:highlight w:val="none"/>
              </w:rPr>
            </w:pPr>
            <w:r>
              <w:rPr>
                <w:rFonts w:hint="eastAsia" w:ascii="宋体" w:hAnsi="宋体" w:cs="宋体"/>
                <w:color w:val="auto"/>
                <w:sz w:val="24"/>
                <w:highlight w:val="none"/>
              </w:rPr>
              <w:t>23</w:t>
            </w:r>
          </w:p>
        </w:tc>
        <w:tc>
          <w:tcPr>
            <w:tcW w:w="1522" w:type="dxa"/>
            <w:vMerge w:val="continue"/>
            <w:shd w:val="clear" w:color="auto" w:fill="FFFFFF"/>
            <w:vAlign w:val="center"/>
          </w:tcPr>
          <w:p w14:paraId="0BA81253">
            <w:pPr>
              <w:widowControl/>
              <w:jc w:val="center"/>
              <w:textAlignment w:val="center"/>
              <w:rPr>
                <w:rFonts w:hint="eastAsia" w:ascii="宋体" w:hAnsi="宋体" w:cs="宋体"/>
                <w:color w:val="auto"/>
                <w:kern w:val="0"/>
                <w:sz w:val="24"/>
                <w:highlight w:val="none"/>
                <w:lang w:bidi="ar"/>
              </w:rPr>
            </w:pPr>
          </w:p>
        </w:tc>
        <w:tc>
          <w:tcPr>
            <w:tcW w:w="5846" w:type="dxa"/>
            <w:shd w:val="clear" w:color="auto" w:fill="FFFFFF"/>
            <w:vAlign w:val="center"/>
          </w:tcPr>
          <w:p w14:paraId="49D3B51F">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支持以列表形式展示全部投诉案件的信息，包括：投诉时间、处理状态、患者姓名、案件编号、出院状态、受理类型投诉类型、投诉科室、就诊科室、住院号/就诊号、患者居住所在地患者身份证号、投诉人联系 、历史投诉次数、 案件有效性等信息。</w:t>
            </w:r>
          </w:p>
        </w:tc>
        <w:tc>
          <w:tcPr>
            <w:tcW w:w="839" w:type="dxa"/>
            <w:vMerge w:val="continue"/>
            <w:shd w:val="clear" w:color="auto" w:fill="FFFFFF"/>
            <w:vAlign w:val="center"/>
          </w:tcPr>
          <w:p w14:paraId="59D83E3A">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57D81A59">
            <w:pPr>
              <w:widowControl/>
              <w:jc w:val="center"/>
              <w:textAlignment w:val="center"/>
              <w:rPr>
                <w:rFonts w:hint="eastAsia" w:ascii="宋体" w:hAnsi="宋体" w:cs="宋体"/>
                <w:color w:val="auto"/>
                <w:kern w:val="0"/>
                <w:sz w:val="24"/>
                <w:highlight w:val="none"/>
                <w:lang w:bidi="ar"/>
              </w:rPr>
            </w:pPr>
          </w:p>
        </w:tc>
      </w:tr>
      <w:tr w14:paraId="7318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474F70A">
            <w:pPr>
              <w:jc w:val="center"/>
              <w:rPr>
                <w:rFonts w:hint="eastAsia" w:ascii="宋体" w:hAnsi="宋体" w:cs="宋体"/>
                <w:color w:val="auto"/>
                <w:sz w:val="24"/>
                <w:highlight w:val="none"/>
              </w:rPr>
            </w:pPr>
            <w:r>
              <w:rPr>
                <w:rFonts w:hint="eastAsia" w:ascii="宋体" w:hAnsi="宋体" w:cs="宋体"/>
                <w:color w:val="auto"/>
                <w:sz w:val="24"/>
                <w:highlight w:val="none"/>
              </w:rPr>
              <w:t>24</w:t>
            </w:r>
          </w:p>
        </w:tc>
        <w:tc>
          <w:tcPr>
            <w:tcW w:w="1522" w:type="dxa"/>
            <w:shd w:val="clear" w:color="auto" w:fill="FFFFFF"/>
            <w:vAlign w:val="center"/>
          </w:tcPr>
          <w:p w14:paraId="563611B3">
            <w:pPr>
              <w:jc w:val="center"/>
              <w:rPr>
                <w:rFonts w:hint="eastAsia" w:ascii="宋体" w:hAnsi="宋体" w:cs="宋体"/>
                <w:color w:val="auto"/>
                <w:sz w:val="24"/>
                <w:highlight w:val="none"/>
              </w:rPr>
            </w:pPr>
            <w:r>
              <w:rPr>
                <w:rFonts w:hint="eastAsia" w:ascii="宋体" w:hAnsi="宋体" w:cs="宋体"/>
                <w:color w:val="auto"/>
                <w:sz w:val="24"/>
                <w:highlight w:val="none"/>
              </w:rPr>
              <w:t>投诉判定</w:t>
            </w:r>
          </w:p>
        </w:tc>
        <w:tc>
          <w:tcPr>
            <w:tcW w:w="5846" w:type="dxa"/>
            <w:shd w:val="clear" w:color="auto" w:fill="FFFFFF"/>
            <w:vAlign w:val="center"/>
          </w:tcPr>
          <w:p w14:paraId="7351DC69">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★支持医务对投诉案件的有效性进行判定与分类，可划分为有效投诉与无效投诉两类（需提供系统截图）。</w:t>
            </w:r>
          </w:p>
        </w:tc>
        <w:tc>
          <w:tcPr>
            <w:tcW w:w="839" w:type="dxa"/>
            <w:vMerge w:val="continue"/>
            <w:shd w:val="clear" w:color="auto" w:fill="FFFFFF"/>
            <w:vAlign w:val="center"/>
          </w:tcPr>
          <w:p w14:paraId="2681A6ED">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56ED9276">
            <w:pPr>
              <w:widowControl/>
              <w:jc w:val="center"/>
              <w:textAlignment w:val="center"/>
              <w:rPr>
                <w:rFonts w:hint="eastAsia" w:ascii="宋体" w:hAnsi="宋体" w:cs="宋体"/>
                <w:color w:val="auto"/>
                <w:kern w:val="0"/>
                <w:sz w:val="24"/>
                <w:highlight w:val="none"/>
                <w:lang w:bidi="ar"/>
              </w:rPr>
            </w:pPr>
          </w:p>
        </w:tc>
      </w:tr>
      <w:tr w14:paraId="114D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10EC197D">
            <w:pPr>
              <w:jc w:val="center"/>
              <w:rPr>
                <w:rFonts w:hint="eastAsia" w:ascii="宋体" w:hAnsi="宋体" w:cs="宋体"/>
                <w:color w:val="auto"/>
                <w:sz w:val="24"/>
                <w:highlight w:val="none"/>
              </w:rPr>
            </w:pPr>
            <w:r>
              <w:rPr>
                <w:rFonts w:hint="eastAsia" w:ascii="宋体" w:hAnsi="宋体" w:cs="宋体"/>
                <w:color w:val="auto"/>
                <w:sz w:val="24"/>
                <w:highlight w:val="none"/>
              </w:rPr>
              <w:t>25</w:t>
            </w:r>
          </w:p>
        </w:tc>
        <w:tc>
          <w:tcPr>
            <w:tcW w:w="1522" w:type="dxa"/>
            <w:shd w:val="clear" w:color="auto" w:fill="FFFFFF"/>
            <w:vAlign w:val="center"/>
          </w:tcPr>
          <w:p w14:paraId="4C9A926C">
            <w:pPr>
              <w:jc w:val="center"/>
              <w:rPr>
                <w:rFonts w:hint="eastAsia" w:ascii="宋体" w:hAnsi="宋体" w:cs="宋体"/>
                <w:color w:val="auto"/>
                <w:sz w:val="24"/>
                <w:highlight w:val="none"/>
              </w:rPr>
            </w:pPr>
            <w:r>
              <w:rPr>
                <w:rFonts w:hint="eastAsia" w:ascii="宋体" w:hAnsi="宋体" w:cs="宋体"/>
                <w:color w:val="auto"/>
                <w:sz w:val="24"/>
                <w:highlight w:val="none"/>
              </w:rPr>
              <w:t>持续整改</w:t>
            </w:r>
          </w:p>
        </w:tc>
        <w:tc>
          <w:tcPr>
            <w:tcW w:w="5846" w:type="dxa"/>
            <w:shd w:val="clear" w:color="auto" w:fill="FFFFFF"/>
            <w:vAlign w:val="center"/>
          </w:tcPr>
          <w:p w14:paraId="60F0140C">
            <w:pPr>
              <w:widowControl/>
              <w:textAlignment w:val="center"/>
              <w:rPr>
                <w:rFonts w:hint="eastAsia" w:ascii="宋体" w:hAnsi="宋体" w:cs="宋体"/>
                <w:color w:val="auto"/>
                <w:kern w:val="0"/>
                <w:sz w:val="24"/>
                <w:highlight w:val="none"/>
                <w:lang w:bidi="ar"/>
              </w:rPr>
            </w:pPr>
            <w:r>
              <w:rPr>
                <w:rFonts w:ascii="宋体" w:hAnsi="宋体" w:cs="宋体"/>
                <w:color w:val="auto"/>
                <w:sz w:val="24"/>
                <w:highlight w:val="none"/>
              </w:rPr>
              <w:t>▲</w:t>
            </w:r>
            <w:r>
              <w:rPr>
                <w:rFonts w:hint="eastAsia" w:ascii="宋体" w:hAnsi="宋体" w:cs="宋体"/>
                <w:color w:val="auto"/>
                <w:kern w:val="0"/>
                <w:sz w:val="24"/>
                <w:highlight w:val="none"/>
                <w:lang w:bidi="ar"/>
              </w:rPr>
              <w:t>通过对投诉案例的分析，支持医务填写改进医疗服务质量和减少投诉发生的整改建议，支持将整改建议同步给科室。支持记录整改反馈结果，持续优化医院医疗服务环境（需提供系统截图）。</w:t>
            </w:r>
          </w:p>
        </w:tc>
        <w:tc>
          <w:tcPr>
            <w:tcW w:w="839" w:type="dxa"/>
            <w:vMerge w:val="continue"/>
            <w:shd w:val="clear" w:color="auto" w:fill="FFFFFF"/>
            <w:vAlign w:val="center"/>
          </w:tcPr>
          <w:p w14:paraId="753DEFE4">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6428EE5E">
            <w:pPr>
              <w:widowControl/>
              <w:jc w:val="center"/>
              <w:textAlignment w:val="center"/>
              <w:rPr>
                <w:rFonts w:hint="eastAsia" w:ascii="宋体" w:hAnsi="宋体" w:cs="宋体"/>
                <w:color w:val="auto"/>
                <w:kern w:val="0"/>
                <w:sz w:val="24"/>
                <w:highlight w:val="none"/>
                <w:lang w:bidi="ar"/>
              </w:rPr>
            </w:pPr>
          </w:p>
        </w:tc>
      </w:tr>
      <w:tr w14:paraId="320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661135BF">
            <w:pPr>
              <w:jc w:val="center"/>
              <w:rPr>
                <w:rFonts w:hint="eastAsia" w:ascii="宋体" w:hAnsi="宋体" w:cs="宋体"/>
                <w:color w:val="auto"/>
                <w:sz w:val="24"/>
                <w:highlight w:val="none"/>
              </w:rPr>
            </w:pPr>
            <w:r>
              <w:rPr>
                <w:rFonts w:hint="eastAsia" w:ascii="宋体" w:hAnsi="宋体" w:cs="宋体"/>
                <w:color w:val="auto"/>
                <w:sz w:val="24"/>
                <w:highlight w:val="none"/>
              </w:rPr>
              <w:t>26</w:t>
            </w:r>
          </w:p>
        </w:tc>
        <w:tc>
          <w:tcPr>
            <w:tcW w:w="1522" w:type="dxa"/>
            <w:shd w:val="clear" w:color="auto" w:fill="FFFFFF"/>
            <w:vAlign w:val="center"/>
          </w:tcPr>
          <w:p w14:paraId="3D47CB29">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用户管理</w:t>
            </w:r>
          </w:p>
        </w:tc>
        <w:tc>
          <w:tcPr>
            <w:tcW w:w="5846" w:type="dxa"/>
            <w:shd w:val="clear" w:color="auto" w:fill="FFFFFF"/>
            <w:vAlign w:val="center"/>
          </w:tcPr>
          <w:p w14:paraId="0649B785">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模块使用访问由管理员账号进行统一授权管理，管理人员可添加、删除、修改用户账号。</w:t>
            </w:r>
          </w:p>
        </w:tc>
        <w:tc>
          <w:tcPr>
            <w:tcW w:w="839" w:type="dxa"/>
            <w:vMerge w:val="continue"/>
            <w:shd w:val="clear" w:color="auto" w:fill="FFFFFF"/>
            <w:vAlign w:val="center"/>
          </w:tcPr>
          <w:p w14:paraId="551211B4">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313DFC8F">
            <w:pPr>
              <w:widowControl/>
              <w:jc w:val="center"/>
              <w:textAlignment w:val="center"/>
              <w:rPr>
                <w:rFonts w:hint="eastAsia" w:ascii="宋体" w:hAnsi="宋体" w:cs="宋体"/>
                <w:color w:val="auto"/>
                <w:kern w:val="0"/>
                <w:sz w:val="24"/>
                <w:highlight w:val="none"/>
                <w:lang w:bidi="ar"/>
              </w:rPr>
            </w:pPr>
          </w:p>
        </w:tc>
      </w:tr>
      <w:tr w14:paraId="3BE4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7D39058D">
            <w:pPr>
              <w:jc w:val="center"/>
              <w:rPr>
                <w:rFonts w:hint="eastAsia" w:ascii="宋体" w:hAnsi="宋体" w:cs="宋体"/>
                <w:color w:val="auto"/>
                <w:sz w:val="24"/>
                <w:highlight w:val="none"/>
              </w:rPr>
            </w:pPr>
            <w:r>
              <w:rPr>
                <w:rFonts w:hint="eastAsia" w:ascii="宋体" w:hAnsi="宋体" w:cs="宋体"/>
                <w:color w:val="auto"/>
                <w:sz w:val="24"/>
                <w:highlight w:val="none"/>
              </w:rPr>
              <w:t>27</w:t>
            </w:r>
          </w:p>
        </w:tc>
        <w:tc>
          <w:tcPr>
            <w:tcW w:w="1522" w:type="dxa"/>
            <w:shd w:val="clear" w:color="auto" w:fill="FFFFFF"/>
            <w:vAlign w:val="center"/>
          </w:tcPr>
          <w:p w14:paraId="0F96FAD2">
            <w:pPr>
              <w:widowControl/>
              <w:jc w:val="center"/>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角色管理</w:t>
            </w:r>
          </w:p>
        </w:tc>
        <w:tc>
          <w:tcPr>
            <w:tcW w:w="5846" w:type="dxa"/>
            <w:shd w:val="clear" w:color="auto" w:fill="FFFFFF"/>
            <w:vAlign w:val="center"/>
          </w:tcPr>
          <w:p w14:paraId="2E2102DD">
            <w:pPr>
              <w:widowControl/>
              <w:textAlignment w:val="center"/>
              <w:rPr>
                <w:rFonts w:hint="eastAsia" w:ascii="宋体" w:hAnsi="宋体" w:cs="宋体"/>
                <w:color w:val="auto"/>
                <w:sz w:val="24"/>
                <w:highlight w:val="none"/>
              </w:rPr>
            </w:pPr>
            <w:r>
              <w:rPr>
                <w:rFonts w:hint="eastAsia" w:ascii="宋体" w:hAnsi="宋体" w:cs="宋体"/>
                <w:color w:val="auto"/>
                <w:kern w:val="0"/>
                <w:sz w:val="24"/>
                <w:highlight w:val="none"/>
                <w:lang w:bidi="ar"/>
              </w:rPr>
              <w:t>管理员选择每个角色所能管理的页面以及功能。</w:t>
            </w:r>
          </w:p>
        </w:tc>
        <w:tc>
          <w:tcPr>
            <w:tcW w:w="839" w:type="dxa"/>
            <w:vMerge w:val="continue"/>
            <w:shd w:val="clear" w:color="auto" w:fill="FFFFFF"/>
            <w:vAlign w:val="center"/>
          </w:tcPr>
          <w:p w14:paraId="43779115">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5D05A054">
            <w:pPr>
              <w:widowControl/>
              <w:jc w:val="center"/>
              <w:textAlignment w:val="center"/>
              <w:rPr>
                <w:rFonts w:hint="eastAsia" w:ascii="宋体" w:hAnsi="宋体" w:cs="宋体"/>
                <w:color w:val="auto"/>
                <w:kern w:val="0"/>
                <w:sz w:val="24"/>
                <w:highlight w:val="none"/>
                <w:lang w:bidi="ar"/>
              </w:rPr>
            </w:pPr>
          </w:p>
        </w:tc>
      </w:tr>
      <w:tr w14:paraId="2FB4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4C968CCE">
            <w:pPr>
              <w:jc w:val="center"/>
              <w:rPr>
                <w:rFonts w:hint="eastAsia" w:ascii="宋体" w:hAnsi="宋体" w:cs="宋体"/>
                <w:color w:val="auto"/>
                <w:sz w:val="24"/>
                <w:highlight w:val="none"/>
              </w:rPr>
            </w:pPr>
            <w:r>
              <w:rPr>
                <w:rFonts w:hint="eastAsia" w:ascii="宋体" w:hAnsi="宋体" w:cs="宋体"/>
                <w:color w:val="auto"/>
                <w:sz w:val="24"/>
                <w:highlight w:val="none"/>
              </w:rPr>
              <w:t>28</w:t>
            </w:r>
          </w:p>
        </w:tc>
        <w:tc>
          <w:tcPr>
            <w:tcW w:w="1522" w:type="dxa"/>
            <w:shd w:val="clear" w:color="auto" w:fill="FFFFFF"/>
            <w:vAlign w:val="center"/>
          </w:tcPr>
          <w:p w14:paraId="46A49918">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数据共享</w:t>
            </w:r>
          </w:p>
        </w:tc>
        <w:tc>
          <w:tcPr>
            <w:tcW w:w="5846" w:type="dxa"/>
            <w:shd w:val="clear" w:color="auto" w:fill="FFFFFF"/>
            <w:vAlign w:val="center"/>
          </w:tcPr>
          <w:p w14:paraId="3650EE57">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支持查看住院投诉患者最新医疗风险预警级别、详细医疗风险指标、风险预警干预记录，历史风险预警趋势等详细信息。</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326D568E">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支持查看住院患者基本信息、诊断信息、检验信息、检查信息、用药信息、手术信息、护理信息、费用信息等。</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05F20C39">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支持关联医师资质管理相关系统，查验医师的医疗技术能力相关资质信息，用于判断本次投诉涉及医师的资质是否合规。</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68401252">
            <w:pPr>
              <w:pStyle w:val="28"/>
              <w:ind w:left="0"/>
              <w:rPr>
                <w:rFonts w:hint="eastAsia" w:ascii="宋体" w:hAnsi="宋体" w:cs="宋体"/>
                <w:color w:val="auto"/>
                <w:sz w:val="24"/>
                <w:szCs w:val="24"/>
                <w:highlight w:val="none"/>
              </w:rPr>
            </w:pPr>
            <w:r>
              <w:rPr>
                <w:rFonts w:ascii="宋体" w:hAnsi="宋体" w:cs="宋体"/>
                <w:color w:val="auto"/>
                <w:kern w:val="0"/>
                <w:sz w:val="24"/>
                <w:szCs w:val="24"/>
                <w:highlight w:val="none"/>
                <w:lang w:bidi="ar"/>
              </w:rPr>
              <w:t>▲</w:t>
            </w:r>
            <w:r>
              <w:rPr>
                <w:rFonts w:hint="eastAsia" w:ascii="宋体" w:hAnsi="宋体" w:cs="宋体"/>
                <w:color w:val="auto"/>
                <w:sz w:val="24"/>
                <w:szCs w:val="24"/>
                <w:highlight w:val="none"/>
              </w:rPr>
              <w:t>支持将投诉数据关联至医师资质管理相关系统，为持续完善医师的资质考核指标提供依据。</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33921AE4">
            <w:pPr>
              <w:pStyle w:val="28"/>
              <w:ind w:left="0"/>
              <w:rPr>
                <w:rFonts w:hint="eastAsia" w:ascii="宋体" w:hAnsi="宋体" w:cs="宋体"/>
                <w:color w:val="auto"/>
                <w:sz w:val="24"/>
                <w:szCs w:val="24"/>
                <w:highlight w:val="none"/>
              </w:rPr>
            </w:pPr>
            <w:r>
              <w:rPr>
                <w:rFonts w:ascii="宋体" w:hAnsi="宋体" w:cs="宋体"/>
                <w:color w:val="auto"/>
                <w:kern w:val="0"/>
                <w:sz w:val="24"/>
                <w:szCs w:val="24"/>
                <w:highlight w:val="none"/>
                <w:lang w:bidi="ar"/>
              </w:rPr>
              <w:t>▲</w:t>
            </w:r>
            <w:r>
              <w:rPr>
                <w:rFonts w:hint="eastAsia" w:ascii="宋体" w:hAnsi="宋体" w:cs="宋体"/>
                <w:color w:val="auto"/>
                <w:sz w:val="24"/>
                <w:szCs w:val="24"/>
                <w:highlight w:val="none"/>
              </w:rPr>
              <w:t>支持将投诉患者的投诉相关信息关联至风险预警管理相关系统，以实现投诉患者再入院时进行预警。</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tc>
        <w:tc>
          <w:tcPr>
            <w:tcW w:w="839" w:type="dxa"/>
            <w:vMerge w:val="continue"/>
            <w:shd w:val="clear" w:color="auto" w:fill="FFFFFF"/>
            <w:vAlign w:val="center"/>
          </w:tcPr>
          <w:p w14:paraId="071E6942">
            <w:pPr>
              <w:pStyle w:val="28"/>
              <w:ind w:left="0"/>
              <w:jc w:val="center"/>
              <w:rPr>
                <w:rFonts w:hint="eastAsia" w:ascii="宋体" w:hAnsi="宋体" w:cs="宋体"/>
                <w:color w:val="auto"/>
                <w:kern w:val="0"/>
                <w:sz w:val="24"/>
                <w:szCs w:val="24"/>
                <w:highlight w:val="none"/>
                <w:lang w:bidi="ar"/>
              </w:rPr>
            </w:pPr>
          </w:p>
        </w:tc>
        <w:tc>
          <w:tcPr>
            <w:tcW w:w="728" w:type="dxa"/>
            <w:vMerge w:val="continue"/>
            <w:shd w:val="clear" w:color="auto" w:fill="FFFFFF"/>
            <w:vAlign w:val="center"/>
          </w:tcPr>
          <w:p w14:paraId="34B8C6F1">
            <w:pPr>
              <w:pStyle w:val="28"/>
              <w:ind w:left="0"/>
              <w:jc w:val="center"/>
              <w:rPr>
                <w:rFonts w:hint="eastAsia" w:ascii="宋体" w:hAnsi="宋体" w:cs="宋体"/>
                <w:color w:val="auto"/>
                <w:kern w:val="0"/>
                <w:sz w:val="24"/>
                <w:szCs w:val="24"/>
                <w:highlight w:val="none"/>
                <w:lang w:bidi="ar"/>
              </w:rPr>
            </w:pPr>
          </w:p>
        </w:tc>
      </w:tr>
      <w:tr w14:paraId="09D2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016" w:type="dxa"/>
            <w:vAlign w:val="center"/>
          </w:tcPr>
          <w:p w14:paraId="4B1010A5">
            <w:pPr>
              <w:jc w:val="center"/>
              <w:rPr>
                <w:rFonts w:hint="eastAsia" w:ascii="宋体" w:hAnsi="宋体" w:cs="宋体"/>
                <w:color w:val="auto"/>
                <w:sz w:val="24"/>
                <w:highlight w:val="none"/>
              </w:rPr>
            </w:pPr>
            <w:r>
              <w:rPr>
                <w:rFonts w:hint="eastAsia" w:ascii="宋体" w:hAnsi="宋体" w:cs="宋体"/>
                <w:color w:val="auto"/>
                <w:sz w:val="24"/>
                <w:highlight w:val="none"/>
              </w:rPr>
              <w:t>29</w:t>
            </w:r>
          </w:p>
        </w:tc>
        <w:tc>
          <w:tcPr>
            <w:tcW w:w="1522" w:type="dxa"/>
            <w:shd w:val="clear" w:color="auto" w:fill="FFFFFF"/>
            <w:vAlign w:val="center"/>
          </w:tcPr>
          <w:p w14:paraId="425B6641">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自定义配置</w:t>
            </w:r>
          </w:p>
        </w:tc>
        <w:tc>
          <w:tcPr>
            <w:tcW w:w="5846" w:type="dxa"/>
            <w:shd w:val="clear" w:color="auto" w:fill="FFFFFF"/>
            <w:vAlign w:val="center"/>
          </w:tcPr>
          <w:p w14:paraId="476E9D0F">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支持维护不同类型的投诉纠纷模板及审批流程；支持投诉流程的配置化可视化管理。</w:t>
            </w:r>
          </w:p>
        </w:tc>
        <w:tc>
          <w:tcPr>
            <w:tcW w:w="839" w:type="dxa"/>
            <w:vMerge w:val="continue"/>
            <w:shd w:val="clear" w:color="auto" w:fill="FFFFFF"/>
            <w:vAlign w:val="center"/>
          </w:tcPr>
          <w:p w14:paraId="798C334B">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1298C533">
            <w:pPr>
              <w:widowControl/>
              <w:jc w:val="center"/>
              <w:textAlignment w:val="center"/>
              <w:rPr>
                <w:rFonts w:hint="eastAsia" w:ascii="宋体" w:hAnsi="宋体" w:cs="宋体"/>
                <w:color w:val="auto"/>
                <w:kern w:val="0"/>
                <w:sz w:val="24"/>
                <w:highlight w:val="none"/>
                <w:lang w:bidi="ar"/>
              </w:rPr>
            </w:pPr>
          </w:p>
        </w:tc>
      </w:tr>
      <w:tr w14:paraId="1349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6" w:type="dxa"/>
            <w:vAlign w:val="center"/>
          </w:tcPr>
          <w:p w14:paraId="585FB4F1">
            <w:pPr>
              <w:jc w:val="center"/>
              <w:rPr>
                <w:rFonts w:hint="eastAsia" w:ascii="宋体" w:hAnsi="宋体" w:cs="宋体"/>
                <w:color w:val="auto"/>
                <w:sz w:val="24"/>
                <w:highlight w:val="none"/>
              </w:rPr>
            </w:pPr>
            <w:r>
              <w:rPr>
                <w:rFonts w:hint="eastAsia" w:ascii="宋体" w:hAnsi="宋体" w:cs="宋体"/>
                <w:color w:val="auto"/>
                <w:sz w:val="24"/>
                <w:highlight w:val="none"/>
              </w:rPr>
              <w:t>30</w:t>
            </w:r>
          </w:p>
        </w:tc>
        <w:tc>
          <w:tcPr>
            <w:tcW w:w="1522" w:type="dxa"/>
            <w:shd w:val="clear" w:color="auto" w:fill="FFFFFF"/>
            <w:vAlign w:val="center"/>
          </w:tcPr>
          <w:p w14:paraId="6AAD75C3">
            <w:pPr>
              <w:widowControl/>
              <w:jc w:val="center"/>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投诉根因配置</w:t>
            </w:r>
          </w:p>
        </w:tc>
        <w:tc>
          <w:tcPr>
            <w:tcW w:w="5846" w:type="dxa"/>
            <w:shd w:val="clear" w:color="auto" w:fill="FFFFFF"/>
            <w:vAlign w:val="center"/>
          </w:tcPr>
          <w:p w14:paraId="1B8BAF7B">
            <w:pPr>
              <w:widowControl/>
              <w:textAlignment w:val="center"/>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★支持对投诉根因分类，支持对投诉根因的管理（需提供系统截图）。</w:t>
            </w:r>
          </w:p>
        </w:tc>
        <w:tc>
          <w:tcPr>
            <w:tcW w:w="839" w:type="dxa"/>
            <w:vMerge w:val="continue"/>
            <w:shd w:val="clear" w:color="auto" w:fill="FFFFFF"/>
            <w:vAlign w:val="center"/>
          </w:tcPr>
          <w:p w14:paraId="58D7BBE7">
            <w:pPr>
              <w:widowControl/>
              <w:jc w:val="center"/>
              <w:textAlignment w:val="center"/>
              <w:rPr>
                <w:rFonts w:hint="eastAsia" w:ascii="宋体" w:hAnsi="宋体" w:cs="宋体"/>
                <w:color w:val="auto"/>
                <w:kern w:val="0"/>
                <w:sz w:val="24"/>
                <w:highlight w:val="none"/>
                <w:lang w:bidi="ar"/>
              </w:rPr>
            </w:pPr>
          </w:p>
        </w:tc>
        <w:tc>
          <w:tcPr>
            <w:tcW w:w="728" w:type="dxa"/>
            <w:vMerge w:val="continue"/>
            <w:shd w:val="clear" w:color="auto" w:fill="FFFFFF"/>
            <w:vAlign w:val="center"/>
          </w:tcPr>
          <w:p w14:paraId="67506BED">
            <w:pPr>
              <w:widowControl/>
              <w:jc w:val="center"/>
              <w:textAlignment w:val="center"/>
              <w:rPr>
                <w:rFonts w:hint="eastAsia" w:ascii="宋体" w:hAnsi="宋体" w:cs="宋体"/>
                <w:color w:val="auto"/>
                <w:kern w:val="0"/>
                <w:sz w:val="24"/>
                <w:highlight w:val="none"/>
                <w:lang w:bidi="ar"/>
              </w:rPr>
            </w:pPr>
          </w:p>
        </w:tc>
      </w:tr>
      <w:tr w14:paraId="587E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51" w:type="dxa"/>
            <w:gridSpan w:val="5"/>
            <w:vAlign w:val="center"/>
          </w:tcPr>
          <w:p w14:paraId="7D8AFFA5">
            <w:pPr>
              <w:pStyle w:val="3"/>
              <w:spacing w:line="440" w:lineRule="exact"/>
              <w:jc w:val="left"/>
              <w:rPr>
                <w:rFonts w:hint="eastAsia" w:ascii="宋体" w:hAnsi="宋体" w:cs="宋体"/>
                <w:color w:val="auto"/>
                <w:kern w:val="0"/>
                <w:sz w:val="24"/>
                <w:highlight w:val="none"/>
                <w:lang w:bidi="ar"/>
              </w:rPr>
            </w:pPr>
            <w:r>
              <w:rPr>
                <w:rFonts w:hint="eastAsia" w:ascii="宋体" w:hAnsi="宋体" w:cs="宋体"/>
                <w:b w:val="0"/>
                <w:bCs w:val="0"/>
                <w:color w:val="auto"/>
                <w:sz w:val="24"/>
                <w:szCs w:val="24"/>
                <w:highlight w:val="none"/>
              </w:rPr>
              <w:t>注：</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请认真评估本项目所有技术要求表</w:t>
            </w:r>
            <w:r>
              <w:rPr>
                <w:rFonts w:hint="eastAsia" w:ascii="宋体" w:hAnsi="宋体" w:cs="宋体"/>
                <w:color w:val="auto"/>
                <w:sz w:val="24"/>
                <w:highlight w:val="none"/>
                <w:lang w:eastAsia="zh-CN"/>
              </w:rPr>
              <w:t>，</w:t>
            </w:r>
            <w:r>
              <w:rPr>
                <w:rFonts w:hint="eastAsia" w:ascii="宋体" w:hAnsi="宋体" w:cs="宋体"/>
                <w:color w:val="auto"/>
                <w:sz w:val="24"/>
                <w:highlight w:val="none"/>
              </w:rPr>
              <w:t>“★”均要求供应商提供截图证明等文件，否则被视为不响应</w:t>
            </w:r>
            <w:r>
              <w:rPr>
                <w:rFonts w:hint="eastAsia" w:ascii="宋体" w:hAnsi="宋体" w:cs="宋体"/>
                <w:color w:val="auto"/>
                <w:sz w:val="24"/>
                <w:highlight w:val="none"/>
                <w:lang w:eastAsia="zh-CN"/>
              </w:rPr>
              <w:t>。</w:t>
            </w:r>
            <w:r>
              <w:rPr>
                <w:rFonts w:hint="eastAsia" w:ascii="宋体" w:hAnsi="宋体" w:cs="宋体"/>
                <w:color w:val="auto"/>
                <w:sz w:val="24"/>
                <w:highlight w:val="none"/>
              </w:rPr>
              <w:t>“▲”均为实际响应要求，需按要求响应</w:t>
            </w:r>
            <w:r>
              <w:rPr>
                <w:rFonts w:hint="eastAsia" w:ascii="宋体" w:hAnsi="宋体" w:cs="宋体"/>
                <w:color w:val="auto"/>
                <w:sz w:val="24"/>
                <w:highlight w:val="none"/>
                <w:lang w:val="en-US" w:eastAsia="zh-CN"/>
              </w:rPr>
              <w:t>并</w:t>
            </w:r>
            <w:r>
              <w:rPr>
                <w:rFonts w:hint="eastAsia" w:ascii="宋体" w:hAnsi="宋体" w:cs="宋体"/>
                <w:color w:val="auto"/>
                <w:sz w:val="24"/>
                <w:highlight w:val="none"/>
              </w:rPr>
              <w:t>提供截图证明等文件，若有任意一项偏离，</w:t>
            </w:r>
            <w:r>
              <w:rPr>
                <w:rFonts w:hint="eastAsia" w:ascii="宋体" w:hAnsi="宋体" w:cs="宋体"/>
                <w:color w:val="auto"/>
                <w:sz w:val="24"/>
                <w:highlight w:val="none"/>
                <w:lang w:val="en-US" w:eastAsia="zh-CN"/>
              </w:rPr>
              <w:t>报价文件按无效处理。</w:t>
            </w:r>
          </w:p>
        </w:tc>
      </w:tr>
    </w:tbl>
    <w:p w14:paraId="04EA4D9F">
      <w:pPr>
        <w:rPr>
          <w:rFonts w:hint="eastAsia" w:ascii="宋体" w:hAnsi="宋体" w:cs="宋体"/>
          <w:color w:val="auto"/>
          <w:highlight w:val="none"/>
        </w:rPr>
      </w:pPr>
      <w:r>
        <w:rPr>
          <w:rFonts w:hint="eastAsia" w:ascii="宋体" w:hAnsi="宋体" w:cs="宋体"/>
          <w:color w:val="auto"/>
          <w:sz w:val="30"/>
          <w:szCs w:val="30"/>
          <w:highlight w:val="none"/>
        </w:rPr>
        <w:t xml:space="preserve">                 </w:t>
      </w:r>
    </w:p>
    <w:p w14:paraId="2BB07706">
      <w:pPr>
        <w:pStyle w:val="11"/>
        <w:rPr>
          <w:rFonts w:hint="eastAsia" w:ascii="宋体" w:hAnsi="宋体" w:cs="宋体"/>
          <w:b/>
          <w:color w:val="auto"/>
          <w:sz w:val="24"/>
          <w:highlight w:val="none"/>
        </w:rPr>
      </w:pPr>
      <w:r>
        <w:rPr>
          <w:rFonts w:hint="eastAsia" w:ascii="宋体" w:hAnsi="宋体" w:cs="宋体"/>
          <w:b/>
          <w:color w:val="auto"/>
          <w:sz w:val="24"/>
          <w:highlight w:val="none"/>
        </w:rPr>
        <w:t>二、商务要求</w:t>
      </w:r>
    </w:p>
    <w:tbl>
      <w:tblPr>
        <w:tblStyle w:val="15"/>
        <w:tblW w:w="10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7628"/>
      </w:tblGrid>
      <w:tr w14:paraId="0D6BD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2419" w:type="dxa"/>
            <w:shd w:val="clear" w:color="auto" w:fill="auto"/>
            <w:vAlign w:val="center"/>
          </w:tcPr>
          <w:p w14:paraId="2BD2E5BE">
            <w:pPr>
              <w:snapToGrid w:val="0"/>
              <w:spacing w:line="336" w:lineRule="exact"/>
              <w:rPr>
                <w:rFonts w:hint="eastAsia" w:ascii="宋体" w:hAnsi="宋体" w:cs="宋体"/>
                <w:bCs/>
                <w:color w:val="auto"/>
                <w:szCs w:val="21"/>
                <w:highlight w:val="none"/>
              </w:rPr>
            </w:pPr>
            <w:r>
              <w:rPr>
                <w:rFonts w:hint="eastAsia" w:ascii="宋体" w:hAnsi="宋体" w:cs="宋体"/>
                <w:bCs/>
                <w:color w:val="auto"/>
                <w:sz w:val="24"/>
                <w:highlight w:val="none"/>
              </w:rPr>
              <w:t>（一）供应商资质</w:t>
            </w:r>
          </w:p>
        </w:tc>
        <w:tc>
          <w:tcPr>
            <w:tcW w:w="7628" w:type="dxa"/>
            <w:shd w:val="clear" w:color="auto" w:fill="auto"/>
            <w:vAlign w:val="center"/>
          </w:tcPr>
          <w:p w14:paraId="54C46537">
            <w:pPr>
              <w:snapToGrid w:val="0"/>
              <w:spacing w:line="336" w:lineRule="exact"/>
              <w:rPr>
                <w:rFonts w:hint="eastAsia" w:ascii="宋体" w:hAnsi="宋体" w:cs="宋体"/>
                <w:bCs/>
                <w:color w:val="auto"/>
                <w:szCs w:val="21"/>
                <w:highlight w:val="none"/>
              </w:rPr>
            </w:pPr>
            <w:r>
              <w:rPr>
                <w:rFonts w:hint="eastAsia" w:ascii="宋体" w:hAnsi="宋体" w:cs="宋体"/>
                <w:color w:val="auto"/>
                <w:sz w:val="24"/>
                <w:highlight w:val="none"/>
              </w:rPr>
              <w:t>国内注册【依法在市场监督管理部门（或行政审批部门）登记注册】的，具备合法资格的供应商。</w:t>
            </w:r>
          </w:p>
        </w:tc>
      </w:tr>
      <w:tr w14:paraId="70F9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jc w:val="center"/>
        </w:trPr>
        <w:tc>
          <w:tcPr>
            <w:tcW w:w="2419" w:type="dxa"/>
            <w:shd w:val="clear" w:color="auto" w:fill="auto"/>
            <w:vAlign w:val="center"/>
          </w:tcPr>
          <w:p w14:paraId="7DDE111C">
            <w:pPr>
              <w:snapToGrid w:val="0"/>
              <w:spacing w:line="336" w:lineRule="exact"/>
              <w:rPr>
                <w:rFonts w:hint="eastAsia" w:ascii="宋体" w:hAnsi="宋体" w:cs="宋体"/>
                <w:bCs/>
                <w:color w:val="auto"/>
                <w:sz w:val="24"/>
                <w:highlight w:val="none"/>
              </w:rPr>
            </w:pPr>
            <w:r>
              <w:rPr>
                <w:rFonts w:hint="eastAsia" w:ascii="宋体" w:hAnsi="宋体" w:cs="宋体"/>
                <w:color w:val="auto"/>
                <w:sz w:val="24"/>
                <w:highlight w:val="none"/>
              </w:rPr>
              <w:t>（二）</w:t>
            </w:r>
            <w:r>
              <w:rPr>
                <w:rFonts w:hint="eastAsia" w:ascii="宋体" w:hAnsi="宋体" w:cs="宋体"/>
                <w:color w:val="auto"/>
                <w:sz w:val="24"/>
                <w:highlight w:val="none"/>
                <w:lang w:val="zh-CN"/>
              </w:rPr>
              <w:t>提供免费技术培训</w:t>
            </w:r>
          </w:p>
        </w:tc>
        <w:tc>
          <w:tcPr>
            <w:tcW w:w="7628" w:type="dxa"/>
            <w:shd w:val="clear" w:color="auto" w:fill="auto"/>
            <w:vAlign w:val="center"/>
          </w:tcPr>
          <w:p w14:paraId="4B4353FC">
            <w:pPr>
              <w:snapToGrid w:val="0"/>
              <w:spacing w:line="336" w:lineRule="exact"/>
              <w:rPr>
                <w:rFonts w:hint="eastAsia" w:ascii="宋体" w:hAnsi="宋体" w:cs="宋体"/>
                <w:bCs/>
                <w:color w:val="auto"/>
                <w:kern w:val="0"/>
                <w:sz w:val="24"/>
                <w:highlight w:val="none"/>
              </w:rPr>
            </w:pPr>
            <w:r>
              <w:rPr>
                <w:rFonts w:hint="eastAsia" w:ascii="宋体" w:hAnsi="宋体" w:cs="宋体"/>
                <w:color w:val="auto"/>
                <w:sz w:val="24"/>
                <w:highlight w:val="none"/>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r>
      <w:tr w14:paraId="1E7BB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419" w:type="dxa"/>
            <w:shd w:val="clear" w:color="auto" w:fill="auto"/>
            <w:vAlign w:val="center"/>
          </w:tcPr>
          <w:p w14:paraId="39F84FBD">
            <w:pPr>
              <w:snapToGrid w:val="0"/>
              <w:spacing w:line="336" w:lineRule="exact"/>
              <w:rPr>
                <w:rFonts w:hint="eastAsia" w:ascii="宋体" w:hAnsi="宋体" w:cs="宋体"/>
                <w:bCs/>
                <w:color w:val="auto"/>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rPr>
              <w:t>三</w:t>
            </w:r>
            <w:r>
              <w:rPr>
                <w:rFonts w:hint="eastAsia" w:ascii="宋体" w:hAnsi="宋体" w:cs="宋体"/>
                <w:color w:val="auto"/>
                <w:sz w:val="24"/>
                <w:highlight w:val="none"/>
                <w:lang w:val="zh-CN"/>
              </w:rPr>
              <w:t>）</w:t>
            </w:r>
            <w:r>
              <w:rPr>
                <w:rFonts w:hint="eastAsia" w:ascii="宋体" w:hAnsi="宋体" w:cs="宋体"/>
                <w:color w:val="auto"/>
                <w:sz w:val="24"/>
                <w:highlight w:val="none"/>
              </w:rPr>
              <w:t>交付地点</w:t>
            </w:r>
          </w:p>
        </w:tc>
        <w:tc>
          <w:tcPr>
            <w:tcW w:w="7628" w:type="dxa"/>
            <w:shd w:val="clear" w:color="auto" w:fill="auto"/>
            <w:vAlign w:val="center"/>
          </w:tcPr>
          <w:p w14:paraId="0617E3B3">
            <w:pPr>
              <w:snapToGrid w:val="0"/>
              <w:spacing w:line="336" w:lineRule="exact"/>
              <w:rPr>
                <w:rFonts w:hint="eastAsia" w:ascii="宋体" w:hAnsi="宋体" w:cs="宋体"/>
                <w:color w:val="auto"/>
                <w:sz w:val="24"/>
                <w:highlight w:val="none"/>
              </w:rPr>
            </w:pPr>
            <w:r>
              <w:rPr>
                <w:rFonts w:hint="eastAsia" w:ascii="宋体" w:hAnsi="宋体" w:cs="宋体"/>
                <w:color w:val="auto"/>
                <w:sz w:val="24"/>
                <w:highlight w:val="none"/>
              </w:rPr>
              <w:t>1.交付期：自签订合同之日起90日历日内验收合格并交付采购人使用。</w:t>
            </w:r>
          </w:p>
          <w:p w14:paraId="5D86FBEE">
            <w:pPr>
              <w:widowControl/>
              <w:jc w:val="left"/>
              <w:rPr>
                <w:rFonts w:hint="eastAsia" w:ascii="宋体" w:hAnsi="宋体" w:cs="宋体"/>
                <w:bCs/>
                <w:color w:val="auto"/>
                <w:kern w:val="0"/>
                <w:sz w:val="24"/>
                <w:highlight w:val="none"/>
              </w:rPr>
            </w:pPr>
            <w:r>
              <w:rPr>
                <w:rFonts w:hint="eastAsia" w:ascii="宋体" w:hAnsi="宋体" w:cs="宋体"/>
                <w:color w:val="auto"/>
                <w:sz w:val="24"/>
                <w:highlight w:val="none"/>
              </w:rPr>
              <w:t>2.招标人指定地点。</w:t>
            </w:r>
          </w:p>
        </w:tc>
      </w:tr>
      <w:tr w14:paraId="33C9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9" w:type="dxa"/>
            <w:shd w:val="clear" w:color="auto" w:fill="auto"/>
            <w:vAlign w:val="center"/>
          </w:tcPr>
          <w:p w14:paraId="0A722475">
            <w:pPr>
              <w:rPr>
                <w:rFonts w:hint="eastAsia" w:ascii="宋体" w:hAnsi="宋体" w:cs="宋体"/>
                <w:bCs/>
                <w:color w:val="auto"/>
                <w:sz w:val="24"/>
                <w:highlight w:val="none"/>
              </w:rPr>
            </w:pPr>
            <w:r>
              <w:rPr>
                <w:rFonts w:hint="eastAsia" w:ascii="宋体" w:hAnsi="宋体" w:cs="宋体"/>
                <w:color w:val="auto"/>
                <w:sz w:val="24"/>
                <w:highlight w:val="none"/>
              </w:rPr>
              <w:t>（四）付款方式</w:t>
            </w:r>
          </w:p>
        </w:tc>
        <w:tc>
          <w:tcPr>
            <w:tcW w:w="7628" w:type="dxa"/>
            <w:shd w:val="clear" w:color="auto" w:fill="auto"/>
            <w:vAlign w:val="center"/>
          </w:tcPr>
          <w:p w14:paraId="7D2FB852">
            <w:pPr>
              <w:spacing w:line="360" w:lineRule="exact"/>
              <w:ind w:right="-55" w:rightChars="-26"/>
              <w:rPr>
                <w:rFonts w:hint="eastAsia" w:ascii="宋体" w:hAnsi="宋体" w:cs="宋体"/>
                <w:bCs/>
                <w:sz w:val="24"/>
              </w:rPr>
            </w:pPr>
            <w:r>
              <w:rPr>
                <w:rFonts w:hint="eastAsia" w:ascii="宋体" w:hAnsi="宋体" w:cs="宋体"/>
                <w:bCs/>
                <w:sz w:val="24"/>
              </w:rPr>
              <w:t>1.</w:t>
            </w:r>
            <w:r>
              <w:rPr>
                <w:rFonts w:hint="eastAsia" w:ascii="宋体" w:hAnsi="宋体"/>
                <w:sz w:val="24"/>
              </w:rPr>
              <w:t>付款方式：合同签订之后，乙方将尽快安排入场安装，在软件上线并验收合格后，乙方开具对应金额的有效发票，甲方在收到发票，</w:t>
            </w:r>
            <w:r>
              <w:rPr>
                <w:rFonts w:hint="eastAsia" w:ascii="宋体" w:hAnsi="宋体"/>
                <w:sz w:val="24"/>
                <w:lang w:val="en-US" w:eastAsia="zh-CN"/>
              </w:rPr>
              <w:t>60</w:t>
            </w:r>
            <w:r>
              <w:rPr>
                <w:rFonts w:hint="eastAsia" w:ascii="宋体" w:hAnsi="宋体"/>
                <w:sz w:val="24"/>
              </w:rPr>
              <w:t>个工作</w:t>
            </w:r>
            <w:r>
              <w:rPr>
                <w:rFonts w:hint="eastAsia" w:ascii="宋体" w:hAnsi="宋体"/>
                <w:sz w:val="24"/>
                <w:lang w:val="en-US" w:eastAsia="zh-CN"/>
              </w:rPr>
              <w:t>后</w:t>
            </w:r>
            <w:r>
              <w:rPr>
                <w:rFonts w:hint="eastAsia" w:ascii="宋体" w:hAnsi="宋体"/>
                <w:sz w:val="24"/>
              </w:rPr>
              <w:t>将终验款（合同金额9</w:t>
            </w:r>
            <w:r>
              <w:rPr>
                <w:rFonts w:hint="eastAsia" w:ascii="宋体" w:hAnsi="宋体"/>
                <w:sz w:val="24"/>
                <w:lang w:val="en-US" w:eastAsia="zh-CN"/>
              </w:rPr>
              <w:t>5</w:t>
            </w:r>
            <w:r>
              <w:rPr>
                <w:rFonts w:ascii="宋体" w:hAnsi="宋体"/>
                <w:sz w:val="24"/>
              </w:rPr>
              <w:t>%</w:t>
            </w:r>
            <w:r>
              <w:rPr>
                <w:rFonts w:hint="eastAsia" w:ascii="宋体" w:hAnsi="宋体"/>
                <w:sz w:val="24"/>
              </w:rPr>
              <w:t>），一次性支付给乙方；合同总额中包含不少于</w:t>
            </w:r>
            <w:r>
              <w:rPr>
                <w:rFonts w:ascii="宋体" w:hAnsi="宋体"/>
                <w:sz w:val="24"/>
                <w:u w:val="single"/>
              </w:rPr>
              <w:t xml:space="preserve"> </w:t>
            </w:r>
            <w:r>
              <w:rPr>
                <w:rFonts w:hint="eastAsia" w:ascii="宋体" w:hAnsi="宋体"/>
                <w:sz w:val="24"/>
                <w:u w:val="single"/>
              </w:rPr>
              <w:t>1</w:t>
            </w:r>
            <w:r>
              <w:rPr>
                <w:rFonts w:ascii="宋体" w:hAnsi="宋体"/>
                <w:sz w:val="24"/>
                <w:u w:val="single"/>
              </w:rPr>
              <w:t xml:space="preserve"> </w:t>
            </w:r>
            <w:r>
              <w:rPr>
                <w:rFonts w:hint="eastAsia" w:ascii="宋体" w:hAnsi="宋体"/>
                <w:sz w:val="24"/>
              </w:rPr>
              <w:t>年的维保，维保到期后乙方提出履约保证金付款申请，甲方收到申请</w:t>
            </w:r>
            <w:r>
              <w:rPr>
                <w:rFonts w:hint="eastAsia" w:ascii="宋体" w:hAnsi="宋体"/>
                <w:sz w:val="24"/>
                <w:lang w:val="en-US" w:eastAsia="zh-CN"/>
              </w:rPr>
              <w:t>30</w:t>
            </w:r>
            <w:r>
              <w:rPr>
                <w:rFonts w:hint="eastAsia" w:ascii="宋体" w:hAnsi="宋体"/>
                <w:sz w:val="24"/>
              </w:rPr>
              <w:t>个工作日</w:t>
            </w:r>
            <w:r>
              <w:rPr>
                <w:rFonts w:hint="eastAsia" w:ascii="宋体" w:hAnsi="宋体"/>
                <w:sz w:val="24"/>
                <w:lang w:val="en-US" w:eastAsia="zh-CN"/>
              </w:rPr>
              <w:t>后</w:t>
            </w:r>
            <w:r>
              <w:rPr>
                <w:rFonts w:hint="eastAsia" w:ascii="宋体" w:hAnsi="宋体"/>
                <w:sz w:val="24"/>
              </w:rPr>
              <w:t>将履约保证金（合同金额</w:t>
            </w:r>
            <w:r>
              <w:rPr>
                <w:rFonts w:hint="eastAsia" w:ascii="宋体" w:hAnsi="宋体"/>
                <w:sz w:val="24"/>
                <w:lang w:val="en-US" w:eastAsia="zh-CN"/>
              </w:rPr>
              <w:t>5</w:t>
            </w:r>
            <w:r>
              <w:rPr>
                <w:rFonts w:ascii="宋体" w:hAnsi="宋体"/>
                <w:sz w:val="24"/>
              </w:rPr>
              <w:t>%</w:t>
            </w:r>
            <w:r>
              <w:rPr>
                <w:rFonts w:hint="eastAsia" w:ascii="宋体" w:hAnsi="宋体"/>
                <w:sz w:val="24"/>
              </w:rPr>
              <w:t>）一次性支付给乙方。合同维保到期以后每年的维保费用不超过合同总额的</w:t>
            </w:r>
            <w:r>
              <w:rPr>
                <w:rFonts w:ascii="宋体" w:hAnsi="宋体"/>
                <w:sz w:val="24"/>
                <w:u w:val="single"/>
              </w:rPr>
              <w:t xml:space="preserve"> </w:t>
            </w:r>
            <w:r>
              <w:rPr>
                <w:rFonts w:hint="eastAsia" w:ascii="宋体" w:hAnsi="宋体"/>
                <w:sz w:val="24"/>
                <w:u w:val="single"/>
              </w:rPr>
              <w:t>8</w:t>
            </w:r>
            <w:r>
              <w:rPr>
                <w:rFonts w:ascii="宋体" w:hAnsi="宋体"/>
                <w:sz w:val="24"/>
                <w:u w:val="single"/>
              </w:rPr>
              <w:t xml:space="preserve"> </w:t>
            </w:r>
            <w:r>
              <w:rPr>
                <w:rFonts w:ascii="宋体" w:hAnsi="宋体"/>
                <w:sz w:val="24"/>
              </w:rPr>
              <w:t>%</w:t>
            </w:r>
            <w:r>
              <w:rPr>
                <w:rFonts w:hint="eastAsia" w:ascii="宋体" w:hAnsi="宋体"/>
                <w:sz w:val="24"/>
              </w:rPr>
              <w:t>，维保协议双方另行签订。</w:t>
            </w:r>
          </w:p>
          <w:p w14:paraId="4FEE8D91">
            <w:pPr>
              <w:snapToGrid w:val="0"/>
              <w:spacing w:line="336" w:lineRule="exact"/>
              <w:rPr>
                <w:rFonts w:hint="eastAsia" w:ascii="宋体" w:hAnsi="宋体" w:cs="宋体"/>
                <w:bCs/>
                <w:color w:val="auto"/>
                <w:kern w:val="0"/>
                <w:sz w:val="24"/>
                <w:highlight w:val="none"/>
              </w:rPr>
            </w:pPr>
            <w:r>
              <w:rPr>
                <w:rFonts w:hint="eastAsia" w:ascii="宋体" w:hAnsi="宋体" w:cs="宋体"/>
                <w:bCs/>
                <w:sz w:val="24"/>
              </w:rPr>
              <w:t>2.中标人申请款项时需同时开具正式足额发票给招标人，否则招标人可以拒绝付款。</w:t>
            </w:r>
          </w:p>
        </w:tc>
      </w:tr>
      <w:tr w14:paraId="4CCF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9" w:type="dxa"/>
            <w:shd w:val="clear" w:color="auto" w:fill="auto"/>
            <w:vAlign w:val="center"/>
          </w:tcPr>
          <w:p w14:paraId="634BD699">
            <w:pPr>
              <w:snapToGrid w:val="0"/>
              <w:spacing w:line="336" w:lineRule="exact"/>
              <w:rPr>
                <w:rFonts w:hint="eastAsia" w:ascii="宋体" w:hAnsi="宋体" w:cs="宋体"/>
                <w:bCs/>
                <w:color w:val="auto"/>
                <w:sz w:val="24"/>
                <w:highlight w:val="none"/>
              </w:rPr>
            </w:pPr>
            <w:r>
              <w:rPr>
                <w:rFonts w:hint="eastAsia" w:ascii="宋体" w:hAnsi="宋体" w:cs="宋体"/>
                <w:color w:val="auto"/>
                <w:sz w:val="24"/>
                <w:highlight w:val="none"/>
                <w:lang w:val="zh-CN"/>
              </w:rPr>
              <w:t>（</w:t>
            </w:r>
            <w:r>
              <w:rPr>
                <w:rFonts w:hint="eastAsia" w:ascii="宋体" w:hAnsi="宋体" w:cs="宋体"/>
                <w:color w:val="auto"/>
                <w:sz w:val="24"/>
                <w:highlight w:val="none"/>
              </w:rPr>
              <w:t>五</w:t>
            </w:r>
            <w:r>
              <w:rPr>
                <w:rFonts w:hint="eastAsia" w:ascii="宋体" w:hAnsi="宋体" w:cs="宋体"/>
                <w:color w:val="auto"/>
                <w:sz w:val="24"/>
                <w:highlight w:val="none"/>
                <w:lang w:val="zh-CN"/>
              </w:rPr>
              <w:t>）</w:t>
            </w:r>
            <w:r>
              <w:rPr>
                <w:rFonts w:hint="eastAsia" w:ascii="宋体" w:hAnsi="宋体" w:cs="宋体"/>
                <w:color w:val="auto"/>
                <w:sz w:val="24"/>
                <w:highlight w:val="none"/>
              </w:rPr>
              <w:t>验收标准</w:t>
            </w:r>
          </w:p>
        </w:tc>
        <w:tc>
          <w:tcPr>
            <w:tcW w:w="7628" w:type="dxa"/>
            <w:shd w:val="clear" w:color="auto" w:fill="auto"/>
            <w:vAlign w:val="center"/>
          </w:tcPr>
          <w:p w14:paraId="6F74989A">
            <w:pPr>
              <w:adjustRightInd w:val="0"/>
              <w:snapToGrid w:val="0"/>
              <w:spacing w:line="360" w:lineRule="exact"/>
              <w:rPr>
                <w:rFonts w:hint="eastAsia" w:ascii="宋体" w:hAnsi="宋体" w:cs="宋体"/>
                <w:color w:val="auto"/>
                <w:spacing w:val="-2"/>
                <w:sz w:val="24"/>
                <w:highlight w:val="none"/>
              </w:rPr>
            </w:pPr>
            <w:r>
              <w:rPr>
                <w:rFonts w:hint="eastAsia" w:ascii="宋体" w:hAnsi="宋体" w:cs="宋体"/>
                <w:color w:val="auto"/>
                <w:spacing w:val="-2"/>
                <w:sz w:val="24"/>
                <w:highlight w:val="none"/>
              </w:rPr>
              <w:t>1.依据</w:t>
            </w:r>
            <w:r>
              <w:rPr>
                <w:rFonts w:hint="eastAsia" w:ascii="宋体" w:hAnsi="宋体" w:cs="宋体"/>
                <w:color w:val="auto"/>
                <w:spacing w:val="-2"/>
                <w:sz w:val="24"/>
                <w:highlight w:val="none"/>
                <w:lang w:val="en-US" w:eastAsia="zh-CN"/>
              </w:rPr>
              <w:t>议价</w:t>
            </w:r>
            <w:r>
              <w:rPr>
                <w:rFonts w:hint="eastAsia" w:ascii="宋体" w:hAnsi="宋体" w:cs="宋体"/>
                <w:color w:val="auto"/>
                <w:spacing w:val="-2"/>
                <w:sz w:val="24"/>
                <w:highlight w:val="none"/>
              </w:rPr>
              <w:t>文件要求的采购需求、供应商报价响应文件承诺以及国家现行相关标准、规范履行合同。</w:t>
            </w:r>
          </w:p>
          <w:p w14:paraId="670F30CC">
            <w:pPr>
              <w:snapToGrid w:val="0"/>
              <w:spacing w:line="336" w:lineRule="exact"/>
              <w:rPr>
                <w:rFonts w:hint="eastAsia" w:ascii="宋体" w:hAnsi="宋体" w:cs="宋体"/>
                <w:bCs/>
                <w:color w:val="auto"/>
                <w:kern w:val="0"/>
                <w:sz w:val="24"/>
                <w:highlight w:val="none"/>
              </w:rPr>
            </w:pPr>
            <w:r>
              <w:rPr>
                <w:rFonts w:hint="eastAsia" w:ascii="宋体" w:hAnsi="宋体" w:cs="宋体"/>
                <w:color w:val="auto"/>
                <w:spacing w:val="-2"/>
                <w:sz w:val="24"/>
                <w:highlight w:val="none"/>
              </w:rPr>
              <w:t>2.采购人依照国家相关法律法规及行业规定及</w:t>
            </w:r>
            <w:r>
              <w:rPr>
                <w:rFonts w:hint="eastAsia" w:ascii="宋体" w:hAnsi="宋体" w:cs="宋体"/>
                <w:color w:val="auto"/>
                <w:spacing w:val="-2"/>
                <w:sz w:val="24"/>
                <w:highlight w:val="none"/>
                <w:lang w:val="en-US" w:eastAsia="zh-CN"/>
              </w:rPr>
              <w:t>议</w:t>
            </w:r>
            <w:r>
              <w:rPr>
                <w:rFonts w:hint="eastAsia" w:ascii="宋体" w:hAnsi="宋体" w:cs="宋体"/>
                <w:color w:val="auto"/>
                <w:spacing w:val="-2"/>
                <w:sz w:val="24"/>
                <w:highlight w:val="none"/>
              </w:rPr>
              <w:t>价文件要求、供应商报价响应文件承诺进行验收。</w:t>
            </w:r>
          </w:p>
        </w:tc>
      </w:tr>
      <w:tr w14:paraId="267A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9" w:type="dxa"/>
            <w:shd w:val="clear" w:color="auto" w:fill="auto"/>
            <w:vAlign w:val="center"/>
          </w:tcPr>
          <w:p w14:paraId="600A2A5C">
            <w:pPr>
              <w:rPr>
                <w:rFonts w:hint="eastAsia" w:ascii="宋体" w:hAnsi="宋体" w:cs="宋体"/>
                <w:bCs/>
                <w:color w:val="auto"/>
                <w:sz w:val="24"/>
                <w:highlight w:val="none"/>
              </w:rPr>
            </w:pPr>
            <w:r>
              <w:rPr>
                <w:rFonts w:hint="eastAsia" w:ascii="宋体" w:hAnsi="宋体" w:cs="宋体"/>
                <w:bCs/>
                <w:color w:val="auto"/>
                <w:sz w:val="24"/>
                <w:highlight w:val="none"/>
              </w:rPr>
              <w:t>（六）报价要求</w:t>
            </w:r>
          </w:p>
        </w:tc>
        <w:tc>
          <w:tcPr>
            <w:tcW w:w="7628" w:type="dxa"/>
            <w:shd w:val="clear" w:color="auto" w:fill="auto"/>
            <w:vAlign w:val="center"/>
          </w:tcPr>
          <w:p w14:paraId="0107E21E">
            <w:pPr>
              <w:pStyle w:val="30"/>
              <w:rPr>
                <w:rFonts w:hint="eastAsia" w:ascii="宋体" w:hAnsi="宋体" w:cs="宋体"/>
                <w:bCs/>
                <w:color w:val="auto"/>
                <w:kern w:val="0"/>
                <w:sz w:val="24"/>
                <w:highlight w:val="none"/>
              </w:rPr>
            </w:pPr>
            <w:r>
              <w:rPr>
                <w:rFonts w:hint="eastAsia" w:ascii="宋体" w:hAnsi="宋体" w:eastAsia="宋体" w:cs="宋体"/>
                <w:color w:val="auto"/>
                <w:spacing w:val="-2"/>
                <w:sz w:val="24"/>
                <w:szCs w:val="24"/>
                <w:highlight w:val="none"/>
              </w:rPr>
              <w:t>本项目采用</w:t>
            </w:r>
            <w:r>
              <w:rPr>
                <w:rFonts w:hint="eastAsia" w:ascii="宋体" w:hAnsi="宋体" w:eastAsia="宋体" w:cs="宋体"/>
                <w:color w:val="auto"/>
                <w:sz w:val="24"/>
                <w:szCs w:val="24"/>
                <w:highlight w:val="none"/>
                <w:lang w:val="en-US" w:eastAsia="zh-CN"/>
              </w:rPr>
              <w:t>一般用固定总价</w:t>
            </w:r>
            <w:r>
              <w:rPr>
                <w:rFonts w:hint="eastAsia" w:ascii="宋体" w:hAnsi="宋体" w:eastAsia="宋体" w:cs="宋体"/>
                <w:color w:val="auto"/>
                <w:spacing w:val="-2"/>
                <w:sz w:val="24"/>
                <w:szCs w:val="24"/>
                <w:highlight w:val="none"/>
              </w:rPr>
              <w:t>方式报价，</w:t>
            </w:r>
            <w:r>
              <w:rPr>
                <w:rFonts w:hint="eastAsia" w:ascii="宋体" w:hAnsi="宋体" w:eastAsia="宋体" w:cs="宋体"/>
                <w:color w:val="auto"/>
                <w:sz w:val="24"/>
                <w:szCs w:val="24"/>
                <w:highlight w:val="none"/>
              </w:rPr>
              <w:t>价格中应包含软硬件安装、调试、系统集成、试运行、测试和其他相关服务及全套技术资料、附件、辅材等正常使用所必需的组件，以及与之相关发生的所有税费的总价</w:t>
            </w:r>
            <w:r>
              <w:rPr>
                <w:rFonts w:hint="eastAsia" w:ascii="宋体" w:hAnsi="宋体" w:eastAsia="宋体" w:cs="宋体"/>
                <w:color w:val="auto"/>
                <w:spacing w:val="-2"/>
                <w:sz w:val="24"/>
                <w:szCs w:val="24"/>
                <w:highlight w:val="none"/>
              </w:rPr>
              <w:t>。在合同实施时，采购人将不予支付完成本项目必须的但成交人没有列入的费用，并认为此费用已包括在报价中。</w:t>
            </w:r>
          </w:p>
        </w:tc>
      </w:tr>
      <w:tr w14:paraId="223A5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9" w:type="dxa"/>
            <w:shd w:val="clear" w:color="auto" w:fill="auto"/>
            <w:vAlign w:val="center"/>
          </w:tcPr>
          <w:p w14:paraId="3DB9A613">
            <w:pPr>
              <w:rPr>
                <w:rFonts w:hint="eastAsia" w:ascii="宋体" w:hAnsi="宋体" w:cs="宋体"/>
                <w:bCs/>
                <w:color w:val="auto"/>
                <w:sz w:val="24"/>
                <w:highlight w:val="none"/>
              </w:rPr>
            </w:pPr>
            <w:r>
              <w:rPr>
                <w:rFonts w:hint="eastAsia" w:ascii="宋体" w:hAnsi="宋体" w:cs="宋体"/>
                <w:bCs/>
                <w:color w:val="auto"/>
                <w:sz w:val="24"/>
                <w:highlight w:val="none"/>
              </w:rPr>
              <w:t>（七）最高限价</w:t>
            </w:r>
          </w:p>
        </w:tc>
        <w:tc>
          <w:tcPr>
            <w:tcW w:w="7628" w:type="dxa"/>
            <w:shd w:val="clear" w:color="auto" w:fill="auto"/>
            <w:vAlign w:val="center"/>
          </w:tcPr>
          <w:p w14:paraId="1624F0E6">
            <w:pPr>
              <w:widowControl/>
              <w:jc w:val="left"/>
              <w:rPr>
                <w:rFonts w:hint="eastAsia" w:ascii="宋体" w:hAnsi="宋体" w:cs="宋体"/>
                <w:bCs/>
                <w:color w:val="auto"/>
                <w:kern w:val="0"/>
                <w:sz w:val="24"/>
                <w:highlight w:val="none"/>
              </w:rPr>
            </w:pPr>
            <w:r>
              <w:rPr>
                <w:rFonts w:hint="eastAsia" w:ascii="宋体" w:hAnsi="宋体" w:cs="宋体"/>
                <w:color w:val="auto"/>
                <w:spacing w:val="-2"/>
                <w:sz w:val="24"/>
                <w:highlight w:val="none"/>
              </w:rPr>
              <w:t>本项目预算金额为</w:t>
            </w:r>
            <w:r>
              <w:rPr>
                <w:rFonts w:hint="eastAsia" w:ascii="宋体" w:hAnsi="宋体" w:cs="宋体"/>
                <w:color w:val="auto"/>
                <w:sz w:val="24"/>
                <w:highlight w:val="none"/>
              </w:rPr>
              <w:t>人民币贰拾柒万捌仟元整（¥278000）</w:t>
            </w:r>
            <w:r>
              <w:rPr>
                <w:rFonts w:hint="eastAsia" w:ascii="宋体" w:hAnsi="宋体" w:cs="宋体"/>
                <w:color w:val="auto"/>
                <w:spacing w:val="-2"/>
                <w:sz w:val="24"/>
                <w:highlight w:val="none"/>
              </w:rPr>
              <w:t>，供应商报价超出参考预算金额的，按无效处理。</w:t>
            </w:r>
          </w:p>
        </w:tc>
      </w:tr>
      <w:tr w14:paraId="230E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2419" w:type="dxa"/>
            <w:shd w:val="clear" w:color="auto" w:fill="auto"/>
            <w:vAlign w:val="center"/>
          </w:tcPr>
          <w:p w14:paraId="33027C3E">
            <w:pPr>
              <w:rPr>
                <w:rFonts w:hint="eastAsia" w:ascii="宋体" w:hAnsi="宋体" w:cs="宋体"/>
                <w:bCs/>
                <w:color w:val="auto"/>
                <w:sz w:val="24"/>
                <w:highlight w:val="none"/>
              </w:rPr>
            </w:pPr>
            <w:r>
              <w:rPr>
                <w:rFonts w:hint="eastAsia" w:ascii="宋体" w:hAnsi="宋体" w:cs="宋体"/>
                <w:color w:val="auto"/>
                <w:sz w:val="24"/>
                <w:highlight w:val="none"/>
              </w:rPr>
              <w:t>（八）</w:t>
            </w:r>
            <w:r>
              <w:rPr>
                <w:rFonts w:hint="eastAsia" w:ascii="宋体" w:hAnsi="宋体" w:cs="宋体"/>
                <w:color w:val="auto"/>
                <w:sz w:val="24"/>
                <w:highlight w:val="none"/>
                <w:lang w:val="zh-CN"/>
              </w:rPr>
              <w:t>其他要求</w:t>
            </w:r>
          </w:p>
        </w:tc>
        <w:tc>
          <w:tcPr>
            <w:tcW w:w="7628" w:type="dxa"/>
            <w:shd w:val="clear" w:color="auto" w:fill="auto"/>
            <w:vAlign w:val="center"/>
          </w:tcPr>
          <w:p w14:paraId="0165377C">
            <w:pPr>
              <w:snapToGrid w:val="0"/>
              <w:spacing w:line="336" w:lineRule="exact"/>
              <w:rPr>
                <w:rFonts w:hint="eastAsia" w:ascii="宋体" w:hAnsi="宋体" w:cs="宋体"/>
                <w:bCs/>
                <w:color w:val="auto"/>
                <w:kern w:val="0"/>
                <w:sz w:val="24"/>
                <w:highlight w:val="none"/>
              </w:rPr>
            </w:pPr>
            <w:r>
              <w:rPr>
                <w:rFonts w:hint="eastAsia" w:ascii="宋体" w:hAnsi="宋体" w:cs="宋体"/>
                <w:color w:val="auto"/>
                <w:sz w:val="24"/>
                <w:highlight w:val="none"/>
              </w:rPr>
              <w:t>本项目所提供的软件必须具有合法的版权或使用权，如在本项目范围内使用过程中出现版权或使用权纠纷，应由中标人负责。</w:t>
            </w:r>
          </w:p>
        </w:tc>
      </w:tr>
    </w:tbl>
    <w:p w14:paraId="75807A81">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p w14:paraId="5CE8A42E">
      <w:pPr>
        <w:adjustRightInd w:val="0"/>
        <w:snapToGrid w:val="0"/>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三、合同主要条款</w:t>
      </w:r>
    </w:p>
    <w:p w14:paraId="63EF5DF0">
      <w:pPr>
        <w:snapToGrid w:val="0"/>
        <w:spacing w:line="360" w:lineRule="auto"/>
        <w:rPr>
          <w:rFonts w:ascii="宋体"/>
          <w:color w:val="auto"/>
          <w:sz w:val="24"/>
          <w:highlight w:val="none"/>
          <w:u w:val="single"/>
        </w:rPr>
      </w:pPr>
      <w:r>
        <w:rPr>
          <w:rFonts w:hint="eastAsia" w:ascii="宋体" w:hAnsi="宋体"/>
          <w:color w:val="auto"/>
          <w:sz w:val="24"/>
          <w:highlight w:val="none"/>
        </w:rPr>
        <w:t>甲方：</w:t>
      </w:r>
      <w:r>
        <w:rPr>
          <w:rFonts w:hint="eastAsia" w:ascii="宋体" w:hAnsi="宋体"/>
          <w:color w:val="auto"/>
          <w:sz w:val="24"/>
          <w:highlight w:val="none"/>
          <w:u w:val="single"/>
        </w:rPr>
        <w:t>桂林市人民医院</w:t>
      </w:r>
      <w:r>
        <w:rPr>
          <w:rFonts w:ascii="宋体" w:hAnsi="宋体"/>
          <w:color w:val="auto"/>
          <w:sz w:val="24"/>
          <w:highlight w:val="none"/>
          <w:u w:val="single"/>
        </w:rPr>
        <w:t xml:space="preserve">  </w:t>
      </w:r>
    </w:p>
    <w:p w14:paraId="70F3A93C">
      <w:pPr>
        <w:snapToGrid w:val="0"/>
        <w:spacing w:line="360" w:lineRule="auto"/>
        <w:rPr>
          <w:rFonts w:ascii="宋体"/>
          <w:color w:val="auto"/>
          <w:sz w:val="24"/>
          <w:highlight w:val="none"/>
        </w:rPr>
      </w:pPr>
      <w:r>
        <w:rPr>
          <w:rFonts w:hint="eastAsia" w:ascii="宋体" w:hAnsi="宋体"/>
          <w:color w:val="auto"/>
          <w:sz w:val="24"/>
          <w:highlight w:val="none"/>
        </w:rPr>
        <w:t>注册地址：广西桂林市象山区文明路</w:t>
      </w:r>
      <w:r>
        <w:rPr>
          <w:rFonts w:ascii="宋体" w:hAnsi="宋体"/>
          <w:color w:val="auto"/>
          <w:sz w:val="24"/>
          <w:highlight w:val="none"/>
        </w:rPr>
        <w:t>12</w:t>
      </w:r>
      <w:r>
        <w:rPr>
          <w:rFonts w:hint="eastAsia" w:ascii="宋体" w:hAnsi="宋体"/>
          <w:color w:val="auto"/>
          <w:sz w:val="24"/>
          <w:highlight w:val="none"/>
        </w:rPr>
        <w:t>号</w:t>
      </w:r>
    </w:p>
    <w:p w14:paraId="4EB055F6">
      <w:pPr>
        <w:snapToGrid w:val="0"/>
        <w:spacing w:line="360" w:lineRule="auto"/>
        <w:rPr>
          <w:rFonts w:ascii="宋体"/>
          <w:color w:val="auto"/>
          <w:sz w:val="24"/>
          <w:highlight w:val="none"/>
        </w:rPr>
      </w:pPr>
      <w:r>
        <w:rPr>
          <w:rFonts w:hint="eastAsia" w:ascii="宋体" w:hAnsi="宋体"/>
          <w:color w:val="auto"/>
          <w:sz w:val="24"/>
          <w:highlight w:val="none"/>
        </w:rPr>
        <w:t>法定代表人：</w:t>
      </w:r>
      <w:r>
        <w:rPr>
          <w:rFonts w:ascii="宋体" w:hAnsi="宋体"/>
          <w:color w:val="auto"/>
          <w:sz w:val="24"/>
          <w:highlight w:val="none"/>
          <w:u w:val="single"/>
        </w:rPr>
        <w:t xml:space="preserve">          </w:t>
      </w:r>
    </w:p>
    <w:p w14:paraId="5DDE9F3F">
      <w:pPr>
        <w:snapToGrid w:val="0"/>
        <w:spacing w:line="360" w:lineRule="auto"/>
        <w:rPr>
          <w:rFonts w:ascii="宋体"/>
          <w:color w:val="auto"/>
          <w:sz w:val="24"/>
          <w:highlight w:val="none"/>
        </w:rPr>
      </w:pPr>
      <w:r>
        <w:rPr>
          <w:rFonts w:hint="eastAsia" w:ascii="宋体" w:hAnsi="宋体"/>
          <w:color w:val="auto"/>
          <w:sz w:val="24"/>
          <w:highlight w:val="none"/>
        </w:rPr>
        <w:t>联系人：</w:t>
      </w:r>
      <w:r>
        <w:rPr>
          <w:rFonts w:ascii="宋体" w:hAnsi="宋体"/>
          <w:color w:val="auto"/>
          <w:sz w:val="24"/>
          <w:highlight w:val="none"/>
          <w:u w:val="single"/>
        </w:rPr>
        <w:t xml:space="preserve">             </w:t>
      </w:r>
    </w:p>
    <w:p w14:paraId="40902EC5">
      <w:pPr>
        <w:snapToGrid w:val="0"/>
        <w:spacing w:line="360" w:lineRule="auto"/>
        <w:rPr>
          <w:rFonts w:ascii="宋体"/>
          <w:color w:val="auto"/>
          <w:sz w:val="24"/>
          <w:highlight w:val="none"/>
          <w:u w:val="single"/>
        </w:rPr>
      </w:pPr>
      <w:r>
        <w:rPr>
          <w:rFonts w:hint="eastAsia" w:ascii="宋体" w:hAnsi="宋体"/>
          <w:color w:val="auto"/>
          <w:sz w:val="24"/>
          <w:highlight w:val="none"/>
        </w:rPr>
        <w:t>联系电话：</w:t>
      </w:r>
      <w:r>
        <w:rPr>
          <w:rFonts w:ascii="宋体" w:hAnsi="宋体"/>
          <w:color w:val="auto"/>
          <w:sz w:val="24"/>
          <w:highlight w:val="none"/>
          <w:u w:val="single"/>
        </w:rPr>
        <w:t xml:space="preserve">              </w:t>
      </w:r>
    </w:p>
    <w:p w14:paraId="765F1135">
      <w:pPr>
        <w:snapToGrid w:val="0"/>
        <w:spacing w:line="360" w:lineRule="auto"/>
        <w:rPr>
          <w:rFonts w:ascii="宋体"/>
          <w:color w:val="auto"/>
          <w:sz w:val="24"/>
          <w:highlight w:val="none"/>
          <w:u w:val="single"/>
        </w:rPr>
      </w:pPr>
      <w:r>
        <w:rPr>
          <w:rFonts w:hint="eastAsia" w:ascii="宋体" w:hAnsi="宋体"/>
          <w:color w:val="auto"/>
          <w:sz w:val="24"/>
          <w:highlight w:val="none"/>
        </w:rPr>
        <w:t>通讯地址：广西桂林市象山区文明路</w:t>
      </w:r>
      <w:r>
        <w:rPr>
          <w:rFonts w:ascii="宋体" w:hAnsi="宋体"/>
          <w:color w:val="auto"/>
          <w:sz w:val="24"/>
          <w:highlight w:val="none"/>
        </w:rPr>
        <w:t>12</w:t>
      </w:r>
      <w:r>
        <w:rPr>
          <w:rFonts w:hint="eastAsia" w:ascii="宋体" w:hAnsi="宋体"/>
          <w:color w:val="auto"/>
          <w:sz w:val="24"/>
          <w:highlight w:val="none"/>
        </w:rPr>
        <w:t>号桂林市人民医院</w:t>
      </w:r>
    </w:p>
    <w:p w14:paraId="38240FB2">
      <w:pPr>
        <w:snapToGrid w:val="0"/>
        <w:spacing w:line="360" w:lineRule="auto"/>
        <w:rPr>
          <w:rFonts w:ascii="宋体"/>
          <w:color w:val="auto"/>
          <w:sz w:val="24"/>
          <w:highlight w:val="none"/>
        </w:rPr>
      </w:pPr>
    </w:p>
    <w:p w14:paraId="5A7AF9CD">
      <w:pPr>
        <w:snapToGrid w:val="0"/>
        <w:spacing w:line="360" w:lineRule="auto"/>
        <w:rPr>
          <w:rFonts w:ascii="宋体" w:cs="宋体"/>
          <w:color w:val="auto"/>
          <w:sz w:val="24"/>
          <w:highlight w:val="none"/>
          <w:u w:val="single"/>
        </w:rPr>
      </w:pPr>
      <w:r>
        <w:rPr>
          <w:rFonts w:hint="eastAsia" w:ascii="宋体" w:hAnsi="宋体"/>
          <w:color w:val="auto"/>
          <w:sz w:val="24"/>
          <w:highlight w:val="none"/>
        </w:rPr>
        <w:t>乙</w:t>
      </w:r>
      <w:r>
        <w:rPr>
          <w:rFonts w:hint="eastAsia" w:ascii="宋体" w:hAnsi="宋体" w:cs="宋体"/>
          <w:color w:val="auto"/>
          <w:sz w:val="24"/>
          <w:highlight w:val="none"/>
        </w:rPr>
        <w:t>方：</w:t>
      </w:r>
      <w:r>
        <w:rPr>
          <w:rFonts w:ascii="宋体" w:hAnsi="宋体" w:cs="宋体"/>
          <w:color w:val="auto"/>
          <w:sz w:val="24"/>
          <w:highlight w:val="none"/>
          <w:u w:val="single"/>
        </w:rPr>
        <w:t xml:space="preserve">                 </w:t>
      </w:r>
    </w:p>
    <w:p w14:paraId="3ACE1B05">
      <w:pPr>
        <w:snapToGrid w:val="0"/>
        <w:spacing w:line="360" w:lineRule="auto"/>
        <w:rPr>
          <w:rFonts w:ascii="宋体" w:cs="宋体"/>
          <w:color w:val="auto"/>
          <w:sz w:val="24"/>
          <w:highlight w:val="none"/>
        </w:rPr>
      </w:pPr>
      <w:r>
        <w:rPr>
          <w:rFonts w:hint="eastAsia" w:ascii="宋体" w:hAnsi="宋体" w:cs="宋体"/>
          <w:color w:val="auto"/>
          <w:sz w:val="24"/>
          <w:highlight w:val="none"/>
        </w:rPr>
        <w:t>注册地址：</w:t>
      </w:r>
      <w:r>
        <w:rPr>
          <w:rFonts w:ascii="宋体" w:hAnsi="宋体" w:cs="宋体"/>
          <w:color w:val="auto"/>
          <w:sz w:val="24"/>
          <w:highlight w:val="none"/>
          <w:u w:val="single"/>
        </w:rPr>
        <w:t xml:space="preserve">                                       </w:t>
      </w:r>
    </w:p>
    <w:p w14:paraId="0FEF57BA">
      <w:pPr>
        <w:snapToGrid w:val="0"/>
        <w:spacing w:line="360" w:lineRule="auto"/>
        <w:rPr>
          <w:rFonts w:ascii="宋体" w:cs="宋体"/>
          <w:color w:val="auto"/>
          <w:sz w:val="24"/>
          <w:highlight w:val="none"/>
        </w:rPr>
      </w:pPr>
      <w:r>
        <w:rPr>
          <w:rFonts w:hint="eastAsia" w:ascii="宋体" w:hAnsi="宋体" w:cs="宋体"/>
          <w:color w:val="auto"/>
          <w:sz w:val="24"/>
          <w:highlight w:val="none"/>
        </w:rPr>
        <w:t>法定代表人：</w:t>
      </w:r>
      <w:r>
        <w:rPr>
          <w:rFonts w:ascii="宋体" w:hAnsi="宋体" w:cs="宋体"/>
          <w:color w:val="auto"/>
          <w:sz w:val="24"/>
          <w:highlight w:val="none"/>
          <w:u w:val="single"/>
        </w:rPr>
        <w:t xml:space="preserve">              </w:t>
      </w:r>
    </w:p>
    <w:p w14:paraId="6C0523EE">
      <w:pPr>
        <w:snapToGrid w:val="0"/>
        <w:spacing w:line="360" w:lineRule="auto"/>
        <w:rPr>
          <w:rFonts w:ascii="宋体" w:cs="宋体"/>
          <w:color w:val="auto"/>
          <w:sz w:val="24"/>
          <w:highlight w:val="none"/>
        </w:rPr>
      </w:pPr>
      <w:r>
        <w:rPr>
          <w:rFonts w:hint="eastAsia" w:ascii="宋体" w:hAnsi="宋体" w:cs="宋体"/>
          <w:color w:val="auto"/>
          <w:sz w:val="24"/>
          <w:highlight w:val="none"/>
        </w:rPr>
        <w:t>联系人：</w:t>
      </w:r>
      <w:r>
        <w:rPr>
          <w:rFonts w:ascii="宋体" w:hAnsi="宋体" w:cs="宋体"/>
          <w:color w:val="auto"/>
          <w:sz w:val="24"/>
          <w:highlight w:val="none"/>
          <w:u w:val="single"/>
        </w:rPr>
        <w:t xml:space="preserve">           </w:t>
      </w:r>
    </w:p>
    <w:p w14:paraId="1C40457E">
      <w:pPr>
        <w:snapToGrid w:val="0"/>
        <w:spacing w:line="360" w:lineRule="auto"/>
        <w:rPr>
          <w:rFonts w:ascii="宋体" w:cs="宋体"/>
          <w:color w:val="auto"/>
          <w:sz w:val="24"/>
          <w:highlight w:val="none"/>
          <w:u w:val="single"/>
        </w:rPr>
      </w:pPr>
      <w:r>
        <w:rPr>
          <w:rFonts w:hint="eastAsia" w:ascii="宋体" w:hAnsi="宋体" w:cs="宋体"/>
          <w:color w:val="auto"/>
          <w:sz w:val="24"/>
          <w:highlight w:val="none"/>
        </w:rPr>
        <w:t>联系电话：</w:t>
      </w:r>
      <w:r>
        <w:rPr>
          <w:rFonts w:ascii="宋体" w:hAnsi="宋体" w:cs="宋体"/>
          <w:color w:val="auto"/>
          <w:sz w:val="24"/>
          <w:highlight w:val="none"/>
        </w:rPr>
        <w:t xml:space="preserve"> </w:t>
      </w:r>
      <w:r>
        <w:rPr>
          <w:rFonts w:ascii="宋体" w:hAnsi="宋体" w:cs="宋体"/>
          <w:color w:val="auto"/>
          <w:sz w:val="24"/>
          <w:highlight w:val="none"/>
          <w:u w:val="single"/>
        </w:rPr>
        <w:t xml:space="preserve">             </w:t>
      </w:r>
    </w:p>
    <w:p w14:paraId="68B6B921">
      <w:pPr>
        <w:snapToGrid w:val="0"/>
        <w:spacing w:before="156" w:after="156" w:line="360" w:lineRule="auto"/>
        <w:rPr>
          <w:rFonts w:ascii="宋体" w:cs="宋体"/>
          <w:color w:val="auto"/>
          <w:sz w:val="24"/>
          <w:highlight w:val="none"/>
          <w:u w:val="single"/>
        </w:rPr>
      </w:pPr>
      <w:r>
        <w:rPr>
          <w:rFonts w:hint="eastAsia" w:ascii="宋体" w:hAnsi="宋体" w:cs="宋体"/>
          <w:color w:val="auto"/>
          <w:sz w:val="24"/>
          <w:highlight w:val="none"/>
        </w:rPr>
        <w:t>通讯地址：</w:t>
      </w:r>
      <w:r>
        <w:rPr>
          <w:rFonts w:ascii="宋体" w:hAnsi="宋体" w:cs="宋体"/>
          <w:color w:val="auto"/>
          <w:sz w:val="24"/>
          <w:highlight w:val="none"/>
        </w:rPr>
        <w:t xml:space="preserve"> </w:t>
      </w:r>
      <w:r>
        <w:rPr>
          <w:rFonts w:ascii="宋体" w:hAnsi="宋体" w:cs="宋体"/>
          <w:color w:val="auto"/>
          <w:sz w:val="24"/>
          <w:highlight w:val="none"/>
          <w:u w:val="single"/>
          <w:shd w:val="clear" w:color="auto" w:fill="FFFFFF"/>
        </w:rPr>
        <w:t xml:space="preserve">                                         </w:t>
      </w:r>
    </w:p>
    <w:p w14:paraId="44E91655">
      <w:pPr>
        <w:adjustRightInd w:val="0"/>
        <w:snapToGrid w:val="0"/>
        <w:spacing w:before="156" w:beforeLines="50" w:after="156" w:afterLines="50" w:line="380" w:lineRule="exact"/>
        <w:ind w:firstLine="420"/>
        <w:rPr>
          <w:rFonts w:ascii="宋体" w:cs="宋体"/>
          <w:color w:val="auto"/>
          <w:sz w:val="24"/>
          <w:highlight w:val="none"/>
        </w:rPr>
      </w:pPr>
      <w:r>
        <w:rPr>
          <w:rFonts w:hint="eastAsia" w:ascii="宋体" w:hAnsi="宋体" w:cs="宋体"/>
          <w:color w:val="auto"/>
          <w:sz w:val="24"/>
          <w:highlight w:val="none"/>
        </w:rPr>
        <w:t>根据《中华人民共和国民法典》及其他有关法律、法规，经甲、乙双方协商一致，就乙方向甲方提供以下软件产品一事签署本合同如下：</w:t>
      </w:r>
    </w:p>
    <w:p w14:paraId="3D0A9192">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第一条　合同标的</w:t>
      </w:r>
    </w:p>
    <w:p w14:paraId="597F6DF2">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项目名称为：</w:t>
      </w:r>
      <w:r>
        <w:rPr>
          <w:rFonts w:ascii="宋体" w:hAnsi="宋体"/>
          <w:color w:val="auto"/>
          <w:sz w:val="24"/>
          <w:highlight w:val="none"/>
          <w:u w:val="single"/>
        </w:rPr>
        <w:t xml:space="preserve">                                           </w:t>
      </w:r>
      <w:r>
        <w:rPr>
          <w:rFonts w:hint="eastAsia" w:ascii="宋体" w:hAnsi="宋体"/>
          <w:color w:val="auto"/>
          <w:sz w:val="24"/>
          <w:highlight w:val="none"/>
        </w:rPr>
        <w:t>。</w:t>
      </w:r>
    </w:p>
    <w:p w14:paraId="08A9C9F0">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软件总价：</w:t>
      </w:r>
      <w:r>
        <w:rPr>
          <w:rFonts w:ascii="宋体" w:hAnsi="宋体"/>
          <w:color w:val="auto"/>
          <w:sz w:val="24"/>
          <w:highlight w:val="none"/>
          <w:u w:val="single"/>
        </w:rPr>
        <w:t xml:space="preserve">            </w:t>
      </w:r>
      <w:r>
        <w:rPr>
          <w:rFonts w:hint="eastAsia" w:ascii="宋体" w:hAnsi="宋体"/>
          <w:color w:val="auto"/>
          <w:sz w:val="24"/>
          <w:highlight w:val="none"/>
        </w:rPr>
        <w:t>元</w:t>
      </w:r>
      <w:r>
        <w:rPr>
          <w:rFonts w:ascii="宋体" w:hAnsi="宋体"/>
          <w:color w:val="auto"/>
          <w:sz w:val="24"/>
          <w:highlight w:val="none"/>
        </w:rPr>
        <w:t xml:space="preserve">   </w:t>
      </w:r>
      <w:r>
        <w:rPr>
          <w:rFonts w:hint="eastAsia" w:ascii="宋体" w:hAnsi="宋体"/>
          <w:color w:val="auto"/>
          <w:sz w:val="24"/>
          <w:highlight w:val="none"/>
        </w:rPr>
        <w:t>（大写人民币</w:t>
      </w:r>
      <w:r>
        <w:rPr>
          <w:rFonts w:ascii="宋体" w:hAnsi="宋体"/>
          <w:color w:val="auto"/>
          <w:sz w:val="24"/>
          <w:highlight w:val="none"/>
          <w:u w:val="single"/>
        </w:rPr>
        <w:t xml:space="preserve">         </w:t>
      </w:r>
      <w:r>
        <w:rPr>
          <w:rFonts w:hint="eastAsia" w:ascii="宋体" w:hAnsi="宋体"/>
          <w:color w:val="auto"/>
          <w:sz w:val="24"/>
          <w:highlight w:val="none"/>
        </w:rPr>
        <w:t>元整）</w:t>
      </w:r>
    </w:p>
    <w:p w14:paraId="74B4BAAD">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全部软件功能模块及价格清单详见本协议附件一。</w:t>
      </w:r>
    </w:p>
    <w:p w14:paraId="546A6B6B">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第二条　产品使用范围</w:t>
      </w:r>
    </w:p>
    <w:p w14:paraId="11A7C95B">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、甲方采购乙方软件产品的用途为</w:t>
      </w:r>
      <w:r>
        <w:rPr>
          <w:rFonts w:ascii="宋体" w:hAnsi="宋体"/>
          <w:color w:val="auto"/>
          <w:sz w:val="24"/>
          <w:highlight w:val="none"/>
          <w:u w:val="single"/>
        </w:rPr>
        <w:t xml:space="preserve">                            </w:t>
      </w:r>
      <w:r>
        <w:rPr>
          <w:rFonts w:hint="eastAsia" w:ascii="宋体" w:hAnsi="宋体"/>
          <w:color w:val="auto"/>
          <w:sz w:val="24"/>
          <w:highlight w:val="none"/>
        </w:rPr>
        <w:t>。</w:t>
      </w:r>
    </w:p>
    <w:p w14:paraId="6CE46798">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、甲方仅可以在本院范围内使用乙方产品。如果甲方需要在超出本合同规定的使用范围以外使用乙方产品，应向乙方提出书面申请，并由双方另行签署合同或补充协议。</w:t>
      </w:r>
    </w:p>
    <w:p w14:paraId="116733A0">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第三条</w:t>
      </w:r>
      <w:r>
        <w:rPr>
          <w:rFonts w:ascii="宋体" w:hAnsi="宋体"/>
          <w:b/>
          <w:color w:val="auto"/>
          <w:sz w:val="24"/>
          <w:highlight w:val="none"/>
        </w:rPr>
        <w:t xml:space="preserve">  </w:t>
      </w:r>
      <w:r>
        <w:rPr>
          <w:rFonts w:hint="eastAsia" w:ascii="宋体" w:hAnsi="宋体"/>
          <w:b/>
          <w:color w:val="auto"/>
          <w:sz w:val="24"/>
          <w:highlight w:val="none"/>
        </w:rPr>
        <w:t>甲方权利义务</w:t>
      </w:r>
    </w:p>
    <w:p w14:paraId="3F3428EA">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、甲方应按乙方要求提供合同所规定的软件产品所需的硬件设备及硬件、网络环境，并有责任为乙方安装、调试及培训提供便利的工作条件。</w:t>
      </w:r>
    </w:p>
    <w:p w14:paraId="4F125DCB">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、甲方有责任为乙方的安装工作进行内部各部门、各营业部的协调，调动相关资源。</w:t>
      </w:r>
    </w:p>
    <w:p w14:paraId="0EA504D9">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如该软件产品的安装需要第三方给予软、硬件配合的，甲方有责任按照乙方安装产品所需的条件与相关第三方沟通，确保产品能够顺利安装、调试。如由于甲方与第三方沟通问题，或第三方自身问题导致产品无法按照本合同“第五条</w:t>
      </w:r>
      <w:r>
        <w:rPr>
          <w:rFonts w:ascii="宋体" w:hAnsi="宋体"/>
          <w:color w:val="auto"/>
          <w:sz w:val="24"/>
          <w:highlight w:val="none"/>
        </w:rPr>
        <w:t xml:space="preserve"> </w:t>
      </w:r>
      <w:r>
        <w:rPr>
          <w:rFonts w:hint="eastAsia" w:ascii="宋体" w:hAnsi="宋体"/>
          <w:color w:val="auto"/>
          <w:sz w:val="24"/>
          <w:highlight w:val="none"/>
        </w:rPr>
        <w:t>产品交付”的约定时间正常交付，则甲乙双方约定在原有交付约定时间基础上顺延。</w:t>
      </w:r>
    </w:p>
    <w:p w14:paraId="6BB7B2F9">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、甲方应按照本协议规定的时间按时足额的向乙方支付相关费用。</w:t>
      </w:r>
    </w:p>
    <w:p w14:paraId="0159F8D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、非因产品质量问题或交付产品与合同规定不符的，甲方不得退回产品。</w:t>
      </w:r>
    </w:p>
    <w:p w14:paraId="73ACFA3E">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6</w:t>
      </w:r>
      <w:r>
        <w:rPr>
          <w:rFonts w:hint="eastAsia" w:ascii="宋体" w:hAnsi="宋体"/>
          <w:color w:val="auto"/>
          <w:sz w:val="24"/>
          <w:highlight w:val="none"/>
        </w:rPr>
        <w:t>、甲方应当按乙方所提供的相关软件的操作手册进行操作，以确保软件产品运行安全可靠。</w:t>
      </w:r>
    </w:p>
    <w:p w14:paraId="4E091310">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第四条</w:t>
      </w:r>
      <w:r>
        <w:rPr>
          <w:rFonts w:ascii="宋体" w:hAnsi="宋体"/>
          <w:b/>
          <w:color w:val="auto"/>
          <w:sz w:val="24"/>
          <w:highlight w:val="none"/>
        </w:rPr>
        <w:t xml:space="preserve"> </w:t>
      </w:r>
      <w:r>
        <w:rPr>
          <w:rFonts w:hint="eastAsia" w:ascii="宋体" w:hAnsi="宋体"/>
          <w:b/>
          <w:color w:val="auto"/>
          <w:sz w:val="24"/>
          <w:highlight w:val="none"/>
        </w:rPr>
        <w:t>乙方权利义务</w:t>
      </w:r>
    </w:p>
    <w:p w14:paraId="4D2D1977">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、乙方承诺本合同软件由原厂商供应并完全符合厂商规定的质量、规格、性能及标准，乙方并保证本合同软件在正确安装、正常使用和维护的情况下运行良好。</w:t>
      </w:r>
    </w:p>
    <w:p w14:paraId="5636BD1A">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、乙方承诺以上软件产品系经严格测试、成熟稳定、无病毒及重大缺陷的软件产品。</w:t>
      </w:r>
    </w:p>
    <w:p w14:paraId="0D01643E">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、乙方承诺以上软件产品符合网络安全等级保护三级相关技术规范和要求，若不满足，乙方免费升级优化，直至满足。</w:t>
      </w:r>
    </w:p>
    <w:p w14:paraId="096F512E">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、乙方承诺以上软件产品无任何著作权归属的纠纷，并承诺以上产品皆为可执行的软件产品，未在其中设置任何妨碍软件正常运行的限制措施。</w:t>
      </w:r>
    </w:p>
    <w:p w14:paraId="0E89FD19">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、乙方应为甲方提供相关软件产品及相应的技术文档，包含规格说明书、操作手册、项目实施文档、项目过程资产文档等，有责任对甲方相关人员进行管理、操作、使用及技术培训。</w:t>
      </w:r>
    </w:p>
    <w:p w14:paraId="5EBF6213">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6</w:t>
      </w:r>
      <w:r>
        <w:rPr>
          <w:rFonts w:hint="eastAsia" w:ascii="宋体" w:hAnsi="宋体"/>
          <w:color w:val="auto"/>
          <w:sz w:val="24"/>
          <w:highlight w:val="none"/>
        </w:rPr>
        <w:t>、乙方以优惠价格向甲方提供软件产品的版本升级服务，具体价款等内容由甲、乙双方协商后签署补充协议或服务协议。</w:t>
      </w:r>
    </w:p>
    <w:p w14:paraId="6F22635E">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7</w:t>
      </w:r>
      <w:r>
        <w:rPr>
          <w:rFonts w:hint="eastAsia" w:ascii="宋体" w:hAnsi="宋体"/>
          <w:color w:val="auto"/>
          <w:sz w:val="24"/>
          <w:highlight w:val="none"/>
        </w:rPr>
        <w:t>、乙方为甲方提供免费培训服务，以确保甲方人员能熟练使用和操作该产品。</w:t>
      </w:r>
    </w:p>
    <w:p w14:paraId="154AFFA4">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8</w:t>
      </w:r>
      <w:r>
        <w:rPr>
          <w:rFonts w:hint="eastAsia" w:ascii="宋体" w:hAnsi="宋体"/>
          <w:color w:val="auto"/>
          <w:sz w:val="24"/>
          <w:highlight w:val="none"/>
        </w:rPr>
        <w:t>、以上软件产品在项目实施及维护期间，乙方免费向第三方提供接口。</w:t>
      </w:r>
    </w:p>
    <w:p w14:paraId="793DFF08">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9</w:t>
      </w:r>
      <w:r>
        <w:rPr>
          <w:rFonts w:hint="eastAsia" w:ascii="宋体" w:hAnsi="宋体"/>
          <w:color w:val="auto"/>
          <w:sz w:val="24"/>
          <w:highlight w:val="none"/>
        </w:rPr>
        <w:t>、乙方需安排符合甲方要求的项目人员到场进行项目管理和实施，如项目人员发生变动或离场的需提前一周先甲方申请，甲方认可后方允许变更或离场。</w:t>
      </w:r>
      <w:r>
        <w:rPr>
          <w:rFonts w:ascii="宋体" w:hAnsi="宋体"/>
          <w:color w:val="auto"/>
          <w:sz w:val="24"/>
          <w:highlight w:val="none"/>
        </w:rPr>
        <w:t xml:space="preserve"> </w:t>
      </w:r>
    </w:p>
    <w:p w14:paraId="5A6DC88C">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第五条</w:t>
      </w:r>
      <w:r>
        <w:rPr>
          <w:rFonts w:ascii="宋体" w:hAnsi="宋体"/>
          <w:b/>
          <w:color w:val="auto"/>
          <w:sz w:val="24"/>
          <w:highlight w:val="none"/>
        </w:rPr>
        <w:t xml:space="preserve">  </w:t>
      </w:r>
      <w:r>
        <w:rPr>
          <w:rFonts w:hint="eastAsia" w:ascii="宋体" w:hAnsi="宋体"/>
          <w:b/>
          <w:color w:val="auto"/>
          <w:sz w:val="24"/>
          <w:highlight w:val="none"/>
        </w:rPr>
        <w:t>产品交付</w:t>
      </w:r>
    </w:p>
    <w:p w14:paraId="40B37967">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交付时间：乙方应于合同签订后</w:t>
      </w:r>
      <w:r>
        <w:rPr>
          <w:rFonts w:ascii="宋体" w:hAnsi="宋体"/>
          <w:color w:val="auto"/>
          <w:sz w:val="24"/>
          <w:highlight w:val="none"/>
          <w:u w:val="single"/>
        </w:rPr>
        <w:t xml:space="preserve">   </w:t>
      </w:r>
      <w:r>
        <w:rPr>
          <w:rFonts w:hint="eastAsia" w:ascii="宋体" w:hAnsi="宋体"/>
          <w:color w:val="auto"/>
          <w:sz w:val="24"/>
          <w:highlight w:val="none"/>
        </w:rPr>
        <w:t>个工作日内向甲方交付产品，产品以</w:t>
      </w:r>
      <w:r>
        <w:rPr>
          <w:rFonts w:ascii="宋体" w:hAnsi="宋体"/>
          <w:color w:val="auto"/>
          <w:sz w:val="24"/>
          <w:highlight w:val="none"/>
          <w:u w:val="single"/>
        </w:rPr>
        <w:t xml:space="preserve">     </w:t>
      </w:r>
      <w:r>
        <w:rPr>
          <w:rFonts w:hint="eastAsia" w:ascii="宋体" w:hAnsi="宋体"/>
          <w:color w:val="auto"/>
          <w:sz w:val="24"/>
          <w:highlight w:val="none"/>
        </w:rPr>
        <w:t>为载体。</w:t>
      </w:r>
    </w:p>
    <w:p w14:paraId="40453664">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交付地点：</w:t>
      </w:r>
      <w:r>
        <w:rPr>
          <w:rFonts w:ascii="宋体" w:hAnsi="宋体"/>
          <w:color w:val="auto"/>
          <w:sz w:val="24"/>
          <w:highlight w:val="none"/>
        </w:rPr>
        <w:t xml:space="preserve"> </w:t>
      </w:r>
      <w:r>
        <w:rPr>
          <w:rFonts w:hint="eastAsia" w:ascii="宋体" w:hAnsi="宋体"/>
          <w:color w:val="auto"/>
          <w:sz w:val="24"/>
          <w:highlight w:val="none"/>
        </w:rPr>
        <w:t>桂林市</w:t>
      </w:r>
    </w:p>
    <w:p w14:paraId="3A44693A">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接收人名称：</w:t>
      </w:r>
      <w:r>
        <w:rPr>
          <w:rFonts w:ascii="宋体"/>
          <w:color w:val="auto"/>
          <w:sz w:val="24"/>
          <w:highlight w:val="none"/>
        </w:rPr>
        <w:tab/>
      </w:r>
      <w:r>
        <w:rPr>
          <w:rFonts w:hint="eastAsia" w:ascii="宋体" w:hAnsi="宋体"/>
          <w:color w:val="auto"/>
          <w:sz w:val="24"/>
          <w:highlight w:val="none"/>
        </w:rPr>
        <w:t>桂林市人民医院</w:t>
      </w:r>
    </w:p>
    <w:p w14:paraId="6D85BA2C">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地址：广西桂林市象山区文明路</w:t>
      </w:r>
      <w:r>
        <w:rPr>
          <w:rFonts w:ascii="宋体" w:hAnsi="宋体"/>
          <w:color w:val="auto"/>
          <w:sz w:val="24"/>
          <w:highlight w:val="none"/>
        </w:rPr>
        <w:t>12</w:t>
      </w:r>
      <w:r>
        <w:rPr>
          <w:rFonts w:hint="eastAsia" w:ascii="宋体" w:hAnsi="宋体"/>
          <w:color w:val="auto"/>
          <w:sz w:val="24"/>
          <w:highlight w:val="none"/>
        </w:rPr>
        <w:t>号</w:t>
      </w:r>
    </w:p>
    <w:p w14:paraId="3E441D99">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电话：</w:t>
      </w:r>
      <w:r>
        <w:rPr>
          <w:rFonts w:ascii="宋体" w:hAnsi="宋体"/>
          <w:color w:val="auto"/>
          <w:sz w:val="24"/>
          <w:highlight w:val="none"/>
        </w:rPr>
        <w:t xml:space="preserve">       </w:t>
      </w:r>
    </w:p>
    <w:p w14:paraId="56305AE9">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传真：</w:t>
      </w:r>
      <w:r>
        <w:rPr>
          <w:rFonts w:ascii="宋体"/>
          <w:color w:val="auto"/>
          <w:sz w:val="24"/>
          <w:highlight w:val="none"/>
        </w:rPr>
        <w:tab/>
      </w:r>
    </w:p>
    <w:p w14:paraId="181C7ECE">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第六条</w:t>
      </w:r>
      <w:r>
        <w:rPr>
          <w:rFonts w:ascii="宋体" w:hAnsi="宋体"/>
          <w:b/>
          <w:color w:val="auto"/>
          <w:sz w:val="24"/>
          <w:highlight w:val="none"/>
        </w:rPr>
        <w:t xml:space="preserve">  </w:t>
      </w:r>
      <w:r>
        <w:rPr>
          <w:rFonts w:hint="eastAsia" w:ascii="宋体" w:hAnsi="宋体"/>
          <w:b/>
          <w:color w:val="auto"/>
          <w:sz w:val="24"/>
          <w:highlight w:val="none"/>
        </w:rPr>
        <w:t>验收标准和方式</w:t>
      </w:r>
      <w:r>
        <w:rPr>
          <w:rFonts w:ascii="宋体"/>
          <w:b/>
          <w:color w:val="auto"/>
          <w:sz w:val="24"/>
          <w:highlight w:val="none"/>
        </w:rPr>
        <w:tab/>
      </w:r>
      <w:r>
        <w:rPr>
          <w:rFonts w:ascii="宋体"/>
          <w:b/>
          <w:color w:val="auto"/>
          <w:sz w:val="24"/>
          <w:highlight w:val="none"/>
        </w:rPr>
        <w:tab/>
      </w:r>
    </w:p>
    <w:p w14:paraId="1839565E">
      <w:pPr>
        <w:adjustRightInd w:val="0"/>
        <w:snapToGrid w:val="0"/>
        <w:spacing w:before="156" w:beforeLines="50" w:after="156" w:afterLines="50" w:line="380" w:lineRule="exact"/>
        <w:ind w:left="-2" w:leftChars="-1"/>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、验收标准：产品验收范围应严格依据本合同及附件所界定的内容进行，验收合格与否应以附件《产品功能明细表》为验收标准。</w:t>
      </w:r>
    </w:p>
    <w:p w14:paraId="6AB30A18">
      <w:pPr>
        <w:adjustRightInd w:val="0"/>
        <w:snapToGrid w:val="0"/>
        <w:spacing w:before="156" w:beforeLines="50" w:after="156" w:afterLines="50" w:line="380" w:lineRule="exact"/>
        <w:ind w:left="-2" w:leftChars="-1"/>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、项目上线：完成系统全部功能模块安装部署并完成试运行，乙方完成用户培训，用户开始正常使用系统后，乙方提交项目上线报告，甲乙双方共同签署确认。</w:t>
      </w:r>
    </w:p>
    <w:p w14:paraId="71973287">
      <w:pPr>
        <w:adjustRightInd w:val="0"/>
        <w:snapToGrid w:val="0"/>
        <w:spacing w:before="156" w:beforeLines="50" w:after="156" w:afterLines="50" w:line="380" w:lineRule="exact"/>
        <w:ind w:left="-2" w:leftChars="-1"/>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、验收方式：在项目正式上线后，连续运行且无故障出现达到6</w:t>
      </w:r>
      <w:r>
        <w:rPr>
          <w:rFonts w:ascii="宋体" w:hAnsi="宋体"/>
          <w:color w:val="auto"/>
          <w:sz w:val="24"/>
          <w:highlight w:val="none"/>
        </w:rPr>
        <w:t>0</w:t>
      </w:r>
      <w:r>
        <w:rPr>
          <w:rFonts w:hint="eastAsia" w:ascii="宋体" w:hAnsi="宋体"/>
          <w:color w:val="auto"/>
          <w:sz w:val="24"/>
          <w:highlight w:val="none"/>
        </w:rPr>
        <w:t>日，甲乙双方共同进行软件验收满意度调查，发放合同附件二《软件验收满意度调查表》，抽查范围及人数根据软件应用范围由甲乙双方协商确认。验收满意率大于等于80%，乙方向甲方提请验收并提供验收报告。甲方在接到验收报告之日起</w:t>
      </w:r>
      <w:r>
        <w:rPr>
          <w:rFonts w:ascii="宋体" w:hAnsi="宋体"/>
          <w:color w:val="auto"/>
          <w:sz w:val="24"/>
          <w:highlight w:val="none"/>
        </w:rPr>
        <w:t>10</w:t>
      </w:r>
      <w:r>
        <w:rPr>
          <w:rFonts w:hint="eastAsia" w:ascii="宋体" w:hAnsi="宋体"/>
          <w:color w:val="auto"/>
          <w:sz w:val="24"/>
          <w:highlight w:val="none"/>
        </w:rPr>
        <w:t>个工作日内组织验收或提出修改意见。</w:t>
      </w:r>
    </w:p>
    <w:p w14:paraId="507A4FE4">
      <w:pPr>
        <w:adjustRightInd w:val="0"/>
        <w:snapToGrid w:val="0"/>
        <w:spacing w:before="156" w:beforeLines="50" w:after="156" w:afterLines="50" w:line="380" w:lineRule="exact"/>
        <w:ind w:left="-2" w:leftChars="-1"/>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、甲方接到验收报告后</w:t>
      </w:r>
      <w:r>
        <w:rPr>
          <w:rFonts w:ascii="宋体" w:hAnsi="宋体"/>
          <w:color w:val="auto"/>
          <w:sz w:val="24"/>
          <w:highlight w:val="none"/>
        </w:rPr>
        <w:t>10</w:t>
      </w:r>
      <w:r>
        <w:rPr>
          <w:rFonts w:hint="eastAsia" w:ascii="宋体" w:hAnsi="宋体"/>
          <w:color w:val="auto"/>
          <w:sz w:val="24"/>
          <w:highlight w:val="none"/>
        </w:rPr>
        <w:t>个工作日内无正当理由不组织验收，且不能提出修改意见，则视作验收报告已被批准，甲方即应给乙方办理结算手续。</w:t>
      </w:r>
    </w:p>
    <w:p w14:paraId="7F57B890">
      <w:pPr>
        <w:adjustRightInd w:val="0"/>
        <w:snapToGrid w:val="0"/>
        <w:spacing w:before="156" w:beforeLines="50" w:after="156" w:afterLines="50" w:line="380" w:lineRule="exact"/>
        <w:ind w:left="-2" w:leftChars="-1"/>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、如验收不合格，乙方应当在收到甲方书面通知之日起</w:t>
      </w:r>
      <w:r>
        <w:rPr>
          <w:rFonts w:ascii="宋体" w:hAnsi="宋体"/>
          <w:color w:val="auto"/>
          <w:sz w:val="24"/>
          <w:highlight w:val="none"/>
        </w:rPr>
        <w:t xml:space="preserve"> 10 </w:t>
      </w:r>
      <w:r>
        <w:rPr>
          <w:rFonts w:hint="eastAsia" w:ascii="宋体" w:hAnsi="宋体"/>
          <w:color w:val="auto"/>
          <w:sz w:val="24"/>
          <w:highlight w:val="none"/>
        </w:rPr>
        <w:t>日内对系统进行修改完善直至合格，该情形不视为乙方逾期违约，并由双方约定新的验收时间重新进行验收。</w:t>
      </w:r>
    </w:p>
    <w:p w14:paraId="63506B3D">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6、维保到期后，需提交《质保期到期验收单》方可提出质保申请。</w:t>
      </w:r>
    </w:p>
    <w:p w14:paraId="1F2EF7FA">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第七条　货款支付</w:t>
      </w:r>
    </w:p>
    <w:p w14:paraId="227A2B2C">
      <w:pPr>
        <w:adjustRightInd w:val="0"/>
        <w:snapToGrid w:val="0"/>
        <w:spacing w:before="156" w:beforeLines="50" w:after="156" w:afterLines="50" w:line="380" w:lineRule="exact"/>
        <w:rPr>
          <w:rFonts w:ascii="宋体"/>
          <w:color w:val="auto"/>
          <w:sz w:val="24"/>
          <w:highlight w:val="none"/>
        </w:rPr>
      </w:pPr>
      <w:r>
        <w:rPr>
          <w:rFonts w:ascii="宋体" w:hAnsi="宋体"/>
          <w:sz w:val="24"/>
        </w:rPr>
        <w:t>1</w:t>
      </w:r>
      <w:r>
        <w:rPr>
          <w:rFonts w:hint="eastAsia" w:ascii="宋体" w:hAnsi="宋体"/>
          <w:sz w:val="24"/>
        </w:rPr>
        <w:t>、付款方式：合同签订之后，乙方将尽快安排入场安装，在软件上线并验收合格后，乙方开具对应金额的有效发票，甲方在收到发票，</w:t>
      </w:r>
      <w:r>
        <w:rPr>
          <w:rFonts w:hint="eastAsia" w:ascii="宋体" w:hAnsi="宋体"/>
          <w:sz w:val="24"/>
          <w:lang w:val="en-US" w:eastAsia="zh-CN"/>
        </w:rPr>
        <w:t>60</w:t>
      </w:r>
      <w:r>
        <w:rPr>
          <w:rFonts w:hint="eastAsia" w:ascii="宋体" w:hAnsi="宋体"/>
          <w:sz w:val="24"/>
        </w:rPr>
        <w:t>个工作</w:t>
      </w:r>
      <w:r>
        <w:rPr>
          <w:rFonts w:hint="eastAsia" w:ascii="宋体" w:hAnsi="宋体"/>
          <w:sz w:val="24"/>
          <w:lang w:val="en-US" w:eastAsia="zh-CN"/>
        </w:rPr>
        <w:t>日后</w:t>
      </w:r>
      <w:r>
        <w:rPr>
          <w:rFonts w:hint="eastAsia" w:ascii="宋体" w:hAnsi="宋体"/>
          <w:sz w:val="24"/>
        </w:rPr>
        <w:t>将终验款（合同金额9</w:t>
      </w:r>
      <w:r>
        <w:rPr>
          <w:rFonts w:hint="eastAsia" w:ascii="宋体" w:hAnsi="宋体"/>
          <w:sz w:val="24"/>
          <w:lang w:val="en-US" w:eastAsia="zh-CN"/>
        </w:rPr>
        <w:t>5</w:t>
      </w:r>
      <w:r>
        <w:rPr>
          <w:rFonts w:ascii="宋体" w:hAnsi="宋体"/>
          <w:sz w:val="24"/>
        </w:rPr>
        <w:t>%</w:t>
      </w:r>
      <w:r>
        <w:rPr>
          <w:rFonts w:hint="eastAsia" w:ascii="宋体" w:hAnsi="宋体"/>
          <w:sz w:val="24"/>
        </w:rPr>
        <w:t>），</w:t>
      </w:r>
      <w:r>
        <w:rPr>
          <w:rFonts w:ascii="宋体" w:hAnsi="宋体"/>
          <w:sz w:val="24"/>
          <w:u w:val="single"/>
        </w:rPr>
        <w:t xml:space="preserve">         </w:t>
      </w:r>
      <w:r>
        <w:rPr>
          <w:rFonts w:hint="eastAsia" w:ascii="宋体" w:hAnsi="宋体"/>
          <w:sz w:val="24"/>
          <w:u w:val="single"/>
        </w:rPr>
        <w:t>元（大写人民币</w:t>
      </w:r>
      <w:r>
        <w:rPr>
          <w:rFonts w:ascii="宋体" w:hAnsi="宋体"/>
          <w:sz w:val="24"/>
          <w:u w:val="single"/>
        </w:rPr>
        <w:t xml:space="preserve">              </w:t>
      </w:r>
      <w:r>
        <w:rPr>
          <w:rFonts w:hint="eastAsia" w:ascii="宋体" w:hAnsi="宋体"/>
          <w:sz w:val="24"/>
          <w:u w:val="single"/>
        </w:rPr>
        <w:t>元整）</w:t>
      </w:r>
      <w:r>
        <w:rPr>
          <w:rFonts w:hint="eastAsia" w:ascii="宋体" w:hAnsi="宋体"/>
          <w:sz w:val="24"/>
        </w:rPr>
        <w:t>一次性支付给乙方；合同总额中包含</w:t>
      </w:r>
      <w:r>
        <w:rPr>
          <w:rFonts w:ascii="宋体" w:hAnsi="宋体"/>
          <w:sz w:val="24"/>
          <w:u w:val="single"/>
        </w:rPr>
        <w:t xml:space="preserve">     </w:t>
      </w:r>
      <w:r>
        <w:rPr>
          <w:rFonts w:hint="eastAsia" w:ascii="宋体" w:hAnsi="宋体"/>
          <w:sz w:val="24"/>
        </w:rPr>
        <w:t>年的维保，维保到期后乙方提出履约保证金付款申请，甲方收到申请</w:t>
      </w:r>
      <w:r>
        <w:rPr>
          <w:rFonts w:hint="eastAsia" w:ascii="宋体" w:hAnsi="宋体"/>
          <w:sz w:val="24"/>
          <w:lang w:val="en-US" w:eastAsia="zh-CN"/>
        </w:rPr>
        <w:t>30</w:t>
      </w:r>
      <w:r>
        <w:rPr>
          <w:rFonts w:hint="eastAsia" w:ascii="宋体" w:hAnsi="宋体"/>
          <w:sz w:val="24"/>
        </w:rPr>
        <w:t>个工作日</w:t>
      </w:r>
      <w:r>
        <w:rPr>
          <w:rFonts w:hint="eastAsia" w:ascii="宋体" w:hAnsi="宋体"/>
          <w:sz w:val="24"/>
          <w:lang w:val="en-US" w:eastAsia="zh-CN"/>
        </w:rPr>
        <w:t>后</w:t>
      </w:r>
      <w:r>
        <w:rPr>
          <w:rFonts w:hint="eastAsia" w:ascii="宋体" w:hAnsi="宋体"/>
          <w:sz w:val="24"/>
        </w:rPr>
        <w:t>将履约保证金（合同金额</w:t>
      </w:r>
      <w:r>
        <w:rPr>
          <w:rFonts w:hint="eastAsia" w:ascii="宋体" w:hAnsi="宋体"/>
          <w:sz w:val="24"/>
          <w:lang w:val="en-US" w:eastAsia="zh-CN"/>
        </w:rPr>
        <w:t>5</w:t>
      </w:r>
      <w:r>
        <w:rPr>
          <w:rFonts w:ascii="宋体" w:hAnsi="宋体"/>
          <w:sz w:val="24"/>
        </w:rPr>
        <w:t>%</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元（大写人民币</w:t>
      </w:r>
      <w:r>
        <w:rPr>
          <w:rFonts w:ascii="宋体" w:hAnsi="宋体"/>
          <w:sz w:val="24"/>
          <w:u w:val="single"/>
        </w:rPr>
        <w:t xml:space="preserve">             </w:t>
      </w:r>
      <w:r>
        <w:rPr>
          <w:rFonts w:hint="eastAsia" w:ascii="宋体" w:hAnsi="宋体"/>
          <w:sz w:val="24"/>
          <w:u w:val="single"/>
        </w:rPr>
        <w:t>元整）</w:t>
      </w:r>
      <w:r>
        <w:rPr>
          <w:rFonts w:hint="eastAsia" w:ascii="宋体" w:hAnsi="宋体"/>
          <w:sz w:val="24"/>
        </w:rPr>
        <w:t>一次性支付给乙方。合同维保到期以后每年的维保费用不超过合同总额的</w:t>
      </w:r>
      <w:r>
        <w:rPr>
          <w:rFonts w:ascii="宋体" w:hAnsi="宋体"/>
          <w:sz w:val="24"/>
          <w:u w:val="single"/>
        </w:rPr>
        <w:t xml:space="preserve">   </w:t>
      </w:r>
      <w:r>
        <w:rPr>
          <w:rFonts w:ascii="宋体" w:hAnsi="宋体"/>
          <w:sz w:val="24"/>
        </w:rPr>
        <w:t>%</w:t>
      </w:r>
      <w:r>
        <w:rPr>
          <w:rFonts w:hint="eastAsia" w:ascii="宋体" w:hAnsi="宋体"/>
          <w:sz w:val="24"/>
        </w:rPr>
        <w:t>，维保协议双方另行签订。</w:t>
      </w:r>
    </w:p>
    <w:p w14:paraId="60CDFA83">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、乙方开户银行名称、地址和账号为：</w:t>
      </w:r>
    </w:p>
    <w:p w14:paraId="59105598">
      <w:pPr>
        <w:adjustRightInd w:val="0"/>
        <w:snapToGrid w:val="0"/>
        <w:spacing w:before="156" w:beforeLines="50" w:after="156" w:afterLines="50" w:line="380" w:lineRule="exact"/>
        <w:rPr>
          <w:rFonts w:ascii="宋体" w:cs="宋体"/>
          <w:color w:val="auto"/>
          <w:sz w:val="24"/>
          <w:highlight w:val="none"/>
        </w:rPr>
      </w:pPr>
      <w:r>
        <w:rPr>
          <w:rFonts w:hint="eastAsia" w:ascii="宋体" w:hAnsi="宋体"/>
          <w:color w:val="auto"/>
          <w:sz w:val="24"/>
          <w:highlight w:val="none"/>
        </w:rPr>
        <w:t>名称：</w:t>
      </w:r>
      <w:r>
        <w:rPr>
          <w:rFonts w:ascii="宋体" w:hAnsi="宋体" w:cs="宋体"/>
          <w:color w:val="auto"/>
          <w:sz w:val="24"/>
          <w:highlight w:val="none"/>
          <w:u w:val="single"/>
        </w:rPr>
        <w:t xml:space="preserve">                        </w:t>
      </w:r>
    </w:p>
    <w:p w14:paraId="62B09889">
      <w:pPr>
        <w:adjustRightInd w:val="0"/>
        <w:snapToGrid w:val="0"/>
        <w:spacing w:before="156" w:beforeLines="50" w:after="156" w:afterLines="50" w:line="380" w:lineRule="exact"/>
        <w:rPr>
          <w:rFonts w:ascii="宋体" w:cs="宋体"/>
          <w:color w:val="auto"/>
          <w:sz w:val="24"/>
          <w:highlight w:val="none"/>
        </w:rPr>
      </w:pPr>
      <w:r>
        <w:rPr>
          <w:rFonts w:hint="eastAsia" w:ascii="宋体" w:hAnsi="宋体" w:cs="宋体"/>
          <w:color w:val="auto"/>
          <w:sz w:val="24"/>
          <w:highlight w:val="none"/>
        </w:rPr>
        <w:t>开户行：</w:t>
      </w:r>
      <w:r>
        <w:rPr>
          <w:rFonts w:ascii="宋体" w:hAnsi="宋体" w:cs="宋体"/>
          <w:color w:val="auto"/>
          <w:sz w:val="24"/>
          <w:highlight w:val="none"/>
          <w:u w:val="single"/>
        </w:rPr>
        <w:t xml:space="preserve">                    </w:t>
      </w:r>
    </w:p>
    <w:p w14:paraId="2BD8A453">
      <w:pPr>
        <w:adjustRightInd w:val="0"/>
        <w:snapToGrid w:val="0"/>
        <w:spacing w:before="156" w:beforeLines="50" w:after="156" w:afterLines="50" w:line="380" w:lineRule="exact"/>
        <w:rPr>
          <w:rFonts w:ascii="宋体" w:cs="宋体"/>
          <w:color w:val="auto"/>
          <w:sz w:val="24"/>
          <w:highlight w:val="none"/>
        </w:rPr>
      </w:pPr>
      <w:r>
        <w:rPr>
          <w:rFonts w:hint="eastAsia" w:ascii="宋体" w:hAnsi="宋体" w:cs="宋体"/>
          <w:color w:val="auto"/>
          <w:sz w:val="24"/>
          <w:highlight w:val="none"/>
        </w:rPr>
        <w:t>账号：</w:t>
      </w:r>
      <w:r>
        <w:rPr>
          <w:rFonts w:ascii="宋体" w:hAnsi="宋体" w:cs="宋体"/>
          <w:color w:val="auto"/>
          <w:sz w:val="24"/>
          <w:highlight w:val="none"/>
          <w:u w:val="single"/>
        </w:rPr>
        <w:t xml:space="preserve">                         </w:t>
      </w:r>
    </w:p>
    <w:p w14:paraId="3124D4DA">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、甲方开票信息：</w:t>
      </w:r>
    </w:p>
    <w:p w14:paraId="6D067AB8">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名称：桂林市人民医院</w:t>
      </w:r>
    </w:p>
    <w:p w14:paraId="2C9EE8A5">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信用代码：</w:t>
      </w:r>
      <w:r>
        <w:rPr>
          <w:rFonts w:ascii="宋体" w:hAnsi="宋体"/>
          <w:color w:val="auto"/>
          <w:sz w:val="24"/>
          <w:highlight w:val="none"/>
        </w:rPr>
        <w:t>12450300498668197M</w:t>
      </w:r>
    </w:p>
    <w:p w14:paraId="674FC8E5">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地址</w:t>
      </w:r>
      <w:r>
        <w:rPr>
          <w:rFonts w:ascii="宋体" w:hAnsi="宋体"/>
          <w:color w:val="auto"/>
          <w:sz w:val="24"/>
          <w:highlight w:val="none"/>
        </w:rPr>
        <w:t xml:space="preserve"> </w:t>
      </w:r>
      <w:r>
        <w:rPr>
          <w:rFonts w:hint="eastAsia" w:ascii="宋体" w:hAnsi="宋体"/>
          <w:color w:val="auto"/>
          <w:sz w:val="24"/>
          <w:highlight w:val="none"/>
        </w:rPr>
        <w:t>：广西桂林市文明路</w:t>
      </w:r>
      <w:r>
        <w:rPr>
          <w:rFonts w:ascii="宋体" w:hAnsi="宋体"/>
          <w:color w:val="auto"/>
          <w:sz w:val="24"/>
          <w:highlight w:val="none"/>
        </w:rPr>
        <w:t>12</w:t>
      </w:r>
      <w:r>
        <w:rPr>
          <w:rFonts w:hint="eastAsia" w:ascii="宋体" w:hAnsi="宋体"/>
          <w:color w:val="auto"/>
          <w:sz w:val="24"/>
          <w:highlight w:val="none"/>
        </w:rPr>
        <w:t>号</w:t>
      </w:r>
    </w:p>
    <w:p w14:paraId="7ADAF9EA">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开户行：桂林银行文明路支行</w:t>
      </w:r>
    </w:p>
    <w:p w14:paraId="3DB28875">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帐号：</w:t>
      </w:r>
      <w:r>
        <w:rPr>
          <w:rFonts w:ascii="宋体" w:hAnsi="宋体"/>
          <w:color w:val="auto"/>
          <w:sz w:val="24"/>
          <w:highlight w:val="none"/>
        </w:rPr>
        <w:t>660012017474300020</w:t>
      </w:r>
    </w:p>
    <w:p w14:paraId="0529D37D">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第八条　售后服务</w:t>
      </w:r>
    </w:p>
    <w:p w14:paraId="30A313D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、乙方承诺对甲方提供</w:t>
      </w:r>
      <w:r>
        <w:rPr>
          <w:rFonts w:ascii="宋体" w:hAnsi="宋体"/>
          <w:color w:val="auto"/>
          <w:sz w:val="24"/>
          <w:highlight w:val="none"/>
        </w:rPr>
        <w:t>/</w:t>
      </w:r>
      <w:r>
        <w:rPr>
          <w:rFonts w:hint="eastAsia" w:ascii="宋体" w:hAnsi="宋体"/>
          <w:color w:val="auto"/>
          <w:sz w:val="24"/>
          <w:highlight w:val="none"/>
        </w:rPr>
        <w:t>电话技术支持及远程维护服务</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人员驻场技术支持服务。</w:t>
      </w:r>
    </w:p>
    <w:p w14:paraId="7B3DDAA0">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、如乙方提供电话技术支持及远程维护服务的，每年应提供</w:t>
      </w:r>
      <w:r>
        <w:rPr>
          <w:rFonts w:ascii="宋体" w:hAnsi="宋体"/>
          <w:color w:val="auto"/>
          <w:sz w:val="24"/>
          <w:highlight w:val="none"/>
          <w:u w:val="single"/>
        </w:rPr>
        <w:t xml:space="preserve">    </w:t>
      </w:r>
      <w:r>
        <w:rPr>
          <w:rFonts w:hint="eastAsia" w:ascii="宋体" w:hAnsi="宋体"/>
          <w:color w:val="auto"/>
          <w:sz w:val="24"/>
          <w:highlight w:val="none"/>
        </w:rPr>
        <w:t>次现场巡检服务，并出具巡检报告。当出现短时间不能解决的系统重大事故时，乙方相应技术支持人员应当在</w:t>
      </w:r>
      <w:r>
        <w:rPr>
          <w:rFonts w:ascii="宋体" w:hAnsi="宋体"/>
          <w:color w:val="auto"/>
          <w:sz w:val="24"/>
          <w:highlight w:val="none"/>
        </w:rPr>
        <w:t>24</w:t>
      </w:r>
      <w:r>
        <w:rPr>
          <w:rFonts w:hint="eastAsia" w:ascii="宋体" w:hAnsi="宋体"/>
          <w:color w:val="auto"/>
          <w:sz w:val="24"/>
          <w:highlight w:val="none"/>
        </w:rPr>
        <w:t>小时内进行现场处理。</w:t>
      </w:r>
    </w:p>
    <w:p w14:paraId="0EF9280F">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、乙方承诺在项目维护期间，故障问题响应时间不超过</w:t>
      </w:r>
      <w:r>
        <w:rPr>
          <w:rFonts w:ascii="宋体" w:hAnsi="宋体"/>
          <w:color w:val="auto"/>
          <w:sz w:val="24"/>
          <w:highlight w:val="none"/>
          <w:u w:val="single"/>
        </w:rPr>
        <w:t xml:space="preserve">    </w:t>
      </w:r>
      <w:r>
        <w:rPr>
          <w:rFonts w:hint="eastAsia" w:ascii="宋体" w:hAnsi="宋体"/>
          <w:color w:val="auto"/>
          <w:sz w:val="24"/>
          <w:highlight w:val="none"/>
        </w:rPr>
        <w:t>分钟</w:t>
      </w:r>
      <w:r>
        <w:rPr>
          <w:rFonts w:ascii="宋体" w:hAnsi="宋体"/>
          <w:color w:val="auto"/>
          <w:sz w:val="24"/>
          <w:highlight w:val="none"/>
        </w:rPr>
        <w:t>/</w:t>
      </w:r>
      <w:r>
        <w:rPr>
          <w:rFonts w:hint="eastAsia" w:ascii="宋体" w:hAnsi="宋体"/>
          <w:color w:val="auto"/>
          <w:sz w:val="24"/>
          <w:highlight w:val="none"/>
        </w:rPr>
        <w:t>小时，一般软件问题处理时长不超过</w:t>
      </w:r>
      <w:r>
        <w:rPr>
          <w:rFonts w:ascii="宋体" w:hAnsi="宋体"/>
          <w:color w:val="auto"/>
          <w:sz w:val="24"/>
          <w:highlight w:val="none"/>
          <w:u w:val="single"/>
        </w:rPr>
        <w:t xml:space="preserve">    </w:t>
      </w:r>
      <w:r>
        <w:rPr>
          <w:rFonts w:hint="eastAsia" w:ascii="宋体" w:hAnsi="宋体"/>
          <w:color w:val="auto"/>
          <w:sz w:val="24"/>
          <w:highlight w:val="none"/>
        </w:rPr>
        <w:t>小时</w:t>
      </w:r>
      <w:r>
        <w:rPr>
          <w:rFonts w:ascii="宋体" w:hAnsi="宋体"/>
          <w:color w:val="auto"/>
          <w:sz w:val="24"/>
          <w:highlight w:val="none"/>
        </w:rPr>
        <w:t>/</w:t>
      </w:r>
      <w:r>
        <w:rPr>
          <w:rFonts w:hint="eastAsia" w:ascii="宋体" w:hAnsi="宋体"/>
          <w:color w:val="auto"/>
          <w:sz w:val="24"/>
          <w:highlight w:val="none"/>
        </w:rPr>
        <w:t>工作日，重大故障问题处理时长不超过</w:t>
      </w:r>
      <w:r>
        <w:rPr>
          <w:rFonts w:ascii="宋体" w:hAnsi="宋体"/>
          <w:color w:val="auto"/>
          <w:sz w:val="24"/>
          <w:highlight w:val="none"/>
          <w:u w:val="single"/>
        </w:rPr>
        <w:t xml:space="preserve">    </w:t>
      </w:r>
      <w:r>
        <w:rPr>
          <w:rFonts w:hint="eastAsia" w:ascii="宋体" w:hAnsi="宋体"/>
          <w:color w:val="auto"/>
          <w:sz w:val="24"/>
          <w:highlight w:val="none"/>
        </w:rPr>
        <w:t>小时。</w:t>
      </w:r>
    </w:p>
    <w:p w14:paraId="07828BB6">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、对于甲方在使用乙方相关软件产品过程中产生的个性化需求及由此产生的定制化开发要求，甲方应向乙方售后服务机构提出，乙方应及时给以评估和答复，必要时另行立项开发并签署相关协议。</w:t>
      </w:r>
    </w:p>
    <w:p w14:paraId="36368AC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、从合同涉及的软件产品投入使用之日起，因甲方自身原因造成系统不能正常运行，要求乙方提供服务，乙方所产生的费用由甲方承担。</w:t>
      </w:r>
    </w:p>
    <w:p w14:paraId="6577B176">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6</w:t>
      </w:r>
      <w:r>
        <w:rPr>
          <w:rFonts w:hint="eastAsia" w:ascii="宋体" w:hAnsi="宋体"/>
          <w:color w:val="auto"/>
          <w:sz w:val="24"/>
          <w:highlight w:val="none"/>
        </w:rPr>
        <w:t>、非乙方产品和服务本身引发的产品问题不在本合同的售后服务范围之内，包括但不限于：</w:t>
      </w:r>
      <w:r>
        <w:rPr>
          <w:rFonts w:ascii="宋体" w:hAnsi="宋体"/>
          <w:color w:val="auto"/>
          <w:sz w:val="24"/>
          <w:highlight w:val="none"/>
        </w:rPr>
        <w:t>(i)</w:t>
      </w:r>
      <w:r>
        <w:rPr>
          <w:rFonts w:hint="eastAsia" w:ascii="宋体" w:hAnsi="宋体"/>
          <w:color w:val="auto"/>
          <w:sz w:val="24"/>
          <w:highlight w:val="none"/>
        </w:rPr>
        <w:t>甲方未按使用规范使用乙方产品（包括操作失误、恶意删改数据等）；</w:t>
      </w:r>
      <w:r>
        <w:rPr>
          <w:rFonts w:ascii="宋体" w:hAnsi="宋体"/>
          <w:color w:val="auto"/>
          <w:sz w:val="24"/>
          <w:highlight w:val="none"/>
        </w:rPr>
        <w:t>(ii)</w:t>
      </w:r>
      <w:r>
        <w:rPr>
          <w:rFonts w:hint="eastAsia" w:ascii="宋体" w:hAnsi="宋体"/>
          <w:color w:val="auto"/>
          <w:sz w:val="24"/>
          <w:highlight w:val="none"/>
        </w:rPr>
        <w:t>未经乙方同意，甲方或者第三方对乙方产品进行了任何方式的修改，或者与第三方软件产品合并使用；（</w:t>
      </w:r>
      <w:r>
        <w:rPr>
          <w:rFonts w:ascii="宋体" w:hAnsi="宋体"/>
          <w:color w:val="auto"/>
          <w:sz w:val="24"/>
          <w:highlight w:val="none"/>
        </w:rPr>
        <w:t>iii</w:t>
      </w:r>
      <w:r>
        <w:rPr>
          <w:rFonts w:hint="eastAsia" w:ascii="宋体" w:hAnsi="宋体"/>
          <w:color w:val="auto"/>
          <w:sz w:val="24"/>
          <w:highlight w:val="none"/>
        </w:rPr>
        <w:t>）由于甲方原因（包括操作失误）或第三方产品的瑕疵或故障、甲方使用的硬件或网络出错或遭遇计算机病毒侵犯而导致系统瘫痪等。</w:t>
      </w:r>
    </w:p>
    <w:p w14:paraId="3BDFF7A6">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第九条　知识产权</w:t>
      </w:r>
    </w:p>
    <w:p w14:paraId="1A2C77D8">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、乙方承诺拥有本合同第一条所述的软件产品的完整的知识产权或合法的转售权。对于由乙方提供的计算机软件和程序，甲方被授予不可转让的、非独家的使用权。</w:t>
      </w:r>
    </w:p>
    <w:p w14:paraId="36FE5975">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、对乙方提供的技术资料，甲方应负责保密并保证以本合同约定的方式使用，甲方的此项责任并不因本合同的终止及无效而解除。</w:t>
      </w:r>
    </w:p>
    <w:p w14:paraId="56BABBF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、乙方对合同涉及的软件产品及相关文档拥有独立版权。甲方不得许可第三方使用或作他用，并不得向第三方公开及转让。</w:t>
      </w:r>
    </w:p>
    <w:p w14:paraId="54CAB49F">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、甲方不得自行复制、仿制相关软件产品，并不得使用于本合同未涉及的其它地点。</w:t>
      </w:r>
    </w:p>
    <w:p w14:paraId="7F801E2F">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、甲方不得对软件自行修改，对修改后软件的使用效果乙方不作质量保证，并且甲方亦不得向任何第三方提供修改后的版本。</w:t>
      </w:r>
    </w:p>
    <w:p w14:paraId="7112FCE3">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第十条　违约责任</w:t>
      </w:r>
    </w:p>
    <w:p w14:paraId="007C8E93">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、甲方逾期付款，每逾期一日应支付乙方逾期总额</w:t>
      </w:r>
      <w:r>
        <w:rPr>
          <w:rFonts w:ascii="宋体" w:hAnsi="宋体"/>
          <w:color w:val="auto"/>
          <w:sz w:val="24"/>
          <w:highlight w:val="none"/>
        </w:rPr>
        <w:t>2</w:t>
      </w:r>
      <w:r>
        <w:rPr>
          <w:rFonts w:hint="eastAsia" w:ascii="宋体" w:hAnsi="宋体"/>
          <w:color w:val="auto"/>
          <w:sz w:val="24"/>
          <w:highlight w:val="none"/>
        </w:rPr>
        <w:t>‰（千分之二）的违约金，违约金总额不超过合同总额的30</w:t>
      </w:r>
      <w:r>
        <w:rPr>
          <w:rFonts w:ascii="宋体" w:hAnsi="宋体"/>
          <w:color w:val="auto"/>
          <w:sz w:val="24"/>
          <w:highlight w:val="none"/>
        </w:rPr>
        <w:t>%</w:t>
      </w:r>
      <w:r>
        <w:rPr>
          <w:rFonts w:hint="eastAsia" w:ascii="宋体" w:hAnsi="宋体"/>
          <w:color w:val="auto"/>
          <w:sz w:val="24"/>
          <w:highlight w:val="none"/>
        </w:rPr>
        <w:t>（百分之三十）。</w:t>
      </w:r>
    </w:p>
    <w:p w14:paraId="4576457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、乙方逾期交付产品，每逾期一日应支付甲方合同总额</w:t>
      </w:r>
      <w:r>
        <w:rPr>
          <w:rFonts w:ascii="宋体" w:hAnsi="宋体"/>
          <w:color w:val="auto"/>
          <w:sz w:val="24"/>
          <w:highlight w:val="none"/>
        </w:rPr>
        <w:t>2</w:t>
      </w:r>
      <w:r>
        <w:rPr>
          <w:rFonts w:hint="eastAsia" w:ascii="宋体" w:hAnsi="宋体"/>
          <w:color w:val="auto"/>
          <w:sz w:val="24"/>
          <w:highlight w:val="none"/>
        </w:rPr>
        <w:t>‰（千分之二）的违约金，违约金总额不超过合同总额的30</w:t>
      </w:r>
      <w:r>
        <w:rPr>
          <w:rFonts w:ascii="宋体" w:hAnsi="宋体"/>
          <w:color w:val="auto"/>
          <w:sz w:val="24"/>
          <w:highlight w:val="none"/>
        </w:rPr>
        <w:t>%</w:t>
      </w:r>
      <w:r>
        <w:rPr>
          <w:rFonts w:hint="eastAsia" w:ascii="宋体" w:hAnsi="宋体"/>
          <w:color w:val="auto"/>
          <w:sz w:val="24"/>
          <w:highlight w:val="none"/>
        </w:rPr>
        <w:t>（百分之三十）。逾期</w:t>
      </w:r>
      <w:r>
        <w:rPr>
          <w:rFonts w:ascii="宋体" w:hAnsi="宋体"/>
          <w:color w:val="auto"/>
          <w:sz w:val="24"/>
          <w:highlight w:val="none"/>
        </w:rPr>
        <w:t>20</w:t>
      </w:r>
      <w:r>
        <w:rPr>
          <w:rFonts w:hint="eastAsia" w:ascii="宋体" w:hAnsi="宋体"/>
          <w:color w:val="auto"/>
          <w:sz w:val="24"/>
          <w:highlight w:val="none"/>
        </w:rPr>
        <w:t>天乙方仍未交货，甲方有权单方面取消合同。</w:t>
      </w:r>
    </w:p>
    <w:p w14:paraId="6554AD11">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、本合同软件产品实现的功能及性能以附件所载功能为准。对甲方不按技术规范操作、甲方软硬件问题、第三方软件问题等非本合同软件产品的原因而造成的甲方损失，乙方不承担任何违约责任和赔偿责任。　</w:t>
      </w:r>
    </w:p>
    <w:p w14:paraId="7C80569D">
      <w:pPr>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、因乙方产品质量问题造成的甲方损失，由乙方承担违约责任，每次应支付甲方合同应付金额的</w:t>
      </w:r>
      <w:r>
        <w:rPr>
          <w:rFonts w:ascii="宋体" w:hAnsi="宋体"/>
          <w:color w:val="auto"/>
          <w:sz w:val="24"/>
          <w:highlight w:val="none"/>
        </w:rPr>
        <w:t>2%</w:t>
      </w:r>
      <w:r>
        <w:rPr>
          <w:rFonts w:hint="eastAsia" w:ascii="宋体" w:hAnsi="宋体"/>
          <w:color w:val="auto"/>
          <w:sz w:val="24"/>
          <w:highlight w:val="none"/>
        </w:rPr>
        <w:t>（百分之二）的违约金，违约金总额不超过合同总额的</w:t>
      </w:r>
      <w:r>
        <w:rPr>
          <w:rFonts w:ascii="宋体" w:hAnsi="宋体"/>
          <w:color w:val="auto"/>
          <w:sz w:val="24"/>
          <w:highlight w:val="none"/>
        </w:rPr>
        <w:t>10%</w:t>
      </w:r>
      <w:r>
        <w:rPr>
          <w:rFonts w:hint="eastAsia" w:ascii="宋体" w:hAnsi="宋体"/>
          <w:color w:val="auto"/>
          <w:sz w:val="24"/>
          <w:highlight w:val="none"/>
        </w:rPr>
        <w:t>（百分之十）。如对甲方造成损失，乙方负责赔偿。</w:t>
      </w:r>
    </w:p>
    <w:p w14:paraId="6287C563">
      <w:pPr>
        <w:adjustRightInd w:val="0"/>
        <w:snapToGrid w:val="0"/>
        <w:spacing w:before="156" w:beforeLines="50" w:after="156" w:afterLines="50" w:line="380" w:lineRule="exact"/>
        <w:rPr>
          <w:rFonts w:hint="eastAsia"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、甲方违反本协议关于版权保护的条款，对乙方提供的软件产品进行的任何的侵害性的行为给乙方造成损失的，乙方有权就损失部分要求甲方赔偿。</w:t>
      </w:r>
    </w:p>
    <w:p w14:paraId="0DAC46A7">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6、乙方没有按约定派驻人员，每人次支付合同总额</w:t>
      </w:r>
      <w:r>
        <w:rPr>
          <w:rFonts w:ascii="宋体" w:hAnsi="宋体"/>
          <w:color w:val="auto"/>
          <w:sz w:val="24"/>
          <w:highlight w:val="none"/>
        </w:rPr>
        <w:t>2</w:t>
      </w:r>
      <w:r>
        <w:rPr>
          <w:rFonts w:hint="eastAsia" w:ascii="宋体" w:hAnsi="宋体"/>
          <w:color w:val="auto"/>
          <w:sz w:val="24"/>
          <w:highlight w:val="none"/>
        </w:rPr>
        <w:t>-10‰（千分之二到千分之十）的违约金。</w:t>
      </w:r>
    </w:p>
    <w:p w14:paraId="47F57301">
      <w:pPr>
        <w:adjustRightInd w:val="0"/>
        <w:snapToGrid w:val="0"/>
        <w:spacing w:before="156" w:beforeLines="50" w:after="156" w:afterLines="50" w:line="380" w:lineRule="exact"/>
        <w:rPr>
          <w:rFonts w:hint="eastAsia" w:ascii="宋体" w:hAnsi="宋体"/>
          <w:color w:val="auto"/>
          <w:sz w:val="24"/>
          <w:highlight w:val="none"/>
        </w:rPr>
      </w:pPr>
      <w:r>
        <w:rPr>
          <w:rFonts w:hint="eastAsia" w:ascii="宋体" w:hAnsi="宋体"/>
          <w:color w:val="auto"/>
          <w:sz w:val="24"/>
          <w:highlight w:val="none"/>
        </w:rPr>
        <w:t>7、乙方不按售后服务条款执行，每次扣除质保金的30-50%。</w:t>
      </w:r>
    </w:p>
    <w:p w14:paraId="12CDAEE6">
      <w:pPr>
        <w:adjustRightInd w:val="0"/>
        <w:snapToGrid w:val="0"/>
        <w:spacing w:before="156" w:beforeLines="50" w:after="156" w:afterLines="50" w:line="380" w:lineRule="exact"/>
        <w:rPr>
          <w:rFonts w:hint="eastAsia" w:ascii="宋体" w:hAnsi="宋体" w:eastAsia="宋体"/>
          <w:color w:val="FF0000"/>
          <w:sz w:val="24"/>
          <w:lang w:val="en-US" w:eastAsia="zh-CN"/>
        </w:rPr>
      </w:pPr>
      <w:r>
        <w:rPr>
          <w:rFonts w:hint="eastAsia" w:ascii="宋体" w:hAnsi="宋体"/>
          <w:color w:val="auto"/>
          <w:sz w:val="24"/>
          <w:lang w:val="en-US" w:eastAsia="zh-CN"/>
        </w:rPr>
        <w:t>8、乙方应该开具真实的发票，一旦查出发票作假，自动解除协议并且甲方有权利不支付该笔发票款项。</w:t>
      </w:r>
    </w:p>
    <w:p w14:paraId="3711C817">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第十一条　保密</w:t>
      </w:r>
    </w:p>
    <w:p w14:paraId="4035DF71">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sz w:val="24"/>
          <w:highlight w:val="none"/>
        </w:rPr>
        <w:t>甲乙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永久。</w:t>
      </w:r>
    </w:p>
    <w:p w14:paraId="6DC9B7A8">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第十二条　联系</w:t>
      </w:r>
    </w:p>
    <w:p w14:paraId="6E979E6A">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、根据本合同需要一方向另一方发出的全部通知以及双方的文件往来及与本合同有关的通知和要求等，必须用书面形式（含电子邮件），书面方式无法送达的，方可采取公告送达的方式。</w:t>
      </w:r>
    </w:p>
    <w:p w14:paraId="49A54869">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、一方变更本合同所载联系信息地址，应自变更之日起</w:t>
      </w:r>
      <w:r>
        <w:rPr>
          <w:rFonts w:ascii="宋体" w:hAnsi="宋体"/>
          <w:color w:val="auto"/>
          <w:sz w:val="24"/>
          <w:highlight w:val="none"/>
          <w:u w:val="single"/>
        </w:rPr>
        <w:t xml:space="preserve">   7   </w:t>
      </w:r>
      <w:r>
        <w:rPr>
          <w:rFonts w:hint="eastAsia" w:ascii="宋体" w:hAnsi="宋体"/>
          <w:color w:val="auto"/>
          <w:sz w:val="24"/>
          <w:highlight w:val="none"/>
        </w:rPr>
        <w:t>日内，以书面形式通知对方；否则，由未通知方承担由此而引起的相关责任。</w:t>
      </w:r>
    </w:p>
    <w:p w14:paraId="64D7C061">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第十三条　争议的处理方式</w:t>
      </w:r>
    </w:p>
    <w:p w14:paraId="43FC3A15">
      <w:pPr>
        <w:adjustRightInd w:val="0"/>
        <w:snapToGrid w:val="0"/>
        <w:spacing w:before="156" w:beforeLines="50" w:after="156" w:afterLines="50" w:line="380" w:lineRule="exact"/>
        <w:rPr>
          <w:rFonts w:ascii="宋体"/>
          <w:color w:val="auto"/>
          <w:sz w:val="24"/>
          <w:highlight w:val="none"/>
        </w:rPr>
      </w:pPr>
      <w:r>
        <w:rPr>
          <w:rFonts w:hint="eastAsia" w:ascii="宋体" w:hAnsi="宋体"/>
          <w:color w:val="auto"/>
          <w:kern w:val="0"/>
          <w:sz w:val="24"/>
          <w:highlight w:val="none"/>
        </w:rPr>
        <w:t>对于因本合同的解释及执行而产生之争议，应首先由双方通过友好协商或经由中立之第三方调解来解决。如争议未能于前述方式在开始协商后</w:t>
      </w:r>
      <w:r>
        <w:rPr>
          <w:rFonts w:ascii="宋体" w:hAnsi="宋体"/>
          <w:color w:val="auto"/>
          <w:kern w:val="0"/>
          <w:sz w:val="24"/>
          <w:highlight w:val="none"/>
        </w:rPr>
        <w:t>30</w:t>
      </w:r>
      <w:r>
        <w:rPr>
          <w:rFonts w:hint="eastAsia" w:ascii="宋体" w:hAnsi="宋体"/>
          <w:color w:val="auto"/>
          <w:kern w:val="0"/>
          <w:sz w:val="24"/>
          <w:highlight w:val="none"/>
        </w:rPr>
        <w:t>日内解决，则任何一方可向甲方所在地人民法院提起诉讼。</w:t>
      </w:r>
    </w:p>
    <w:p w14:paraId="3E4D003C">
      <w:pPr>
        <w:adjustRightInd w:val="0"/>
        <w:snapToGrid w:val="0"/>
        <w:spacing w:before="156" w:beforeLines="50" w:after="156" w:afterLines="50" w:line="380" w:lineRule="exact"/>
        <w:rPr>
          <w:rFonts w:ascii="宋体"/>
          <w:b/>
          <w:color w:val="auto"/>
          <w:sz w:val="24"/>
          <w:highlight w:val="none"/>
        </w:rPr>
      </w:pPr>
      <w:r>
        <w:rPr>
          <w:rFonts w:hint="eastAsia" w:ascii="宋体" w:hAnsi="宋体"/>
          <w:b/>
          <w:color w:val="auto"/>
          <w:sz w:val="24"/>
          <w:highlight w:val="none"/>
        </w:rPr>
        <w:t>第十四条　其他</w:t>
      </w:r>
    </w:p>
    <w:p w14:paraId="2B0ED803">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1</w:t>
      </w:r>
      <w:r>
        <w:rPr>
          <w:rFonts w:hint="eastAsia" w:ascii="宋体" w:hAnsi="宋体"/>
          <w:color w:val="auto"/>
          <w:sz w:val="24"/>
          <w:highlight w:val="none"/>
        </w:rPr>
        <w:t>、本合同未尽事宜，依照有关法律、法规执行，法律、法规未作规定的，甲乙双方可以达成书面补充合同。本合同的附件和补充合同均为本合同不可分割的组成部分，与本合同具有同等的法律效力。</w:t>
      </w:r>
    </w:p>
    <w:p w14:paraId="7381B93D">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2</w:t>
      </w:r>
      <w:r>
        <w:rPr>
          <w:rFonts w:hint="eastAsia" w:ascii="宋体" w:hAnsi="宋体"/>
          <w:color w:val="auto"/>
          <w:sz w:val="24"/>
          <w:highlight w:val="none"/>
        </w:rPr>
        <w:t>、本合同履行期间，发生特殊情况时，甲、乙任何一方需变更本合同的，双方需签订书面变更协议，该协议将成为合同不可分割的部分。未经双方签署书面文件，任何一方无权变更本合同，否则，由此造成对方的经济损失，由责任方承担。</w:t>
      </w:r>
    </w:p>
    <w:p w14:paraId="52AC444F">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3</w:t>
      </w:r>
      <w:r>
        <w:rPr>
          <w:rFonts w:hint="eastAsia" w:ascii="宋体" w:hAnsi="宋体"/>
          <w:color w:val="auto"/>
          <w:sz w:val="24"/>
          <w:highlight w:val="none"/>
        </w:rPr>
        <w:t>、本合同自双方签字、盖章之日起生效。</w:t>
      </w:r>
    </w:p>
    <w:p w14:paraId="35C55AF3">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4</w:t>
      </w:r>
      <w:r>
        <w:rPr>
          <w:rFonts w:hint="eastAsia" w:ascii="宋体" w:hAnsi="宋体"/>
          <w:color w:val="auto"/>
          <w:sz w:val="24"/>
          <w:highlight w:val="none"/>
        </w:rPr>
        <w:t>、本协议壹式伍份，甲方执叁份，乙方执贰份，具有同等法律效力。</w:t>
      </w:r>
    </w:p>
    <w:p w14:paraId="6F3EE45B">
      <w:pPr>
        <w:adjustRightInd w:val="0"/>
        <w:snapToGrid w:val="0"/>
        <w:spacing w:before="156" w:beforeLines="50" w:after="156" w:afterLines="50" w:line="380" w:lineRule="exact"/>
        <w:rPr>
          <w:rFonts w:ascii="宋体"/>
          <w:color w:val="auto"/>
          <w:sz w:val="24"/>
          <w:highlight w:val="none"/>
        </w:rPr>
      </w:pPr>
      <w:r>
        <w:rPr>
          <w:rFonts w:ascii="宋体" w:hAnsi="宋体"/>
          <w:color w:val="auto"/>
          <w:sz w:val="24"/>
          <w:highlight w:val="none"/>
        </w:rPr>
        <w:t>5</w:t>
      </w:r>
      <w:r>
        <w:rPr>
          <w:rFonts w:hint="eastAsia" w:ascii="宋体" w:hAnsi="宋体"/>
          <w:color w:val="auto"/>
          <w:sz w:val="24"/>
          <w:highlight w:val="none"/>
        </w:rPr>
        <w:t>、本合同的附件一软件产品功能列表清单、附件二软件验收满意度调查表，为本合同不可分割的组成部分，与本合同具有同等的法律效力。</w:t>
      </w:r>
    </w:p>
    <w:p w14:paraId="5ACB6D38">
      <w:pPr>
        <w:rPr>
          <w:color w:val="auto"/>
          <w:highlight w:val="none"/>
        </w:rPr>
      </w:pPr>
    </w:p>
    <w:p w14:paraId="4929E86B">
      <w:pPr>
        <w:rPr>
          <w:color w:val="auto"/>
          <w:highlight w:val="none"/>
        </w:rPr>
      </w:pPr>
    </w:p>
    <w:p w14:paraId="35E056A1">
      <w:pPr>
        <w:spacing w:before="315" w:line="360" w:lineRule="exact"/>
        <w:jc w:val="both"/>
        <w:outlineLvl w:val="9"/>
        <w:rPr>
          <w:rFonts w:hint="eastAsia" w:ascii="宋体" w:hAnsi="宋体" w:cs="宋体"/>
          <w:b/>
          <w:bCs/>
          <w:color w:val="auto"/>
          <w:spacing w:val="1"/>
          <w:sz w:val="32"/>
          <w:szCs w:val="22"/>
          <w:highlight w:val="none"/>
        </w:rPr>
      </w:pPr>
    </w:p>
    <w:p w14:paraId="16AFDB57">
      <w:pPr>
        <w:spacing w:before="315" w:line="360" w:lineRule="exact"/>
        <w:jc w:val="center"/>
        <w:outlineLvl w:val="0"/>
        <w:rPr>
          <w:color w:val="auto"/>
          <w:highlight w:val="none"/>
        </w:rPr>
      </w:pPr>
      <w:r>
        <w:rPr>
          <w:rFonts w:hint="eastAsia" w:ascii="宋体" w:hAnsi="宋体" w:cs="宋体"/>
          <w:b/>
          <w:bCs/>
          <w:color w:val="auto"/>
          <w:spacing w:val="1"/>
          <w:sz w:val="32"/>
          <w:szCs w:val="22"/>
          <w:highlight w:val="none"/>
        </w:rPr>
        <w:t xml:space="preserve">第三章  </w:t>
      </w:r>
      <w:r>
        <w:rPr>
          <w:rFonts w:ascii="宋体" w:hAnsi="宋体" w:cs="宋体"/>
          <w:b/>
          <w:bCs/>
          <w:color w:val="auto"/>
          <w:spacing w:val="1"/>
          <w:sz w:val="32"/>
          <w:szCs w:val="22"/>
          <w:highlight w:val="none"/>
        </w:rPr>
        <w:t>评</w:t>
      </w:r>
      <w:r>
        <w:rPr>
          <w:rFonts w:hint="eastAsia" w:ascii="宋体" w:hAnsi="宋体" w:cs="宋体"/>
          <w:b/>
          <w:bCs/>
          <w:color w:val="auto"/>
          <w:spacing w:val="1"/>
          <w:sz w:val="32"/>
          <w:szCs w:val="22"/>
          <w:highlight w:val="none"/>
        </w:rPr>
        <w:t>分</w:t>
      </w:r>
      <w:r>
        <w:rPr>
          <w:rFonts w:ascii="宋体" w:hAnsi="宋体" w:cs="宋体"/>
          <w:b/>
          <w:bCs/>
          <w:color w:val="auto"/>
          <w:spacing w:val="1"/>
          <w:sz w:val="32"/>
          <w:szCs w:val="22"/>
          <w:highlight w:val="none"/>
        </w:rPr>
        <w:t>标准</w:t>
      </w:r>
    </w:p>
    <w:tbl>
      <w:tblPr>
        <w:tblStyle w:val="15"/>
        <w:tblpPr w:leftFromText="180" w:rightFromText="180" w:vertAnchor="text" w:horzAnchor="page" w:tblpX="986" w:tblpY="670"/>
        <w:tblOverlap w:val="never"/>
        <w:tblW w:w="10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6"/>
        <w:gridCol w:w="775"/>
        <w:gridCol w:w="7697"/>
      </w:tblGrid>
      <w:tr w14:paraId="2448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trPr>
        <w:tc>
          <w:tcPr>
            <w:tcW w:w="1656" w:type="dxa"/>
            <w:tcBorders>
              <w:top w:val="single" w:color="auto" w:sz="4" w:space="0"/>
              <w:left w:val="single" w:color="auto" w:sz="4" w:space="0"/>
              <w:bottom w:val="single" w:color="auto" w:sz="4" w:space="0"/>
              <w:right w:val="single" w:color="auto" w:sz="4" w:space="0"/>
            </w:tcBorders>
            <w:vAlign w:val="center"/>
          </w:tcPr>
          <w:p w14:paraId="737E646E">
            <w:pPr>
              <w:jc w:val="center"/>
              <w:rPr>
                <w:b/>
                <w:color w:val="auto"/>
                <w:highlight w:val="none"/>
              </w:rPr>
            </w:pPr>
            <w:r>
              <w:rPr>
                <w:b/>
                <w:color w:val="auto"/>
                <w:highlight w:val="none"/>
              </w:rPr>
              <w:t>评审项目</w:t>
            </w:r>
          </w:p>
        </w:tc>
        <w:tc>
          <w:tcPr>
            <w:tcW w:w="775" w:type="dxa"/>
            <w:tcBorders>
              <w:top w:val="single" w:color="auto" w:sz="4" w:space="0"/>
              <w:left w:val="single" w:color="auto" w:sz="4" w:space="0"/>
              <w:bottom w:val="single" w:color="auto" w:sz="4" w:space="0"/>
              <w:right w:val="single" w:color="auto" w:sz="4" w:space="0"/>
            </w:tcBorders>
            <w:vAlign w:val="center"/>
          </w:tcPr>
          <w:p w14:paraId="52DFC945">
            <w:pPr>
              <w:jc w:val="center"/>
              <w:rPr>
                <w:b/>
                <w:color w:val="auto"/>
                <w:highlight w:val="none"/>
              </w:rPr>
            </w:pPr>
            <w:r>
              <w:rPr>
                <w:b/>
                <w:color w:val="auto"/>
                <w:highlight w:val="none"/>
              </w:rPr>
              <w:t>分值</w:t>
            </w:r>
          </w:p>
        </w:tc>
        <w:tc>
          <w:tcPr>
            <w:tcW w:w="7697" w:type="dxa"/>
            <w:tcBorders>
              <w:top w:val="single" w:color="auto" w:sz="4" w:space="0"/>
              <w:left w:val="single" w:color="auto" w:sz="4" w:space="0"/>
              <w:bottom w:val="single" w:color="auto" w:sz="4" w:space="0"/>
              <w:right w:val="single" w:color="auto" w:sz="4" w:space="0"/>
            </w:tcBorders>
            <w:vAlign w:val="center"/>
          </w:tcPr>
          <w:p w14:paraId="6E3938E6">
            <w:pPr>
              <w:jc w:val="center"/>
              <w:rPr>
                <w:b/>
                <w:color w:val="auto"/>
                <w:highlight w:val="none"/>
              </w:rPr>
            </w:pPr>
            <w:r>
              <w:rPr>
                <w:b/>
                <w:color w:val="auto"/>
                <w:highlight w:val="none"/>
              </w:rPr>
              <w:t>评分标准</w:t>
            </w:r>
          </w:p>
        </w:tc>
      </w:tr>
      <w:tr w14:paraId="76328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2" w:hRule="atLeast"/>
        </w:trPr>
        <w:tc>
          <w:tcPr>
            <w:tcW w:w="1656" w:type="dxa"/>
            <w:tcBorders>
              <w:top w:val="single" w:color="auto" w:sz="4" w:space="0"/>
              <w:left w:val="single" w:color="auto" w:sz="4" w:space="0"/>
              <w:bottom w:val="single" w:color="auto" w:sz="4" w:space="0"/>
              <w:right w:val="single" w:color="auto" w:sz="4" w:space="0"/>
            </w:tcBorders>
            <w:vAlign w:val="center"/>
          </w:tcPr>
          <w:p w14:paraId="18A4B3CF">
            <w:pPr>
              <w:rPr>
                <w:rFonts w:hint="eastAsia" w:ascii="宋体" w:hAnsi="宋体" w:cs="宋体"/>
                <w:color w:val="auto"/>
                <w:sz w:val="24"/>
                <w:highlight w:val="none"/>
              </w:rPr>
            </w:pPr>
            <w:r>
              <w:rPr>
                <w:rFonts w:hint="eastAsia" w:ascii="宋体" w:hAnsi="宋体" w:cs="宋体"/>
                <w:color w:val="auto"/>
                <w:sz w:val="24"/>
                <w:highlight w:val="none"/>
              </w:rPr>
              <w:t>报价</w:t>
            </w:r>
          </w:p>
        </w:tc>
        <w:tc>
          <w:tcPr>
            <w:tcW w:w="775" w:type="dxa"/>
            <w:tcBorders>
              <w:top w:val="single" w:color="auto" w:sz="4" w:space="0"/>
              <w:left w:val="single" w:color="auto" w:sz="4" w:space="0"/>
              <w:bottom w:val="single" w:color="auto" w:sz="4" w:space="0"/>
              <w:right w:val="single" w:color="auto" w:sz="4" w:space="0"/>
            </w:tcBorders>
            <w:vAlign w:val="center"/>
          </w:tcPr>
          <w:p w14:paraId="0192D0FD">
            <w:pPr>
              <w:rPr>
                <w:rFonts w:hint="eastAsia" w:ascii="宋体" w:hAnsi="宋体" w:cs="宋体"/>
                <w:color w:val="auto"/>
                <w:sz w:val="24"/>
                <w:highlight w:val="none"/>
              </w:rPr>
            </w:pPr>
            <w:r>
              <w:rPr>
                <w:rFonts w:hint="eastAsia" w:ascii="宋体" w:hAnsi="宋体" w:cs="宋体"/>
                <w:color w:val="auto"/>
                <w:sz w:val="24"/>
                <w:highlight w:val="none"/>
              </w:rPr>
              <w:t>30分</w:t>
            </w:r>
          </w:p>
        </w:tc>
        <w:tc>
          <w:tcPr>
            <w:tcW w:w="7697" w:type="dxa"/>
            <w:tcBorders>
              <w:top w:val="single" w:color="auto" w:sz="4" w:space="0"/>
              <w:left w:val="single" w:color="auto" w:sz="4" w:space="0"/>
              <w:bottom w:val="single" w:color="auto" w:sz="4" w:space="0"/>
              <w:right w:val="single" w:color="auto" w:sz="4" w:space="0"/>
            </w:tcBorders>
            <w:vAlign w:val="center"/>
          </w:tcPr>
          <w:p w14:paraId="786823A4">
            <w:pPr>
              <w:rPr>
                <w:rFonts w:hint="eastAsia" w:ascii="宋体" w:hAnsi="宋体" w:cs="宋体"/>
                <w:color w:val="auto"/>
                <w:sz w:val="24"/>
                <w:highlight w:val="none"/>
              </w:rPr>
            </w:pPr>
            <w:r>
              <w:rPr>
                <w:rFonts w:hint="eastAsia" w:ascii="宋体" w:hAnsi="宋体" w:cs="宋体"/>
                <w:color w:val="auto"/>
                <w:sz w:val="24"/>
                <w:highlight w:val="none"/>
              </w:rPr>
              <w:t>通过</w:t>
            </w:r>
            <w:r>
              <w:rPr>
                <w:rFonts w:hint="eastAsia" w:ascii="宋体" w:hAnsi="宋体" w:cs="宋体"/>
                <w:color w:val="auto"/>
                <w:sz w:val="24"/>
                <w:highlight w:val="none"/>
                <w:lang w:val="en-US" w:eastAsia="zh-CN"/>
              </w:rPr>
              <w:t>资格性和</w:t>
            </w:r>
            <w:r>
              <w:rPr>
                <w:rFonts w:hint="eastAsia" w:ascii="宋体" w:hAnsi="宋体" w:cs="宋体"/>
                <w:color w:val="auto"/>
                <w:sz w:val="24"/>
                <w:highlight w:val="none"/>
              </w:rPr>
              <w:t>符合性审查的有效报价，进入价格评议环节。</w:t>
            </w:r>
          </w:p>
          <w:p w14:paraId="4E2C5173">
            <w:pPr>
              <w:rPr>
                <w:rFonts w:hint="eastAsia" w:ascii="宋体" w:hAnsi="宋体" w:cs="宋体"/>
                <w:color w:val="auto"/>
                <w:sz w:val="24"/>
                <w:highlight w:val="none"/>
              </w:rPr>
            </w:pPr>
            <w:r>
              <w:rPr>
                <w:rFonts w:hint="eastAsia" w:ascii="宋体" w:hAnsi="宋体" w:cs="宋体"/>
                <w:color w:val="auto"/>
                <w:sz w:val="24"/>
                <w:highlight w:val="none"/>
              </w:rPr>
              <w:t>本项目价格评议采取低价优先法计算，即满足</w:t>
            </w:r>
            <w:r>
              <w:rPr>
                <w:rFonts w:hint="eastAsia" w:ascii="宋体" w:hAnsi="宋体" w:cs="宋体"/>
                <w:color w:val="auto"/>
                <w:sz w:val="24"/>
                <w:highlight w:val="none"/>
                <w:lang w:eastAsia="zh-CN"/>
              </w:rPr>
              <w:t>议价文件</w:t>
            </w:r>
            <w:r>
              <w:rPr>
                <w:rFonts w:hint="eastAsia" w:ascii="宋体" w:hAnsi="宋体" w:cs="宋体"/>
                <w:color w:val="auto"/>
                <w:sz w:val="24"/>
                <w:highlight w:val="none"/>
              </w:rPr>
              <w:t>要求且最低报价为评</w:t>
            </w:r>
            <w:r>
              <w:rPr>
                <w:rFonts w:hint="eastAsia" w:ascii="宋体" w:hAnsi="宋体" w:cs="宋体"/>
                <w:color w:val="auto"/>
                <w:sz w:val="24"/>
                <w:highlight w:val="none"/>
                <w:lang w:val="en-US" w:eastAsia="zh-CN"/>
              </w:rPr>
              <w:t>审</w:t>
            </w:r>
            <w:r>
              <w:rPr>
                <w:rFonts w:hint="eastAsia" w:ascii="宋体" w:hAnsi="宋体" w:cs="宋体"/>
                <w:color w:val="auto"/>
                <w:sz w:val="24"/>
                <w:highlight w:val="none"/>
              </w:rPr>
              <w:t>基准价，其价格分为满分。</w:t>
            </w:r>
            <w:r>
              <w:rPr>
                <w:rFonts w:hint="eastAsia" w:ascii="宋体" w:hAnsi="宋体" w:cs="宋体"/>
                <w:color w:val="auto"/>
                <w:sz w:val="24"/>
                <w:highlight w:val="none"/>
                <w:lang w:val="en-US" w:eastAsia="zh-CN"/>
              </w:rPr>
              <w:t>报价</w:t>
            </w:r>
            <w:r>
              <w:rPr>
                <w:rFonts w:hint="eastAsia" w:ascii="宋体" w:hAnsi="宋体" w:cs="宋体"/>
                <w:color w:val="auto"/>
                <w:sz w:val="24"/>
                <w:highlight w:val="none"/>
              </w:rPr>
              <w:t>人的价格分统一按照下列公式计算（小数点后保留2位小数）：</w:t>
            </w:r>
          </w:p>
          <w:p w14:paraId="153D8C5C">
            <w:pPr>
              <w:rPr>
                <w:rFonts w:hint="eastAsia" w:ascii="宋体" w:hAnsi="宋体" w:cs="宋体"/>
                <w:color w:val="auto"/>
                <w:sz w:val="24"/>
                <w:highlight w:val="none"/>
              </w:rPr>
            </w:pPr>
            <w:r>
              <w:rPr>
                <w:rFonts w:hint="eastAsia" w:ascii="宋体" w:hAnsi="宋体" w:cs="宋体"/>
                <w:color w:val="auto"/>
                <w:sz w:val="24"/>
                <w:highlight w:val="none"/>
              </w:rPr>
              <w:t>报价得分=（评</w:t>
            </w:r>
            <w:r>
              <w:rPr>
                <w:rFonts w:hint="eastAsia" w:ascii="宋体" w:hAnsi="宋体" w:cs="宋体"/>
                <w:color w:val="auto"/>
                <w:sz w:val="24"/>
                <w:highlight w:val="none"/>
                <w:lang w:val="en-US" w:eastAsia="zh-CN"/>
              </w:rPr>
              <w:t>审</w:t>
            </w:r>
            <w:r>
              <w:rPr>
                <w:rFonts w:hint="eastAsia" w:ascii="宋体" w:hAnsi="宋体" w:cs="宋体"/>
                <w:color w:val="auto"/>
                <w:sz w:val="24"/>
                <w:highlight w:val="none"/>
              </w:rPr>
              <w:t>基准价/</w:t>
            </w:r>
            <w:r>
              <w:rPr>
                <w:rFonts w:hint="eastAsia" w:ascii="宋体" w:hAnsi="宋体" w:cs="宋体"/>
                <w:color w:val="auto"/>
                <w:sz w:val="24"/>
                <w:highlight w:val="none"/>
                <w:lang w:val="en-US" w:eastAsia="zh-CN"/>
              </w:rPr>
              <w:t>报价人</w:t>
            </w:r>
            <w:r>
              <w:rPr>
                <w:rFonts w:hint="eastAsia" w:ascii="宋体" w:hAnsi="宋体" w:cs="宋体"/>
                <w:color w:val="auto"/>
                <w:sz w:val="24"/>
                <w:highlight w:val="none"/>
              </w:rPr>
              <w:t>报价）×30%×100。</w:t>
            </w:r>
          </w:p>
          <w:p w14:paraId="753E6841">
            <w:pPr>
              <w:rPr>
                <w:rFonts w:hint="eastAsia" w:ascii="宋体" w:hAnsi="宋体" w:cs="宋体"/>
                <w:b/>
                <w:bCs/>
                <w:color w:val="auto"/>
                <w:sz w:val="24"/>
                <w:highlight w:val="none"/>
              </w:rPr>
            </w:pPr>
            <w:r>
              <w:rPr>
                <w:rFonts w:hint="eastAsia" w:ascii="宋体" w:hAnsi="宋体" w:cs="宋体"/>
                <w:b/>
                <w:bCs/>
                <w:color w:val="auto"/>
                <w:sz w:val="24"/>
                <w:highlight w:val="none"/>
              </w:rPr>
              <w:t>说明：为保证产品应用效果及服务质量，如果报价明显低于市场价格，需要提供书面解释和接近该价格的历史合同文件，否则投标无效。</w:t>
            </w:r>
          </w:p>
        </w:tc>
      </w:tr>
      <w:tr w14:paraId="582D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656" w:type="dxa"/>
            <w:tcBorders>
              <w:top w:val="single" w:color="auto" w:sz="4" w:space="0"/>
              <w:left w:val="single" w:color="auto" w:sz="4" w:space="0"/>
              <w:right w:val="single" w:color="auto" w:sz="4" w:space="0"/>
            </w:tcBorders>
            <w:vAlign w:val="center"/>
          </w:tcPr>
          <w:p w14:paraId="0B66F32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0789C19C">
            <w:pPr>
              <w:spacing w:line="300" w:lineRule="exact"/>
              <w:rPr>
                <w:rFonts w:hint="eastAsia" w:ascii="宋体" w:hAnsi="宋体" w:cs="宋体"/>
                <w:color w:val="auto"/>
                <w:sz w:val="24"/>
                <w:highlight w:val="none"/>
              </w:rPr>
            </w:pPr>
          </w:p>
        </w:tc>
        <w:tc>
          <w:tcPr>
            <w:tcW w:w="775" w:type="dxa"/>
            <w:tcBorders>
              <w:top w:val="single" w:color="auto" w:sz="4" w:space="0"/>
              <w:left w:val="single" w:color="auto" w:sz="4" w:space="0"/>
              <w:bottom w:val="single" w:color="auto" w:sz="4" w:space="0"/>
              <w:right w:val="single" w:color="auto" w:sz="4" w:space="0"/>
            </w:tcBorders>
            <w:vAlign w:val="center"/>
          </w:tcPr>
          <w:p w14:paraId="4AD52CE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7697" w:type="dxa"/>
            <w:tcBorders>
              <w:top w:val="single" w:color="auto" w:sz="4" w:space="0"/>
              <w:left w:val="single" w:color="auto" w:sz="4" w:space="0"/>
              <w:bottom w:val="single" w:color="auto" w:sz="4" w:space="0"/>
              <w:right w:val="single" w:color="auto" w:sz="4" w:space="0"/>
            </w:tcBorders>
            <w:vAlign w:val="center"/>
          </w:tcPr>
          <w:p w14:paraId="6F2777D8">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投标</w:t>
            </w:r>
            <w:r>
              <w:rPr>
                <w:rFonts w:hint="eastAsia" w:ascii="宋体" w:hAnsi="宋体" w:cs="宋体"/>
                <w:color w:val="auto"/>
                <w:sz w:val="24"/>
                <w:highlight w:val="none"/>
                <w:lang w:val="en-US" w:eastAsia="zh-CN"/>
              </w:rPr>
              <w:t>产品</w:t>
            </w:r>
            <w:r>
              <w:rPr>
                <w:rFonts w:hint="eastAsia" w:ascii="宋体" w:hAnsi="宋体" w:cs="宋体"/>
                <w:color w:val="auto"/>
                <w:sz w:val="24"/>
                <w:highlight w:val="none"/>
              </w:rPr>
              <w:t>及其技术规格全部符合招标要求的得满分，全部正偏离或完全响应的得30分，设备及其技术规格低于</w:t>
            </w:r>
            <w:r>
              <w:rPr>
                <w:rFonts w:hint="eastAsia" w:ascii="宋体" w:hAnsi="宋体" w:cs="宋体"/>
                <w:color w:val="auto"/>
                <w:sz w:val="24"/>
                <w:highlight w:val="none"/>
                <w:lang w:eastAsia="zh-CN"/>
              </w:rPr>
              <w:t>议价文件</w:t>
            </w:r>
            <w:r>
              <w:rPr>
                <w:rFonts w:hint="eastAsia" w:ascii="宋体" w:hAnsi="宋体" w:cs="宋体"/>
                <w:color w:val="auto"/>
                <w:sz w:val="24"/>
                <w:highlight w:val="none"/>
              </w:rPr>
              <w:t>要求的即为负偏离，未标注“</w:t>
            </w:r>
            <w:r>
              <w:rPr>
                <w:rFonts w:hint="eastAsia" w:ascii="宋体" w:hAnsi="宋体" w:cs="宋体"/>
                <w:color w:val="auto"/>
                <w:kern w:val="0"/>
                <w:sz w:val="24"/>
                <w:highlight w:val="none"/>
                <w:lang w:bidi="ar"/>
              </w:rPr>
              <w:t>★</w:t>
            </w:r>
            <w:r>
              <w:rPr>
                <w:rFonts w:hint="eastAsia" w:ascii="宋体" w:hAnsi="宋体" w:cs="宋体"/>
                <w:color w:val="auto"/>
                <w:sz w:val="24"/>
                <w:highlight w:val="none"/>
              </w:rPr>
              <w:t>”号的一般性技术参数指标负偏离，每一项扣1分；投标产品技术参数与</w:t>
            </w:r>
            <w:r>
              <w:rPr>
                <w:rFonts w:hint="eastAsia" w:ascii="宋体" w:hAnsi="宋体" w:cs="宋体"/>
                <w:color w:val="auto"/>
                <w:sz w:val="24"/>
                <w:highlight w:val="none"/>
                <w:lang w:eastAsia="zh-CN"/>
              </w:rPr>
              <w:t>议价文件</w:t>
            </w:r>
            <w:r>
              <w:rPr>
                <w:rFonts w:hint="eastAsia" w:ascii="宋体" w:hAnsi="宋体" w:cs="宋体"/>
                <w:color w:val="auto"/>
                <w:sz w:val="24"/>
                <w:highlight w:val="none"/>
              </w:rPr>
              <w:t>中技术参数</w:t>
            </w:r>
            <w:r>
              <w:rPr>
                <w:rFonts w:hint="eastAsia" w:ascii="宋体" w:hAnsi="宋体" w:cs="宋体"/>
                <w:color w:val="auto"/>
                <w:kern w:val="0"/>
                <w:sz w:val="24"/>
                <w:highlight w:val="none"/>
                <w:lang w:bidi="ar"/>
              </w:rPr>
              <w:t>★</w:t>
            </w:r>
            <w:r>
              <w:rPr>
                <w:rFonts w:hint="eastAsia" w:ascii="宋体" w:hAnsi="宋体" w:cs="宋体"/>
                <w:color w:val="auto"/>
                <w:sz w:val="24"/>
                <w:highlight w:val="none"/>
              </w:rPr>
              <w:t>部分，每一项负偏离扣 2分。扣完为止。投标产品技术参数</w:t>
            </w:r>
            <w:r>
              <w:rPr>
                <w:rFonts w:hint="eastAsia" w:ascii="宋体" w:hAnsi="宋体" w:cs="宋体"/>
                <w:color w:val="auto"/>
                <w:kern w:val="0"/>
                <w:sz w:val="24"/>
                <w:highlight w:val="none"/>
                <w:lang w:bidi="ar"/>
              </w:rPr>
              <w:t>★</w:t>
            </w:r>
            <w:r>
              <w:rPr>
                <w:rFonts w:hint="eastAsia" w:ascii="宋体" w:hAnsi="宋体" w:cs="宋体"/>
                <w:color w:val="auto"/>
                <w:sz w:val="24"/>
                <w:highlight w:val="none"/>
              </w:rPr>
              <w:t>部分，投标技术参数</w:t>
            </w:r>
            <w:r>
              <w:rPr>
                <w:rFonts w:hint="eastAsia" w:ascii="宋体" w:hAnsi="宋体" w:cs="宋体"/>
                <w:color w:val="auto"/>
                <w:kern w:val="0"/>
                <w:sz w:val="24"/>
                <w:highlight w:val="none"/>
                <w:lang w:bidi="ar"/>
              </w:rPr>
              <w:t>★</w:t>
            </w:r>
            <w:r>
              <w:rPr>
                <w:rFonts w:hint="eastAsia" w:ascii="宋体" w:hAnsi="宋体" w:cs="宋体"/>
                <w:color w:val="auto"/>
                <w:sz w:val="24"/>
                <w:highlight w:val="none"/>
              </w:rPr>
              <w:t>部分需提供符合逻辑的系统截图。以本项权重分为限，扣完为止。</w:t>
            </w:r>
          </w:p>
        </w:tc>
      </w:tr>
      <w:tr w14:paraId="6AC0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656" w:type="dxa"/>
            <w:tcBorders>
              <w:left w:val="single" w:color="auto" w:sz="4" w:space="0"/>
              <w:bottom w:val="single" w:color="auto" w:sz="4" w:space="0"/>
              <w:right w:val="single" w:color="auto" w:sz="4" w:space="0"/>
            </w:tcBorders>
            <w:vAlign w:val="center"/>
          </w:tcPr>
          <w:p w14:paraId="691105C8">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服务能力</w:t>
            </w:r>
          </w:p>
        </w:tc>
        <w:tc>
          <w:tcPr>
            <w:tcW w:w="775" w:type="dxa"/>
            <w:tcBorders>
              <w:top w:val="single" w:color="auto" w:sz="4" w:space="0"/>
              <w:left w:val="single" w:color="auto" w:sz="4" w:space="0"/>
              <w:bottom w:val="single" w:color="auto" w:sz="4" w:space="0"/>
              <w:right w:val="single" w:color="auto" w:sz="4" w:space="0"/>
            </w:tcBorders>
            <w:vAlign w:val="center"/>
          </w:tcPr>
          <w:p w14:paraId="4D17C4B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6分</w:t>
            </w:r>
          </w:p>
        </w:tc>
        <w:tc>
          <w:tcPr>
            <w:tcW w:w="7697" w:type="dxa"/>
            <w:tcBorders>
              <w:top w:val="single" w:color="auto" w:sz="4" w:space="0"/>
              <w:left w:val="single" w:color="auto" w:sz="4" w:space="0"/>
              <w:bottom w:val="single" w:color="auto" w:sz="4" w:space="0"/>
              <w:right w:val="single" w:color="auto" w:sz="4" w:space="0"/>
            </w:tcBorders>
            <w:vAlign w:val="center"/>
          </w:tcPr>
          <w:p w14:paraId="23E17785">
            <w:pPr>
              <w:ind w:right="108"/>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具备：</w:t>
            </w:r>
          </w:p>
          <w:p w14:paraId="1BB2EC28">
            <w:pPr>
              <w:ind w:right="108"/>
              <w:rPr>
                <w:rFonts w:hint="eastAsia" w:ascii="宋体" w:hAnsi="宋体" w:cs="宋体"/>
                <w:color w:val="auto"/>
                <w:sz w:val="24"/>
                <w:highlight w:val="none"/>
              </w:rPr>
            </w:pPr>
            <w:r>
              <w:rPr>
                <w:rFonts w:hint="eastAsia" w:ascii="宋体" w:hAnsi="宋体" w:cs="宋体"/>
                <w:color w:val="auto"/>
                <w:sz w:val="24"/>
                <w:highlight w:val="none"/>
              </w:rPr>
              <w:t>①具备AAA级企业信用等级证书得0.5分，不具备不得分；</w:t>
            </w:r>
          </w:p>
          <w:p w14:paraId="3A1A6EE8">
            <w:pPr>
              <w:ind w:right="108"/>
              <w:rPr>
                <w:rFonts w:hint="eastAsia" w:ascii="宋体" w:hAnsi="宋体" w:cs="宋体"/>
                <w:color w:val="auto"/>
                <w:sz w:val="24"/>
                <w:highlight w:val="none"/>
              </w:rPr>
            </w:pPr>
            <w:r>
              <w:rPr>
                <w:rFonts w:hint="eastAsia" w:ascii="宋体" w:hAnsi="宋体" w:cs="宋体"/>
                <w:color w:val="auto"/>
                <w:sz w:val="24"/>
                <w:highlight w:val="none"/>
              </w:rPr>
              <w:t>②具备守合同重信用企业证书得0.5分，不具备不得分；</w:t>
            </w:r>
          </w:p>
          <w:p w14:paraId="231D92D9">
            <w:pPr>
              <w:ind w:right="108"/>
              <w:rPr>
                <w:rFonts w:hint="eastAsia" w:ascii="宋体" w:hAnsi="宋体" w:cs="宋体"/>
                <w:color w:val="auto"/>
                <w:sz w:val="24"/>
                <w:highlight w:val="none"/>
              </w:rPr>
            </w:pPr>
            <w:r>
              <w:rPr>
                <w:rFonts w:hint="eastAsia" w:ascii="宋体" w:hAnsi="宋体" w:cs="宋体"/>
                <w:color w:val="auto"/>
                <w:sz w:val="24"/>
                <w:highlight w:val="none"/>
              </w:rPr>
              <w:t>③具备信息技术服务管理体系认证证书得0.5分，不具备不得分；</w:t>
            </w:r>
          </w:p>
          <w:p w14:paraId="40975D22">
            <w:pPr>
              <w:rPr>
                <w:rFonts w:hint="eastAsia" w:ascii="宋体" w:hAnsi="宋体" w:cs="宋体"/>
                <w:color w:val="auto"/>
                <w:sz w:val="24"/>
                <w:highlight w:val="none"/>
              </w:rPr>
            </w:pPr>
            <w:r>
              <w:rPr>
                <w:rFonts w:hint="eastAsia" w:ascii="宋体" w:hAnsi="宋体" w:cs="宋体"/>
                <w:color w:val="auto"/>
                <w:sz w:val="24"/>
                <w:highlight w:val="none"/>
              </w:rPr>
              <w:t>④具备信息安全管理体系认证证书得0.5分，不具备不得分；</w:t>
            </w:r>
          </w:p>
          <w:p w14:paraId="7B1E286E">
            <w:pPr>
              <w:rPr>
                <w:rFonts w:hint="eastAsia" w:ascii="宋体" w:hAnsi="宋体" w:cs="宋体"/>
                <w:color w:val="auto"/>
                <w:sz w:val="24"/>
                <w:highlight w:val="none"/>
              </w:rPr>
            </w:pPr>
            <w:r>
              <w:rPr>
                <w:rFonts w:hint="eastAsia" w:ascii="宋体" w:hAnsi="宋体" w:cs="宋体"/>
                <w:color w:val="auto"/>
                <w:sz w:val="24"/>
                <w:highlight w:val="none"/>
              </w:rPr>
              <w:t>⑤具备《医疗投诉管理系统》软件产品证书得1分，不具备不得分。</w:t>
            </w:r>
          </w:p>
          <w:p w14:paraId="2604A057">
            <w:pPr>
              <w:rPr>
                <w:rFonts w:hint="eastAsia" w:ascii="宋体" w:hAnsi="宋体" w:cs="宋体"/>
                <w:color w:val="auto"/>
                <w:sz w:val="24"/>
                <w:highlight w:val="none"/>
              </w:rPr>
            </w:pPr>
            <w:r>
              <w:rPr>
                <w:rFonts w:hint="eastAsia" w:ascii="宋体" w:hAnsi="宋体" w:cs="宋体"/>
                <w:color w:val="auto"/>
                <w:sz w:val="24"/>
                <w:highlight w:val="none"/>
              </w:rPr>
              <w:t>⑥具备《医疗资质授权管理系统》软件产品证书得1分，不具备不得分；</w:t>
            </w:r>
          </w:p>
          <w:p w14:paraId="15D7F6E3">
            <w:pPr>
              <w:rPr>
                <w:rFonts w:hint="eastAsia" w:ascii="宋体" w:hAnsi="宋体" w:cs="宋体"/>
                <w:color w:val="auto"/>
                <w:sz w:val="24"/>
                <w:highlight w:val="none"/>
              </w:rPr>
            </w:pPr>
            <w:r>
              <w:rPr>
                <w:rFonts w:hint="eastAsia" w:ascii="宋体" w:hAnsi="宋体" w:cs="宋体"/>
                <w:color w:val="auto"/>
                <w:sz w:val="24"/>
                <w:highlight w:val="none"/>
              </w:rPr>
              <w:t>⑦具备《医疗风险预警系统》软件产品证书得1分，不具备不得分；</w:t>
            </w:r>
          </w:p>
          <w:p w14:paraId="1A01E00A">
            <w:pPr>
              <w:rPr>
                <w:rFonts w:hint="eastAsia" w:ascii="宋体" w:hAnsi="宋体" w:cs="宋体"/>
                <w:color w:val="auto"/>
                <w:sz w:val="24"/>
                <w:highlight w:val="none"/>
              </w:rPr>
            </w:pPr>
            <w:r>
              <w:rPr>
                <w:rFonts w:hint="eastAsia" w:ascii="宋体" w:hAnsi="宋体" w:cs="宋体"/>
                <w:color w:val="auto"/>
                <w:sz w:val="24"/>
                <w:highlight w:val="none"/>
              </w:rPr>
              <w:t>（以上证书需提供证书复印件并加盖公章）</w:t>
            </w:r>
          </w:p>
          <w:p w14:paraId="75785273">
            <w:pPr>
              <w:rPr>
                <w:rFonts w:hint="eastAsia" w:ascii="宋体" w:hAnsi="宋体" w:cs="宋体"/>
                <w:color w:val="auto"/>
                <w:sz w:val="24"/>
                <w:highlight w:val="none"/>
              </w:rPr>
            </w:pPr>
            <w:r>
              <w:rPr>
                <w:rFonts w:hint="eastAsia" w:ascii="宋体" w:hAnsi="宋体" w:cs="宋体"/>
                <w:color w:val="auto"/>
                <w:sz w:val="24"/>
                <w:highlight w:val="none"/>
              </w:rPr>
              <w:t>⑧具备系统集成项目管理工程师中级及以上证书得0.5分，不具备不得分。</w:t>
            </w:r>
          </w:p>
          <w:p w14:paraId="43153D0A">
            <w:pPr>
              <w:rPr>
                <w:rFonts w:hint="eastAsia" w:ascii="宋体" w:hAnsi="宋体" w:cs="宋体"/>
                <w:color w:val="auto"/>
                <w:sz w:val="24"/>
                <w:highlight w:val="none"/>
              </w:rPr>
            </w:pPr>
            <w:r>
              <w:rPr>
                <w:rFonts w:hint="eastAsia" w:ascii="宋体" w:hAnsi="宋体" w:cs="宋体"/>
                <w:color w:val="auto"/>
                <w:sz w:val="24"/>
                <w:highlight w:val="none"/>
              </w:rPr>
              <w:t>⑨项目实施人员具有中国信息安全测评中心颁发的注册信息安全管理人员证书得0.5分，不具备不得分。</w:t>
            </w:r>
          </w:p>
          <w:p w14:paraId="20D371C4">
            <w:pPr>
              <w:rPr>
                <w:rFonts w:hint="eastAsia" w:ascii="宋体" w:hAnsi="宋体" w:cs="宋体"/>
                <w:color w:val="auto"/>
                <w:sz w:val="24"/>
                <w:highlight w:val="none"/>
              </w:rPr>
            </w:pPr>
            <w:r>
              <w:rPr>
                <w:rFonts w:hint="eastAsia" w:ascii="宋体" w:hAnsi="宋体" w:cs="宋体"/>
                <w:color w:val="auto"/>
                <w:sz w:val="24"/>
                <w:highlight w:val="none"/>
              </w:rPr>
              <w:t>（以上提供证书复印件及近三个月社保缴纳证明）。</w:t>
            </w:r>
          </w:p>
        </w:tc>
      </w:tr>
      <w:tr w14:paraId="2717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1656" w:type="dxa"/>
            <w:tcBorders>
              <w:top w:val="single" w:color="auto" w:sz="4" w:space="0"/>
              <w:left w:val="single" w:color="auto" w:sz="4" w:space="0"/>
              <w:bottom w:val="single" w:color="auto" w:sz="4" w:space="0"/>
              <w:right w:val="single" w:color="auto" w:sz="4" w:space="0"/>
            </w:tcBorders>
            <w:vAlign w:val="center"/>
          </w:tcPr>
          <w:p w14:paraId="692A1542">
            <w:pPr>
              <w:spacing w:line="300" w:lineRule="exact"/>
              <w:rPr>
                <w:rFonts w:hint="eastAsia" w:ascii="宋体" w:hAnsi="宋体" w:cs="宋体"/>
                <w:color w:val="auto"/>
                <w:sz w:val="24"/>
                <w:highlight w:val="none"/>
              </w:rPr>
            </w:pPr>
            <w:r>
              <w:rPr>
                <w:rFonts w:hint="eastAsia" w:ascii="宋体" w:hAnsi="宋体" w:cs="宋体"/>
                <w:color w:val="auto"/>
                <w:sz w:val="24"/>
                <w:highlight w:val="none"/>
              </w:rPr>
              <w:t>项目实施方案</w:t>
            </w:r>
          </w:p>
        </w:tc>
        <w:tc>
          <w:tcPr>
            <w:tcW w:w="775" w:type="dxa"/>
            <w:tcBorders>
              <w:top w:val="single" w:color="auto" w:sz="4" w:space="0"/>
              <w:left w:val="single" w:color="auto" w:sz="4" w:space="0"/>
              <w:bottom w:val="single" w:color="auto" w:sz="4" w:space="0"/>
              <w:right w:val="single" w:color="auto" w:sz="4" w:space="0"/>
            </w:tcBorders>
            <w:vAlign w:val="center"/>
          </w:tcPr>
          <w:p w14:paraId="0E7E72C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14分</w:t>
            </w:r>
          </w:p>
        </w:tc>
        <w:tc>
          <w:tcPr>
            <w:tcW w:w="7697" w:type="dxa"/>
            <w:tcBorders>
              <w:top w:val="single" w:color="auto" w:sz="4" w:space="0"/>
              <w:left w:val="single" w:color="auto" w:sz="4" w:space="0"/>
              <w:bottom w:val="single" w:color="auto" w:sz="4" w:space="0"/>
              <w:right w:val="single" w:color="auto" w:sz="4" w:space="0"/>
            </w:tcBorders>
            <w:vAlign w:val="center"/>
          </w:tcPr>
          <w:p w14:paraId="2404E733">
            <w:pPr>
              <w:spacing w:line="30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提供项目实施方案，内容包括：</w:t>
            </w:r>
          </w:p>
          <w:p w14:paraId="6B2652E3">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①项目实施的进度计划；</w:t>
            </w:r>
          </w:p>
          <w:p w14:paraId="3846B39E">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②项目团队人员安排；</w:t>
            </w:r>
          </w:p>
          <w:p w14:paraId="0B6596A2">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③系统实施准备；</w:t>
            </w:r>
          </w:p>
          <w:p w14:paraId="53507D59">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④系统部署、系统集成、系统测试；</w:t>
            </w:r>
          </w:p>
          <w:p w14:paraId="51E59786">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⑤系统培训；</w:t>
            </w:r>
          </w:p>
          <w:p w14:paraId="6FF2C18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⑥系统试运行安排；</w:t>
            </w:r>
          </w:p>
          <w:p w14:paraId="4EF632D3">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⑦系统验收阶段的进度安排等方面。</w:t>
            </w:r>
          </w:p>
          <w:p w14:paraId="5608B513">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每项方案完整详尽可操作性强的得2分，每项方案不完整的得0.5分，不符合要求或未提供的不得分。</w:t>
            </w:r>
          </w:p>
        </w:tc>
      </w:tr>
      <w:tr w14:paraId="3583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trPr>
        <w:tc>
          <w:tcPr>
            <w:tcW w:w="1656" w:type="dxa"/>
            <w:tcBorders>
              <w:top w:val="single" w:color="auto" w:sz="4" w:space="0"/>
              <w:left w:val="single" w:color="auto" w:sz="4" w:space="0"/>
              <w:bottom w:val="single" w:color="auto" w:sz="4" w:space="0"/>
              <w:right w:val="single" w:color="auto" w:sz="4" w:space="0"/>
            </w:tcBorders>
            <w:vAlign w:val="center"/>
          </w:tcPr>
          <w:p w14:paraId="48CBBCB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售后服务方案</w:t>
            </w:r>
          </w:p>
        </w:tc>
        <w:tc>
          <w:tcPr>
            <w:tcW w:w="775" w:type="dxa"/>
            <w:tcBorders>
              <w:top w:val="single" w:color="auto" w:sz="4" w:space="0"/>
              <w:left w:val="single" w:color="auto" w:sz="4" w:space="0"/>
              <w:bottom w:val="single" w:color="auto" w:sz="4" w:space="0"/>
              <w:right w:val="single" w:color="auto" w:sz="4" w:space="0"/>
            </w:tcBorders>
            <w:vAlign w:val="center"/>
          </w:tcPr>
          <w:p w14:paraId="4B128A59">
            <w:pPr>
              <w:spacing w:line="300" w:lineRule="exact"/>
              <w:rPr>
                <w:rFonts w:hint="eastAsia" w:ascii="宋体" w:hAnsi="宋体" w:cs="宋体"/>
                <w:color w:val="auto"/>
                <w:sz w:val="24"/>
                <w:highlight w:val="none"/>
              </w:rPr>
            </w:pPr>
            <w:r>
              <w:rPr>
                <w:rFonts w:hint="eastAsia" w:ascii="宋体" w:hAnsi="宋体" w:cs="宋体"/>
                <w:color w:val="auto"/>
                <w:sz w:val="24"/>
                <w:highlight w:val="none"/>
              </w:rPr>
              <w:t>10分</w:t>
            </w:r>
          </w:p>
        </w:tc>
        <w:tc>
          <w:tcPr>
            <w:tcW w:w="7697" w:type="dxa"/>
            <w:tcBorders>
              <w:top w:val="single" w:color="auto" w:sz="4" w:space="0"/>
              <w:left w:val="single" w:color="auto" w:sz="4" w:space="0"/>
              <w:bottom w:val="single" w:color="auto" w:sz="4" w:space="0"/>
              <w:right w:val="single" w:color="auto" w:sz="4" w:space="0"/>
            </w:tcBorders>
            <w:vAlign w:val="center"/>
          </w:tcPr>
          <w:p w14:paraId="21524D14">
            <w:pPr>
              <w:spacing w:line="30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提供售后服务方案，内容包括：</w:t>
            </w:r>
          </w:p>
          <w:p w14:paraId="6D63BC73">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①售后服务内容；</w:t>
            </w:r>
          </w:p>
          <w:p w14:paraId="26416CDC">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②售后服务人员安排；</w:t>
            </w:r>
          </w:p>
          <w:p w14:paraId="36F9E8BF">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③售后服务方式；</w:t>
            </w:r>
          </w:p>
          <w:p w14:paraId="2C62C366">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④售后服务流程；</w:t>
            </w:r>
          </w:p>
          <w:p w14:paraId="63EEFBFD">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⑤售后咨询服务。</w:t>
            </w:r>
          </w:p>
          <w:p w14:paraId="6246143E">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每项方案完整详尽可操作性强的得2分，每项方案不完整的得0.5分，不符合要求或未提供的不得分。</w:t>
            </w:r>
          </w:p>
        </w:tc>
      </w:tr>
      <w:tr w14:paraId="75D2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56" w:type="dxa"/>
            <w:tcBorders>
              <w:top w:val="single" w:color="auto" w:sz="4" w:space="0"/>
              <w:left w:val="single" w:color="auto" w:sz="4" w:space="0"/>
              <w:bottom w:val="single" w:color="auto" w:sz="4" w:space="0"/>
              <w:right w:val="single" w:color="auto" w:sz="4" w:space="0"/>
            </w:tcBorders>
            <w:vAlign w:val="center"/>
          </w:tcPr>
          <w:p w14:paraId="0D2ACAC1">
            <w:pPr>
              <w:spacing w:line="300" w:lineRule="exact"/>
              <w:rPr>
                <w:rFonts w:hint="eastAsia" w:ascii="宋体" w:hAnsi="宋体" w:cs="宋体"/>
                <w:color w:val="auto"/>
                <w:sz w:val="24"/>
                <w:highlight w:val="none"/>
              </w:rPr>
            </w:pPr>
            <w:r>
              <w:rPr>
                <w:rFonts w:hint="eastAsia" w:ascii="宋体" w:hAnsi="宋体" w:cs="宋体"/>
                <w:color w:val="auto"/>
                <w:sz w:val="24"/>
                <w:highlight w:val="none"/>
              </w:rPr>
              <w:t>培训方案</w:t>
            </w:r>
          </w:p>
        </w:tc>
        <w:tc>
          <w:tcPr>
            <w:tcW w:w="775" w:type="dxa"/>
            <w:tcBorders>
              <w:top w:val="single" w:color="auto" w:sz="4" w:space="0"/>
              <w:left w:val="single" w:color="auto" w:sz="4" w:space="0"/>
              <w:bottom w:val="single" w:color="auto" w:sz="4" w:space="0"/>
              <w:right w:val="single" w:color="auto" w:sz="4" w:space="0"/>
            </w:tcBorders>
            <w:vAlign w:val="center"/>
          </w:tcPr>
          <w:p w14:paraId="3DB103FD">
            <w:pPr>
              <w:spacing w:line="300" w:lineRule="exact"/>
              <w:rPr>
                <w:rFonts w:hint="eastAsia" w:ascii="宋体" w:hAnsi="宋体" w:cs="宋体"/>
                <w:color w:val="auto"/>
                <w:sz w:val="24"/>
                <w:highlight w:val="none"/>
              </w:rPr>
            </w:pPr>
            <w:r>
              <w:rPr>
                <w:rFonts w:hint="eastAsia" w:ascii="宋体" w:hAnsi="宋体" w:cs="宋体"/>
                <w:color w:val="auto"/>
                <w:sz w:val="24"/>
                <w:highlight w:val="none"/>
              </w:rPr>
              <w:t>10分</w:t>
            </w:r>
          </w:p>
        </w:tc>
        <w:tc>
          <w:tcPr>
            <w:tcW w:w="7697" w:type="dxa"/>
            <w:tcBorders>
              <w:top w:val="single" w:color="auto" w:sz="4" w:space="0"/>
              <w:left w:val="single" w:color="auto" w:sz="4" w:space="0"/>
              <w:bottom w:val="single" w:color="auto" w:sz="4" w:space="0"/>
              <w:right w:val="single" w:color="auto" w:sz="4" w:space="0"/>
            </w:tcBorders>
            <w:vAlign w:val="center"/>
          </w:tcPr>
          <w:p w14:paraId="4AF2CB63">
            <w:pPr>
              <w:spacing w:line="30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提供项目培训方案，内容包括：</w:t>
            </w:r>
          </w:p>
          <w:p w14:paraId="5F7183EF">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①培训方式；</w:t>
            </w:r>
          </w:p>
          <w:p w14:paraId="20DF420A">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②培训计划；</w:t>
            </w:r>
          </w:p>
          <w:p w14:paraId="2FF547C9">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③培训内容；</w:t>
            </w:r>
          </w:p>
          <w:p w14:paraId="6FCFAECD">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④培训效果评估等方面；</w:t>
            </w:r>
          </w:p>
          <w:p w14:paraId="0D71E4F0">
            <w:pPr>
              <w:spacing w:line="300" w:lineRule="exact"/>
              <w:rPr>
                <w:rFonts w:hint="eastAsia" w:ascii="宋体" w:hAnsi="宋体" w:cs="宋体"/>
                <w:color w:val="auto"/>
                <w:sz w:val="24"/>
                <w:highlight w:val="none"/>
              </w:rPr>
            </w:pPr>
            <w:r>
              <w:rPr>
                <w:rFonts w:hint="eastAsia" w:ascii="宋体" w:hAnsi="宋体" w:cs="宋体"/>
                <w:color w:val="auto"/>
                <w:sz w:val="24"/>
                <w:highlight w:val="none"/>
              </w:rPr>
              <w:t>⑤持续改进。</w:t>
            </w:r>
          </w:p>
          <w:p w14:paraId="65688568">
            <w:pPr>
              <w:spacing w:line="300" w:lineRule="exact"/>
              <w:rPr>
                <w:rFonts w:hint="eastAsia" w:ascii="宋体" w:hAnsi="宋体" w:cs="宋体"/>
                <w:color w:val="auto"/>
                <w:sz w:val="24"/>
                <w:highlight w:val="none"/>
              </w:rPr>
            </w:pPr>
            <w:r>
              <w:rPr>
                <w:rFonts w:hint="eastAsia" w:ascii="宋体" w:hAnsi="宋体" w:cs="宋体"/>
                <w:color w:val="auto"/>
                <w:sz w:val="24"/>
                <w:highlight w:val="none"/>
              </w:rPr>
              <w:t>每项方案完整详尽可操作性强的得2分，每项方案不完整的得0.5分，不符合要求或未提供的不得分。</w:t>
            </w:r>
          </w:p>
        </w:tc>
      </w:tr>
      <w:tr w14:paraId="6468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56" w:type="dxa"/>
            <w:tcBorders>
              <w:top w:val="single" w:color="auto" w:sz="4" w:space="0"/>
              <w:left w:val="single" w:color="auto" w:sz="4" w:space="0"/>
              <w:bottom w:val="single" w:color="auto" w:sz="4" w:space="0"/>
              <w:right w:val="single" w:color="auto" w:sz="4" w:space="0"/>
            </w:tcBorders>
            <w:vAlign w:val="center"/>
          </w:tcPr>
          <w:p w14:paraId="31FABC83">
            <w:pPr>
              <w:spacing w:line="300" w:lineRule="exact"/>
              <w:ind w:left="97" w:leftChars="46"/>
              <w:rPr>
                <w:rFonts w:hint="eastAsia" w:ascii="宋体" w:hAnsi="宋体" w:cs="宋体"/>
                <w:color w:val="auto"/>
                <w:sz w:val="24"/>
                <w:highlight w:val="none"/>
              </w:rPr>
            </w:pPr>
            <w:r>
              <w:rPr>
                <w:rFonts w:hint="eastAsia" w:ascii="宋体" w:hAnsi="宋体" w:cs="宋体"/>
                <w:color w:val="auto"/>
                <w:sz w:val="24"/>
                <w:highlight w:val="none"/>
              </w:rPr>
              <w:t>总分</w:t>
            </w:r>
          </w:p>
        </w:tc>
        <w:tc>
          <w:tcPr>
            <w:tcW w:w="8472" w:type="dxa"/>
            <w:gridSpan w:val="2"/>
            <w:tcBorders>
              <w:top w:val="single" w:color="auto" w:sz="4" w:space="0"/>
              <w:left w:val="single" w:color="auto" w:sz="4" w:space="0"/>
              <w:bottom w:val="single" w:color="auto" w:sz="4" w:space="0"/>
              <w:right w:val="single" w:color="auto" w:sz="4" w:space="0"/>
            </w:tcBorders>
            <w:vAlign w:val="center"/>
          </w:tcPr>
          <w:p w14:paraId="7B1EB73E">
            <w:pPr>
              <w:spacing w:line="300" w:lineRule="exact"/>
              <w:rPr>
                <w:rFonts w:hint="eastAsia" w:ascii="宋体" w:hAnsi="宋体" w:cs="宋体"/>
                <w:color w:val="auto"/>
                <w:sz w:val="24"/>
                <w:highlight w:val="none"/>
              </w:rPr>
            </w:pPr>
            <w:r>
              <w:rPr>
                <w:rFonts w:hint="eastAsia" w:ascii="宋体" w:hAnsi="宋体" w:cs="宋体"/>
                <w:color w:val="auto"/>
                <w:sz w:val="24"/>
                <w:highlight w:val="none"/>
              </w:rPr>
              <w:t>100分</w:t>
            </w:r>
          </w:p>
        </w:tc>
      </w:tr>
    </w:tbl>
    <w:p w14:paraId="1FE40003">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08E124B2">
      <w:pPr>
        <w:jc w:val="center"/>
        <w:outlineLvl w:val="0"/>
        <w:rPr>
          <w:rFonts w:hint="eastAsia" w:ascii="宋体" w:hAnsi="宋体" w:cs="宋体"/>
          <w:b/>
          <w:color w:val="auto"/>
          <w:sz w:val="32"/>
          <w:highlight w:val="none"/>
        </w:rPr>
      </w:pPr>
      <w:r>
        <w:rPr>
          <w:rFonts w:hint="eastAsia" w:ascii="宋体" w:hAnsi="宋体" w:cs="宋体"/>
          <w:b/>
          <w:color w:val="auto"/>
          <w:sz w:val="32"/>
          <w:highlight w:val="none"/>
        </w:rPr>
        <w:t xml:space="preserve">第四章  </w:t>
      </w:r>
      <w:r>
        <w:rPr>
          <w:rFonts w:hint="eastAsia" w:ascii="宋体" w:hAnsi="宋体" w:cs="宋体"/>
          <w:b/>
          <w:color w:val="auto"/>
          <w:sz w:val="32"/>
          <w:highlight w:val="none"/>
          <w:lang w:eastAsia="zh-CN"/>
        </w:rPr>
        <w:t>议价文件</w:t>
      </w:r>
      <w:r>
        <w:rPr>
          <w:rFonts w:hint="eastAsia" w:ascii="宋体" w:hAnsi="宋体" w:cs="宋体"/>
          <w:b/>
          <w:color w:val="auto"/>
          <w:sz w:val="32"/>
          <w:highlight w:val="none"/>
        </w:rPr>
        <w:t>格式</w:t>
      </w:r>
    </w:p>
    <w:p w14:paraId="40497D95">
      <w:pPr>
        <w:jc w:val="center"/>
        <w:rPr>
          <w:rFonts w:hint="eastAsia" w:ascii="宋体" w:hAnsi="宋体" w:cs="宋体"/>
          <w:b/>
          <w:color w:val="auto"/>
          <w:sz w:val="32"/>
          <w:highlight w:val="none"/>
        </w:rPr>
      </w:pPr>
      <w:r>
        <w:rPr>
          <w:rFonts w:hint="eastAsia" w:ascii="宋体" w:hAnsi="宋体" w:cs="宋体"/>
          <w:b/>
          <w:color w:val="auto"/>
          <w:sz w:val="30"/>
          <w:szCs w:val="30"/>
          <w:highlight w:val="none"/>
        </w:rPr>
        <w:t>响 应 函 （格式）</w:t>
      </w:r>
    </w:p>
    <w:p w14:paraId="5E638A74">
      <w:pPr>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 xml:space="preserve">：桂林市人民医院   </w:t>
      </w:r>
    </w:p>
    <w:p w14:paraId="2BC36F5D">
      <w:pPr>
        <w:spacing w:line="40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 xml:space="preserve">根据贵方项目，项目名称（编号）##### ，签字代表（姓名）经正式授权并代表供应商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供应商单位名称），提交报价文件正本一份，副本五份。</w:t>
      </w:r>
    </w:p>
    <w:p w14:paraId="039419DB">
      <w:pPr>
        <w:spacing w:line="40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据此函，签字代表宣布同意如下：</w:t>
      </w:r>
    </w:p>
    <w:p w14:paraId="63B09C94">
      <w:pPr>
        <w:widowControl/>
        <w:numPr>
          <w:ilvl w:val="0"/>
          <w:numId w:val="2"/>
        </w:numPr>
        <w:spacing w:line="400" w:lineRule="exact"/>
        <w:jc w:val="left"/>
        <w:rPr>
          <w:rFonts w:hint="eastAsia" w:ascii="宋体" w:hAnsi="宋体"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.报价（单位：人民币元）</w:t>
      </w:r>
    </w:p>
    <w:p w14:paraId="0973D88C">
      <w:pPr>
        <w:spacing w:line="41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2.我方承诺已具备此次议价供应商资格条件。</w:t>
      </w:r>
    </w:p>
    <w:p w14:paraId="3C473339">
      <w:pPr>
        <w:spacing w:line="41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3.我方已详细了解本项目，将自行承担因对本项目理解不正确或误解而产生的相应后果。</w:t>
      </w:r>
    </w:p>
    <w:p w14:paraId="1284ECAC">
      <w:pPr>
        <w:spacing w:line="41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与本项目有关的正式通讯地址为：</w:t>
      </w:r>
    </w:p>
    <w:p w14:paraId="10784998">
      <w:pPr>
        <w:pStyle w:val="8"/>
        <w:spacing w:line="410" w:lineRule="exact"/>
        <w:ind w:firstLine="420"/>
        <w:rPr>
          <w:rFonts w:hint="eastAsia" w:hAnsi="宋体" w:cs="宋体"/>
          <w:color w:val="auto"/>
          <w:sz w:val="24"/>
          <w:szCs w:val="24"/>
          <w:highlight w:val="none"/>
        </w:rPr>
      </w:pPr>
      <w:r>
        <w:rPr>
          <w:rFonts w:hint="eastAsia" w:hAnsi="宋体" w:cs="宋体"/>
          <w:color w:val="auto"/>
          <w:sz w:val="24"/>
          <w:szCs w:val="24"/>
          <w:highlight w:val="none"/>
        </w:rPr>
        <w:t xml:space="preserve">地址： </w:t>
      </w:r>
      <w:r>
        <w:rPr>
          <w:rFonts w:hAnsi="宋体" w:cs="宋体"/>
          <w:color w:val="auto"/>
          <w:sz w:val="24"/>
          <w:szCs w:val="24"/>
          <w:highlight w:val="none"/>
        </w:rPr>
        <w:t xml:space="preserve">  </w:t>
      </w:r>
    </w:p>
    <w:p w14:paraId="71AC0E27">
      <w:pPr>
        <w:pStyle w:val="8"/>
        <w:spacing w:line="410" w:lineRule="exact"/>
        <w:ind w:firstLine="420"/>
        <w:rPr>
          <w:rFonts w:hint="eastAsia" w:hAnsi="宋体" w:cs="宋体"/>
          <w:color w:val="auto"/>
          <w:sz w:val="24"/>
          <w:szCs w:val="24"/>
          <w:highlight w:val="none"/>
        </w:rPr>
      </w:pPr>
      <w:r>
        <w:rPr>
          <w:rFonts w:hint="eastAsia" w:hAnsi="宋体" w:cs="宋体"/>
          <w:color w:val="auto"/>
          <w:sz w:val="24"/>
          <w:szCs w:val="24"/>
          <w:highlight w:val="none"/>
        </w:rPr>
        <w:t xml:space="preserve">邮编：  </w:t>
      </w:r>
      <w:r>
        <w:rPr>
          <w:rFonts w:hAnsi="宋体" w:cs="宋体"/>
          <w:color w:val="auto"/>
          <w:sz w:val="24"/>
          <w:szCs w:val="24"/>
          <w:highlight w:val="none"/>
        </w:rPr>
        <w:t xml:space="preserve">             </w:t>
      </w:r>
      <w:r>
        <w:rPr>
          <w:rFonts w:hint="eastAsia" w:hAnsi="宋体" w:cs="宋体"/>
          <w:color w:val="auto"/>
          <w:sz w:val="24"/>
          <w:szCs w:val="24"/>
          <w:highlight w:val="none"/>
        </w:rPr>
        <w:t>邮箱：</w:t>
      </w:r>
    </w:p>
    <w:p w14:paraId="70A7E860">
      <w:pPr>
        <w:pStyle w:val="8"/>
        <w:spacing w:line="410" w:lineRule="exact"/>
        <w:ind w:firstLine="420"/>
        <w:rPr>
          <w:rFonts w:hint="eastAsia" w:hAnsi="宋体" w:cs="宋体"/>
          <w:color w:val="auto"/>
          <w:sz w:val="24"/>
          <w:szCs w:val="24"/>
          <w:highlight w:val="none"/>
          <w:u w:val="single"/>
        </w:rPr>
      </w:pPr>
      <w:r>
        <w:rPr>
          <w:rFonts w:hint="eastAsia" w:hAnsi="宋体" w:cs="宋体"/>
          <w:color w:val="auto"/>
          <w:sz w:val="24"/>
          <w:szCs w:val="24"/>
          <w:highlight w:val="none"/>
        </w:rPr>
        <w:t xml:space="preserve">办公电话：   </w:t>
      </w:r>
      <w:r>
        <w:rPr>
          <w:rFonts w:hAnsi="宋体" w:cs="宋体"/>
          <w:color w:val="auto"/>
          <w:sz w:val="24"/>
          <w:szCs w:val="24"/>
          <w:highlight w:val="none"/>
        </w:rPr>
        <w:t xml:space="preserve">        </w:t>
      </w:r>
      <w:r>
        <w:rPr>
          <w:rFonts w:hint="eastAsia" w:hAnsi="宋体" w:cs="宋体"/>
          <w:color w:val="auto"/>
          <w:sz w:val="24"/>
          <w:szCs w:val="24"/>
          <w:highlight w:val="none"/>
        </w:rPr>
        <w:t>传真：</w:t>
      </w:r>
    </w:p>
    <w:p w14:paraId="748A8E9A">
      <w:pPr>
        <w:pStyle w:val="8"/>
        <w:spacing w:line="410" w:lineRule="exact"/>
        <w:ind w:firstLine="420"/>
        <w:rPr>
          <w:rFonts w:hint="eastAsia" w:hAnsi="宋体" w:cs="宋体"/>
          <w:color w:val="auto"/>
          <w:sz w:val="24"/>
          <w:szCs w:val="24"/>
          <w:highlight w:val="none"/>
          <w:u w:val="single"/>
        </w:rPr>
      </w:pPr>
      <w:r>
        <w:rPr>
          <w:rFonts w:hint="eastAsia" w:hAnsi="宋体" w:cs="宋体"/>
          <w:color w:val="auto"/>
          <w:sz w:val="24"/>
          <w:szCs w:val="24"/>
          <w:highlight w:val="none"/>
        </w:rPr>
        <w:t>委托代理人联系电话：</w:t>
      </w:r>
    </w:p>
    <w:p w14:paraId="028DA129">
      <w:pPr>
        <w:pStyle w:val="8"/>
        <w:spacing w:line="410" w:lineRule="exact"/>
        <w:ind w:firstLine="420"/>
        <w:rPr>
          <w:rFonts w:hint="eastAsia" w:hAnsi="宋体" w:cs="宋体"/>
          <w:color w:val="auto"/>
          <w:sz w:val="24"/>
          <w:szCs w:val="24"/>
          <w:highlight w:val="none"/>
        </w:rPr>
      </w:pPr>
      <w:r>
        <w:rPr>
          <w:rFonts w:hint="eastAsia" w:hAnsi="宋体" w:cs="宋体"/>
          <w:color w:val="auto"/>
          <w:sz w:val="24"/>
          <w:szCs w:val="24"/>
          <w:highlight w:val="none"/>
        </w:rPr>
        <w:t>供应商（公章）：</w:t>
      </w:r>
    </w:p>
    <w:p w14:paraId="0E6C5513">
      <w:pPr>
        <w:pStyle w:val="8"/>
        <w:spacing w:line="410" w:lineRule="exact"/>
        <w:ind w:firstLine="420"/>
        <w:rPr>
          <w:rFonts w:hint="eastAsia" w:hAnsi="宋体" w:cs="宋体"/>
          <w:color w:val="auto"/>
          <w:sz w:val="24"/>
          <w:szCs w:val="24"/>
          <w:highlight w:val="none"/>
        </w:rPr>
      </w:pPr>
      <w:r>
        <w:rPr>
          <w:rFonts w:hint="eastAsia" w:hAnsi="宋体" w:cs="宋体"/>
          <w:color w:val="auto"/>
          <w:sz w:val="24"/>
          <w:szCs w:val="24"/>
          <w:highlight w:val="none"/>
        </w:rPr>
        <w:t>法定代表人（负责人）或相应的委托代理人签字：</w:t>
      </w:r>
    </w:p>
    <w:p w14:paraId="6D086FB3">
      <w:pPr>
        <w:pStyle w:val="8"/>
        <w:spacing w:line="410" w:lineRule="exact"/>
        <w:ind w:firstLine="420"/>
        <w:rPr>
          <w:rFonts w:hint="eastAsia" w:hAnsi="宋体" w:cs="宋体"/>
          <w:color w:val="auto"/>
          <w:sz w:val="24"/>
          <w:szCs w:val="24"/>
          <w:highlight w:val="none"/>
          <w:u w:val="single"/>
        </w:rPr>
      </w:pPr>
      <w:r>
        <w:rPr>
          <w:rFonts w:hint="eastAsia" w:hAnsi="宋体" w:cs="宋体"/>
          <w:color w:val="auto"/>
          <w:sz w:val="24"/>
          <w:szCs w:val="24"/>
          <w:highlight w:val="none"/>
        </w:rPr>
        <w:t>日期：</w:t>
      </w:r>
    </w:p>
    <w:p w14:paraId="77B226E7">
      <w:pPr>
        <w:spacing w:line="440" w:lineRule="exact"/>
        <w:rPr>
          <w:rFonts w:hint="eastAsia" w:ascii="宋体" w:hAnsi="宋体"/>
          <w:color w:val="auto"/>
          <w:sz w:val="28"/>
          <w:szCs w:val="28"/>
          <w:highlight w:val="none"/>
        </w:rPr>
      </w:pPr>
      <w:r>
        <w:rPr>
          <w:rFonts w:ascii="宋体" w:hAnsi="宋体"/>
          <w:color w:val="auto"/>
          <w:sz w:val="28"/>
          <w:szCs w:val="28"/>
          <w:highlight w:val="none"/>
        </w:rPr>
        <w:br w:type="page"/>
      </w:r>
    </w:p>
    <w:p w14:paraId="088B55F2">
      <w:pPr>
        <w:pStyle w:val="8"/>
        <w:spacing w:line="440" w:lineRule="exact"/>
        <w:ind w:firstLine="590" w:firstLineChars="196"/>
        <w:jc w:val="center"/>
        <w:rPr>
          <w:rFonts w:hint="eastAsia" w:hAnsi="宋体" w:cs="宋体"/>
          <w:b/>
          <w:color w:val="auto"/>
          <w:sz w:val="30"/>
          <w:szCs w:val="30"/>
          <w:highlight w:val="none"/>
        </w:rPr>
      </w:pPr>
      <w:r>
        <w:rPr>
          <w:rFonts w:hint="eastAsia" w:hAnsi="宋体" w:cs="宋体"/>
          <w:b/>
          <w:color w:val="auto"/>
          <w:sz w:val="30"/>
          <w:szCs w:val="30"/>
          <w:highlight w:val="none"/>
        </w:rPr>
        <w:t>法人授权委托书（格式）</w:t>
      </w:r>
    </w:p>
    <w:p w14:paraId="646CD949">
      <w:pPr>
        <w:spacing w:line="440" w:lineRule="exact"/>
        <w:jc w:val="left"/>
        <w:rPr>
          <w:rFonts w:hint="eastAsia" w:ascii="宋体" w:hAnsi="宋体" w:cs="宋体"/>
          <w:color w:val="auto"/>
          <w:sz w:val="20"/>
          <w:highlight w:val="none"/>
        </w:rPr>
      </w:pPr>
    </w:p>
    <w:p w14:paraId="3ED8C473">
      <w:pPr>
        <w:spacing w:line="500" w:lineRule="exact"/>
        <w:jc w:val="left"/>
        <w:rPr>
          <w:rFonts w:hint="eastAsia" w:ascii="宋体" w:hAnsi="宋体" w:cs="宋体"/>
          <w:color w:val="auto"/>
          <w:sz w:val="24"/>
          <w:highlight w:val="none"/>
        </w:rPr>
      </w:pPr>
      <w:r>
        <w:rPr>
          <w:rFonts w:hint="eastAsia" w:ascii="宋体" w:hAnsi="宋体" w:cs="宋体"/>
          <w:color w:val="auto"/>
          <w:sz w:val="24"/>
          <w:highlight w:val="none"/>
        </w:rPr>
        <w:t>致：</w:t>
      </w:r>
      <w:r>
        <w:rPr>
          <w:rFonts w:hint="eastAsia" w:ascii="宋体" w:hAnsi="宋体" w:cs="宋体"/>
          <w:color w:val="auto"/>
          <w:sz w:val="24"/>
          <w:highlight w:val="none"/>
          <w:u w:val="single"/>
        </w:rPr>
        <w:t>桂林市人民医院</w:t>
      </w:r>
    </w:p>
    <w:p w14:paraId="1CF53E14">
      <w:pPr>
        <w:spacing w:line="50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我（姓名）系（供应商名称）的法定代表人（负责人），现授权委托本单位在职职工（姓名）以我方名义参加</w:t>
      </w:r>
      <w:r>
        <w:rPr>
          <w:rFonts w:hint="eastAsia" w:ascii="宋体" w:hAnsi="宋体" w:cs="宋体"/>
          <w:color w:val="auto"/>
          <w:sz w:val="24"/>
          <w:highlight w:val="none"/>
          <w:u w:val="single"/>
        </w:rPr>
        <w:t xml:space="preserve">      （项目名称及项目编号）        </w:t>
      </w:r>
      <w:r>
        <w:rPr>
          <w:rFonts w:hint="eastAsia" w:ascii="宋体" w:hAnsi="宋体" w:cs="宋体"/>
          <w:color w:val="auto"/>
          <w:sz w:val="24"/>
          <w:highlight w:val="none"/>
        </w:rPr>
        <w:t>项目的议价采购活动，并代表我方全权办理针对上述项目的具体事务和签署相关文件。</w:t>
      </w:r>
    </w:p>
    <w:p w14:paraId="075B57FE">
      <w:pPr>
        <w:spacing w:line="50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我方对被授权人的签字事项负全部责任。</w:t>
      </w:r>
    </w:p>
    <w:p w14:paraId="564B4CC4">
      <w:pPr>
        <w:spacing w:line="500" w:lineRule="exact"/>
        <w:ind w:firstLine="420"/>
        <w:jc w:val="left"/>
        <w:rPr>
          <w:rFonts w:hint="eastAsia" w:ascii="宋体" w:hAnsi="宋体" w:cs="宋体"/>
          <w:color w:val="auto"/>
          <w:sz w:val="24"/>
          <w:highlight w:val="none"/>
          <w:u w:val="single"/>
        </w:rPr>
      </w:pPr>
      <w:r>
        <w:rPr>
          <w:rFonts w:hint="eastAsia" w:ascii="宋体" w:hAnsi="宋体" w:cs="宋体"/>
          <w:color w:val="auto"/>
          <w:sz w:val="24"/>
          <w:highlight w:val="none"/>
        </w:rPr>
        <w:t xml:space="preserve">授权委托代理期限：从 </w:t>
      </w:r>
      <w:r>
        <w:rPr>
          <w:rFonts w:ascii="宋体" w:hAnsi="宋体" w:cs="宋体"/>
          <w:color w:val="auto"/>
          <w:sz w:val="24"/>
          <w:highlight w:val="none"/>
        </w:rPr>
        <w:t xml:space="preserve"> </w:t>
      </w:r>
      <w:r>
        <w:rPr>
          <w:rFonts w:hint="eastAsia" w:ascii="宋体" w:hAnsi="宋体" w:cs="宋体"/>
          <w:color w:val="auto"/>
          <w:sz w:val="24"/>
          <w:highlight w:val="none"/>
        </w:rPr>
        <w:t xml:space="preserve">年 </w:t>
      </w:r>
      <w:r>
        <w:rPr>
          <w:rFonts w:ascii="宋体" w:hAnsi="宋体" w:cs="宋体"/>
          <w:color w:val="auto"/>
          <w:sz w:val="24"/>
          <w:highlight w:val="none"/>
        </w:rPr>
        <w:t xml:space="preserve"> </w:t>
      </w:r>
      <w:r>
        <w:rPr>
          <w:rFonts w:hint="eastAsia" w:ascii="宋体" w:hAnsi="宋体" w:cs="宋体"/>
          <w:color w:val="auto"/>
          <w:sz w:val="24"/>
          <w:highlight w:val="none"/>
        </w:rPr>
        <w:t xml:space="preserve">月  日起至 </w:t>
      </w:r>
      <w:r>
        <w:rPr>
          <w:rFonts w:ascii="宋体" w:hAnsi="宋体" w:cs="宋体"/>
          <w:color w:val="auto"/>
          <w:sz w:val="24"/>
          <w:highlight w:val="none"/>
        </w:rPr>
        <w:t xml:space="preserve">    </w:t>
      </w:r>
      <w:r>
        <w:rPr>
          <w:rFonts w:hint="eastAsia" w:ascii="宋体" w:hAnsi="宋体" w:cs="宋体"/>
          <w:color w:val="auto"/>
          <w:sz w:val="24"/>
          <w:highlight w:val="none"/>
        </w:rPr>
        <w:t xml:space="preserve">年 </w:t>
      </w:r>
      <w:r>
        <w:rPr>
          <w:rFonts w:ascii="宋体" w:hAnsi="宋体" w:cs="宋体"/>
          <w:color w:val="auto"/>
          <w:sz w:val="24"/>
          <w:highlight w:val="none"/>
        </w:rPr>
        <w:t xml:space="preserve"> </w:t>
      </w:r>
      <w:r>
        <w:rPr>
          <w:rFonts w:hint="eastAsia" w:ascii="宋体" w:hAnsi="宋体" w:cs="宋体"/>
          <w:color w:val="auto"/>
          <w:sz w:val="24"/>
          <w:highlight w:val="none"/>
        </w:rPr>
        <w:t>月 日止。</w:t>
      </w:r>
    </w:p>
    <w:p w14:paraId="21CCDC76">
      <w:pPr>
        <w:spacing w:line="440" w:lineRule="exact"/>
        <w:jc w:val="left"/>
        <w:rPr>
          <w:rFonts w:hint="eastAsia" w:ascii="宋体" w:hAnsi="宋体" w:cs="宋体"/>
          <w:color w:val="auto"/>
          <w:sz w:val="24"/>
          <w:highlight w:val="none"/>
          <w:u w:val="single"/>
        </w:rPr>
      </w:pPr>
    </w:p>
    <w:p w14:paraId="4B326BDD">
      <w:pPr>
        <w:spacing w:line="44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 xml:space="preserve">代理人无转委托权,特此委托。 </w:t>
      </w:r>
    </w:p>
    <w:p w14:paraId="6860E4AF">
      <w:pPr>
        <w:snapToGrid w:val="0"/>
        <w:spacing w:line="440" w:lineRule="exact"/>
        <w:ind w:firstLine="525"/>
        <w:jc w:val="left"/>
        <w:rPr>
          <w:rFonts w:hint="eastAsia" w:ascii="宋体" w:hAnsi="宋体" w:cs="宋体"/>
          <w:color w:val="auto"/>
          <w:sz w:val="24"/>
          <w:highlight w:val="none"/>
        </w:rPr>
      </w:pPr>
    </w:p>
    <w:p w14:paraId="683200E3">
      <w:pPr>
        <w:snapToGrid w:val="0"/>
        <w:spacing w:line="44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我已在下面签字，以资证明。</w:t>
      </w:r>
    </w:p>
    <w:p w14:paraId="6158F335">
      <w:pPr>
        <w:snapToGrid w:val="0"/>
        <w:spacing w:line="440" w:lineRule="exact"/>
        <w:ind w:firstLine="420"/>
        <w:jc w:val="left"/>
        <w:rPr>
          <w:rFonts w:hint="eastAsia" w:ascii="宋体" w:hAnsi="宋体" w:cs="宋体"/>
          <w:color w:val="auto"/>
          <w:sz w:val="24"/>
          <w:highlight w:val="none"/>
        </w:rPr>
      </w:pPr>
    </w:p>
    <w:p w14:paraId="2C7723ED">
      <w:pPr>
        <w:snapToGrid w:val="0"/>
        <w:spacing w:line="440" w:lineRule="exact"/>
        <w:ind w:firstLine="420"/>
        <w:jc w:val="left"/>
        <w:rPr>
          <w:rFonts w:hint="eastAsia" w:ascii="宋体" w:hAnsi="宋体" w:cs="宋体"/>
          <w:color w:val="auto"/>
          <w:sz w:val="24"/>
          <w:highlight w:val="none"/>
        </w:rPr>
      </w:pPr>
    </w:p>
    <w:p w14:paraId="71AA159C">
      <w:pPr>
        <w:snapToGrid w:val="0"/>
        <w:spacing w:line="440" w:lineRule="exact"/>
        <w:ind w:firstLine="420"/>
        <w:jc w:val="left"/>
        <w:rPr>
          <w:rFonts w:hint="eastAsia" w:ascii="宋体" w:hAnsi="宋体" w:cs="宋体"/>
          <w:color w:val="auto"/>
          <w:sz w:val="24"/>
          <w:highlight w:val="none"/>
          <w:u w:val="single"/>
        </w:rPr>
      </w:pPr>
      <w:r>
        <w:rPr>
          <w:rFonts w:hint="eastAsia" w:ascii="宋体" w:hAnsi="宋体" w:cs="宋体"/>
          <w:color w:val="auto"/>
          <w:sz w:val="24"/>
          <w:highlight w:val="none"/>
        </w:rPr>
        <w:t>供应商（公章）：</w:t>
      </w:r>
    </w:p>
    <w:p w14:paraId="250BEBB3">
      <w:pPr>
        <w:snapToGrid w:val="0"/>
        <w:spacing w:line="440" w:lineRule="exact"/>
        <w:ind w:firstLine="420"/>
        <w:jc w:val="left"/>
        <w:rPr>
          <w:rFonts w:hint="eastAsia" w:ascii="宋体" w:hAnsi="宋体" w:cs="宋体"/>
          <w:color w:val="auto"/>
          <w:sz w:val="24"/>
          <w:highlight w:val="none"/>
        </w:rPr>
      </w:pPr>
    </w:p>
    <w:p w14:paraId="555DE667">
      <w:pPr>
        <w:snapToGrid w:val="0"/>
        <w:spacing w:line="440" w:lineRule="exact"/>
        <w:ind w:firstLine="420"/>
        <w:jc w:val="left"/>
        <w:rPr>
          <w:rFonts w:hint="eastAsia" w:ascii="宋体" w:hAnsi="宋体" w:cs="宋体"/>
          <w:color w:val="auto"/>
          <w:sz w:val="24"/>
          <w:highlight w:val="none"/>
        </w:rPr>
      </w:pPr>
      <w:r>
        <w:rPr>
          <w:rFonts w:hint="eastAsia" w:ascii="宋体" w:hAnsi="宋体" w:cs="宋体"/>
          <w:color w:val="auto"/>
          <w:sz w:val="24"/>
          <w:highlight w:val="none"/>
        </w:rPr>
        <w:t xml:space="preserve">法定代表人（负责人）签字或盖章： </w:t>
      </w:r>
      <w:r>
        <w:rPr>
          <w:rFonts w:ascii="宋体" w:hAnsi="宋体" w:cs="宋体"/>
          <w:color w:val="auto"/>
          <w:sz w:val="24"/>
          <w:highlight w:val="none"/>
        </w:rPr>
        <w:t xml:space="preserve"> </w:t>
      </w:r>
      <w:r>
        <w:rPr>
          <w:rFonts w:hint="eastAsia" w:ascii="宋体" w:hAnsi="宋体" w:cs="宋体"/>
          <w:color w:val="auto"/>
          <w:sz w:val="24"/>
          <w:highlight w:val="none"/>
        </w:rPr>
        <w:t xml:space="preserve">年  月 </w:t>
      </w:r>
      <w:r>
        <w:rPr>
          <w:rFonts w:ascii="宋体" w:hAnsi="宋体" w:cs="宋体"/>
          <w:color w:val="auto"/>
          <w:sz w:val="24"/>
          <w:highlight w:val="none"/>
        </w:rPr>
        <w:t xml:space="preserve"> </w:t>
      </w:r>
      <w:r>
        <w:rPr>
          <w:rFonts w:hint="eastAsia" w:ascii="宋体" w:hAnsi="宋体" w:cs="宋体"/>
          <w:color w:val="auto"/>
          <w:sz w:val="24"/>
          <w:highlight w:val="none"/>
        </w:rPr>
        <w:t>日</w:t>
      </w:r>
    </w:p>
    <w:p w14:paraId="0E5CD5FD">
      <w:pP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br w:type="page"/>
      </w:r>
    </w:p>
    <w:p w14:paraId="20B17259">
      <w:pPr>
        <w:pStyle w:val="8"/>
        <w:numPr>
          <w:ilvl w:val="0"/>
          <w:numId w:val="3"/>
        </w:numPr>
        <w:spacing w:line="440" w:lineRule="exact"/>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桂林市人民医院投诉纠纷管理系统项目</w:t>
      </w:r>
      <w:r>
        <w:rPr>
          <w:rFonts w:hint="eastAsia" w:asciiTheme="minorEastAsia" w:hAnsiTheme="minorEastAsia" w:eastAsiaTheme="minorEastAsia" w:cstheme="minorEastAsia"/>
          <w:b/>
          <w:bCs/>
          <w:color w:val="auto"/>
          <w:sz w:val="30"/>
          <w:szCs w:val="30"/>
          <w:highlight w:val="none"/>
          <w:lang w:val="en-US" w:eastAsia="zh-CN"/>
        </w:rPr>
        <w:t>技术</w:t>
      </w:r>
      <w:r>
        <w:rPr>
          <w:rFonts w:hint="eastAsia" w:asciiTheme="minorEastAsia" w:hAnsiTheme="minorEastAsia" w:eastAsiaTheme="minorEastAsia" w:cstheme="minorEastAsia"/>
          <w:b/>
          <w:bCs/>
          <w:color w:val="auto"/>
          <w:sz w:val="30"/>
          <w:szCs w:val="30"/>
          <w:highlight w:val="none"/>
        </w:rPr>
        <w:t>需求响</w:t>
      </w:r>
      <w:r>
        <w:rPr>
          <w:rFonts w:hint="eastAsia" w:asciiTheme="minorEastAsia" w:hAnsiTheme="minorEastAsia" w:eastAsiaTheme="minorEastAsia" w:cstheme="minorEastAsia"/>
          <w:b/>
          <w:bCs/>
          <w:color w:val="auto"/>
          <w:sz w:val="30"/>
          <w:szCs w:val="30"/>
          <w:highlight w:val="none"/>
          <w:lang w:val="en-US" w:eastAsia="zh-CN"/>
        </w:rPr>
        <w:t>应</w:t>
      </w:r>
      <w:r>
        <w:rPr>
          <w:rFonts w:hint="eastAsia" w:asciiTheme="minorEastAsia" w:hAnsiTheme="minorEastAsia" w:eastAsiaTheme="minorEastAsia" w:cstheme="minorEastAsia"/>
          <w:b/>
          <w:bCs/>
          <w:color w:val="auto"/>
          <w:sz w:val="30"/>
          <w:szCs w:val="30"/>
          <w:highlight w:val="none"/>
        </w:rPr>
        <w:t>表</w:t>
      </w:r>
    </w:p>
    <w:tbl>
      <w:tblPr>
        <w:tblStyle w:val="16"/>
        <w:tblW w:w="9916"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779"/>
        <w:gridCol w:w="3500"/>
        <w:gridCol w:w="2521"/>
        <w:gridCol w:w="1336"/>
      </w:tblGrid>
      <w:tr w14:paraId="76B3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780" w:type="dxa"/>
            <w:vAlign w:val="center"/>
          </w:tcPr>
          <w:p w14:paraId="717DAC71">
            <w:pPr>
              <w:jc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b/>
                <w:bCs/>
                <w:color w:val="auto"/>
                <w:sz w:val="24"/>
                <w:highlight w:val="none"/>
              </w:rPr>
              <w:t>序号</w:t>
            </w:r>
          </w:p>
        </w:tc>
        <w:tc>
          <w:tcPr>
            <w:tcW w:w="1779" w:type="dxa"/>
            <w:vAlign w:val="center"/>
          </w:tcPr>
          <w:p w14:paraId="7D4D4C4E">
            <w:pPr>
              <w:jc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b/>
                <w:bCs/>
                <w:color w:val="auto"/>
                <w:kern w:val="0"/>
                <w:sz w:val="24"/>
                <w:highlight w:val="none"/>
                <w:lang w:bidi="ar"/>
              </w:rPr>
              <w:t>功能需求</w:t>
            </w:r>
          </w:p>
        </w:tc>
        <w:tc>
          <w:tcPr>
            <w:tcW w:w="3500" w:type="dxa"/>
            <w:vAlign w:val="center"/>
          </w:tcPr>
          <w:p w14:paraId="197543D9">
            <w:pPr>
              <w:jc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b/>
                <w:bCs/>
                <w:color w:val="auto"/>
                <w:sz w:val="24"/>
                <w:highlight w:val="none"/>
              </w:rPr>
              <w:t>需求内容</w:t>
            </w:r>
          </w:p>
        </w:tc>
        <w:tc>
          <w:tcPr>
            <w:tcW w:w="2521" w:type="dxa"/>
            <w:vAlign w:val="center"/>
          </w:tcPr>
          <w:p w14:paraId="42B8AAE2">
            <w:pPr>
              <w:spacing w:line="460" w:lineRule="exact"/>
              <w:jc w:val="center"/>
              <w:outlineLvl w:val="0"/>
              <w:rPr>
                <w:rFonts w:hint="eastAsia" w:asciiTheme="minorEastAsia" w:hAnsiTheme="minorEastAsia" w:eastAsiaTheme="minorEastAsia" w:cstheme="minorEastAsia"/>
                <w:b/>
                <w:bCs/>
                <w:color w:val="auto"/>
                <w:spacing w:val="1"/>
                <w:sz w:val="24"/>
                <w:highlight w:val="none"/>
              </w:rPr>
            </w:pPr>
            <w:r>
              <w:rPr>
                <w:rFonts w:hint="eastAsia" w:asciiTheme="minorEastAsia" w:hAnsiTheme="minorEastAsia" w:eastAsiaTheme="minorEastAsia" w:cstheme="minorEastAsia"/>
                <w:b/>
                <w:bCs/>
                <w:color w:val="auto"/>
                <w:spacing w:val="1"/>
                <w:sz w:val="24"/>
                <w:highlight w:val="none"/>
              </w:rPr>
              <w:t>投标文件的响应内容</w:t>
            </w:r>
          </w:p>
        </w:tc>
        <w:tc>
          <w:tcPr>
            <w:tcW w:w="1336" w:type="dxa"/>
            <w:vAlign w:val="center"/>
          </w:tcPr>
          <w:p w14:paraId="41806BC8">
            <w:pPr>
              <w:spacing w:line="460" w:lineRule="exact"/>
              <w:jc w:val="center"/>
              <w:outlineLvl w:val="0"/>
              <w:rPr>
                <w:rFonts w:hint="eastAsia" w:asciiTheme="minorEastAsia" w:hAnsiTheme="minorEastAsia" w:eastAsiaTheme="minorEastAsia" w:cstheme="minorEastAsia"/>
                <w:b/>
                <w:bCs/>
                <w:color w:val="auto"/>
                <w:spacing w:val="1"/>
                <w:sz w:val="24"/>
                <w:highlight w:val="none"/>
              </w:rPr>
            </w:pPr>
            <w:r>
              <w:rPr>
                <w:rFonts w:hint="eastAsia" w:asciiTheme="minorEastAsia" w:hAnsiTheme="minorEastAsia" w:eastAsiaTheme="minorEastAsia" w:cstheme="minorEastAsia"/>
                <w:b/>
                <w:bCs/>
                <w:color w:val="auto"/>
                <w:spacing w:val="1"/>
                <w:sz w:val="24"/>
                <w:highlight w:val="none"/>
              </w:rPr>
              <w:t>响应情况</w:t>
            </w:r>
          </w:p>
        </w:tc>
      </w:tr>
      <w:tr w14:paraId="0608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80" w:type="dxa"/>
            <w:vAlign w:val="center"/>
          </w:tcPr>
          <w:p w14:paraId="638E0AC2">
            <w:pPr>
              <w:jc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color w:val="auto"/>
                <w:sz w:val="24"/>
                <w:highlight w:val="none"/>
              </w:rPr>
              <w:t>1</w:t>
            </w:r>
          </w:p>
        </w:tc>
        <w:tc>
          <w:tcPr>
            <w:tcW w:w="1779" w:type="dxa"/>
            <w:vMerge w:val="restart"/>
            <w:vAlign w:val="center"/>
          </w:tcPr>
          <w:p w14:paraId="5B3FAEFC">
            <w:pPr>
              <w:jc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color w:val="auto"/>
                <w:kern w:val="0"/>
                <w:sz w:val="24"/>
                <w:highlight w:val="none"/>
                <w:lang w:bidi="ar"/>
              </w:rPr>
              <w:t>新增投诉</w:t>
            </w:r>
          </w:p>
        </w:tc>
        <w:tc>
          <w:tcPr>
            <w:tcW w:w="3500" w:type="dxa"/>
            <w:vAlign w:val="center"/>
          </w:tcPr>
          <w:p w14:paraId="3528D2B6">
            <w:pPr>
              <w:widowControl/>
              <w:textAlignment w:val="center"/>
              <w:rPr>
                <w:rFonts w:hint="eastAsia" w:asciiTheme="minorEastAsia" w:hAnsiTheme="minorEastAsia" w:eastAsiaTheme="minorEastAsia" w:cstheme="minorEastAsia"/>
                <w:b/>
                <w:bCs/>
                <w:color w:val="auto"/>
                <w:spacing w:val="1"/>
                <w:sz w:val="24"/>
                <w:highlight w:val="none"/>
              </w:rPr>
            </w:pPr>
            <w:r>
              <w:rPr>
                <w:rFonts w:hint="eastAsia" w:ascii="宋体" w:hAnsi="宋体" w:cs="宋体"/>
                <w:color w:val="auto"/>
                <w:kern w:val="0"/>
                <w:sz w:val="24"/>
                <w:highlight w:val="none"/>
                <w:lang w:bidi="ar"/>
              </w:rPr>
              <w:t>支持新增投诉单信息录入，包括投诉的基本信息（患者姓名、患者性别、就诊科室、投诉人电话等）以及投诉事件内容（投诉事件性质、各类行政单位和业务部门等投诉来源、不同行政单位、投诉就医环节及原因、主要意见及事由等）。</w:t>
            </w:r>
          </w:p>
        </w:tc>
        <w:tc>
          <w:tcPr>
            <w:tcW w:w="2521" w:type="dxa"/>
            <w:vAlign w:val="center"/>
          </w:tcPr>
          <w:p w14:paraId="7A286FCC">
            <w:pPr>
              <w:spacing w:line="460" w:lineRule="exact"/>
              <w:outlineLvl w:val="0"/>
              <w:rPr>
                <w:rFonts w:hint="eastAsia" w:asciiTheme="minorEastAsia" w:hAnsiTheme="minorEastAsia" w:eastAsiaTheme="minorEastAsia" w:cstheme="minorEastAsia"/>
                <w:b/>
                <w:bCs/>
                <w:color w:val="auto"/>
                <w:spacing w:val="1"/>
                <w:sz w:val="24"/>
                <w:highlight w:val="none"/>
              </w:rPr>
            </w:pPr>
          </w:p>
        </w:tc>
        <w:tc>
          <w:tcPr>
            <w:tcW w:w="1336" w:type="dxa"/>
            <w:vAlign w:val="center"/>
          </w:tcPr>
          <w:p w14:paraId="7C55E396">
            <w:pPr>
              <w:spacing w:line="460" w:lineRule="exact"/>
              <w:outlineLvl w:val="0"/>
              <w:rPr>
                <w:rFonts w:hint="eastAsia" w:asciiTheme="minorEastAsia" w:hAnsiTheme="minorEastAsia" w:eastAsiaTheme="minorEastAsia" w:cstheme="minorEastAsia"/>
                <w:b/>
                <w:bCs/>
                <w:color w:val="auto"/>
                <w:spacing w:val="1"/>
                <w:sz w:val="24"/>
                <w:highlight w:val="none"/>
              </w:rPr>
            </w:pPr>
          </w:p>
        </w:tc>
      </w:tr>
      <w:tr w14:paraId="10BD6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DEE2547">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w:t>
            </w:r>
          </w:p>
        </w:tc>
        <w:tc>
          <w:tcPr>
            <w:tcW w:w="1779" w:type="dxa"/>
            <w:vMerge w:val="continue"/>
            <w:vAlign w:val="center"/>
          </w:tcPr>
          <w:p w14:paraId="5418E15E">
            <w:pPr>
              <w:jc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598AC56A">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★自动填写表单：支持根据院方上传excel模版，系统可自动识别excel数据，并自动填写到页面表单（需提供系统截图）。</w:t>
            </w:r>
          </w:p>
        </w:tc>
        <w:tc>
          <w:tcPr>
            <w:tcW w:w="2521" w:type="dxa"/>
          </w:tcPr>
          <w:p w14:paraId="3BC44D6C">
            <w:pPr>
              <w:pStyle w:val="26"/>
              <w:spacing w:line="460" w:lineRule="exact"/>
              <w:ind w:firstLine="0" w:firstLineChars="0"/>
              <w:jc w:val="left"/>
              <w:rPr>
                <w:rFonts w:hint="eastAsia" w:asciiTheme="minorEastAsia" w:hAnsiTheme="minorEastAsia" w:eastAsiaTheme="minorEastAsia" w:cstheme="minorEastAsia"/>
                <w:color w:val="auto"/>
                <w:kern w:val="0"/>
                <w:sz w:val="24"/>
                <w:szCs w:val="24"/>
                <w:highlight w:val="none"/>
              </w:rPr>
            </w:pPr>
          </w:p>
        </w:tc>
        <w:tc>
          <w:tcPr>
            <w:tcW w:w="1336" w:type="dxa"/>
          </w:tcPr>
          <w:p w14:paraId="74DB00DF">
            <w:pPr>
              <w:pStyle w:val="26"/>
              <w:spacing w:line="460" w:lineRule="exact"/>
              <w:ind w:firstLine="0" w:firstLineChars="0"/>
              <w:jc w:val="left"/>
              <w:rPr>
                <w:rFonts w:hint="eastAsia" w:asciiTheme="minorEastAsia" w:hAnsiTheme="minorEastAsia" w:eastAsiaTheme="minorEastAsia" w:cstheme="minorEastAsia"/>
                <w:color w:val="auto"/>
                <w:kern w:val="0"/>
                <w:sz w:val="24"/>
                <w:szCs w:val="24"/>
                <w:highlight w:val="none"/>
              </w:rPr>
            </w:pPr>
          </w:p>
        </w:tc>
      </w:tr>
      <w:tr w14:paraId="79DC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D1796B1">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3</w:t>
            </w:r>
          </w:p>
        </w:tc>
        <w:tc>
          <w:tcPr>
            <w:tcW w:w="1779" w:type="dxa"/>
            <w:vMerge w:val="continue"/>
            <w:vAlign w:val="center"/>
          </w:tcPr>
          <w:p w14:paraId="1CFCDA79">
            <w:pPr>
              <w:jc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2B560317">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支持投诉人与患者信息的同源处理，支持在院投诉患者与信息平台数据的同源处理，快速提取数据，减轻人员录入工作量。</w:t>
            </w:r>
          </w:p>
        </w:tc>
        <w:tc>
          <w:tcPr>
            <w:tcW w:w="2521" w:type="dxa"/>
          </w:tcPr>
          <w:p w14:paraId="1DC14680">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ABA585F">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6E63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B7D3DEB">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4</w:t>
            </w:r>
          </w:p>
        </w:tc>
        <w:tc>
          <w:tcPr>
            <w:tcW w:w="1779" w:type="dxa"/>
            <w:vMerge w:val="continue"/>
            <w:vAlign w:val="center"/>
          </w:tcPr>
          <w:p w14:paraId="7EBD3244">
            <w:pPr>
              <w:rPr>
                <w:rFonts w:hint="eastAsia" w:asciiTheme="minorEastAsia" w:hAnsiTheme="minorEastAsia" w:eastAsiaTheme="minorEastAsia" w:cstheme="minorEastAsia"/>
                <w:color w:val="auto"/>
                <w:kern w:val="0"/>
                <w:sz w:val="24"/>
                <w:highlight w:val="none"/>
              </w:rPr>
            </w:pPr>
          </w:p>
        </w:tc>
        <w:tc>
          <w:tcPr>
            <w:tcW w:w="3500" w:type="dxa"/>
            <w:vAlign w:val="center"/>
          </w:tcPr>
          <w:p w14:paraId="3B3E4900">
            <w:pP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支持原始投诉信息材料以附件上传形式保存，支持.jpg、.png、.pdf等文件格式，并以所见即所得的智能预览方式。</w:t>
            </w:r>
          </w:p>
        </w:tc>
        <w:tc>
          <w:tcPr>
            <w:tcW w:w="2521" w:type="dxa"/>
          </w:tcPr>
          <w:p w14:paraId="5F8346D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4A425929">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689A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5A6CCE9">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5</w:t>
            </w:r>
          </w:p>
        </w:tc>
        <w:tc>
          <w:tcPr>
            <w:tcW w:w="1779" w:type="dxa"/>
            <w:vMerge w:val="continue"/>
            <w:vAlign w:val="center"/>
          </w:tcPr>
          <w:p w14:paraId="1B100726">
            <w:pPr>
              <w:rPr>
                <w:rFonts w:hint="eastAsia" w:asciiTheme="minorEastAsia" w:hAnsiTheme="minorEastAsia" w:eastAsiaTheme="minorEastAsia" w:cstheme="minorEastAsia"/>
                <w:color w:val="auto"/>
                <w:kern w:val="0"/>
                <w:sz w:val="24"/>
                <w:highlight w:val="none"/>
              </w:rPr>
            </w:pPr>
          </w:p>
        </w:tc>
        <w:tc>
          <w:tcPr>
            <w:tcW w:w="3500" w:type="dxa"/>
            <w:vAlign w:val="center"/>
          </w:tcPr>
          <w:p w14:paraId="50EF0410">
            <w:pPr>
              <w:rPr>
                <w:rFonts w:hint="eastAsia" w:asciiTheme="minorEastAsia" w:hAnsiTheme="minorEastAsia" w:eastAsiaTheme="minorEastAsia" w:cstheme="minorEastAsia"/>
                <w:color w:val="auto"/>
                <w:kern w:val="0"/>
                <w:sz w:val="24"/>
                <w:highlight w:val="none"/>
              </w:rPr>
            </w:pPr>
            <w:r>
              <w:rPr>
                <w:rFonts w:ascii="宋体" w:hAnsi="宋体" w:cs="宋体"/>
                <w:color w:val="auto"/>
                <w:sz w:val="24"/>
                <w:highlight w:val="none"/>
              </w:rPr>
              <w:t>▲</w:t>
            </w:r>
            <w:r>
              <w:rPr>
                <w:rFonts w:hint="eastAsia" w:ascii="宋体" w:hAnsi="宋体" w:cs="宋体"/>
                <w:color w:val="auto"/>
                <w:sz w:val="24"/>
                <w:highlight w:val="none"/>
                <w:shd w:val="clear" w:color="auto" w:fill="FDFDFE"/>
              </w:rPr>
              <w:t>支持OCR技术自动识别投诉单图片中的信息，并精准提取出对应的文字内容</w:t>
            </w:r>
            <w:r>
              <w:rPr>
                <w:rFonts w:hint="eastAsia" w:ascii="宋体" w:hAnsi="宋体" w:cs="宋体"/>
                <w:color w:val="auto"/>
                <w:kern w:val="0"/>
                <w:sz w:val="24"/>
                <w:highlight w:val="none"/>
                <w:lang w:bidi="ar"/>
              </w:rPr>
              <w:t>（需提供系统截图）</w:t>
            </w:r>
            <w:r>
              <w:rPr>
                <w:rFonts w:hint="eastAsia" w:ascii="宋体" w:hAnsi="宋体" w:cs="宋体"/>
                <w:color w:val="auto"/>
                <w:sz w:val="24"/>
                <w:highlight w:val="none"/>
              </w:rPr>
              <w:t>。</w:t>
            </w:r>
          </w:p>
        </w:tc>
        <w:tc>
          <w:tcPr>
            <w:tcW w:w="2521" w:type="dxa"/>
          </w:tcPr>
          <w:p w14:paraId="7C7BA9AF">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2F29908B">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74D8D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8F46AC4">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6</w:t>
            </w:r>
          </w:p>
        </w:tc>
        <w:tc>
          <w:tcPr>
            <w:tcW w:w="1779" w:type="dxa"/>
            <w:vAlign w:val="center"/>
          </w:tcPr>
          <w:p w14:paraId="73B0B0D9">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投诉中心</w:t>
            </w:r>
          </w:p>
        </w:tc>
        <w:tc>
          <w:tcPr>
            <w:tcW w:w="3500" w:type="dxa"/>
            <w:vAlign w:val="center"/>
          </w:tcPr>
          <w:p w14:paraId="5C7D7841">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★支持医务处对正在发生的投诉事件详细信息进行查看及处理（需提供系统截图）。</w:t>
            </w:r>
          </w:p>
        </w:tc>
        <w:tc>
          <w:tcPr>
            <w:tcW w:w="2521" w:type="dxa"/>
          </w:tcPr>
          <w:p w14:paraId="547B4687">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84D9EF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5AA5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E144751">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7</w:t>
            </w:r>
          </w:p>
        </w:tc>
        <w:tc>
          <w:tcPr>
            <w:tcW w:w="1779" w:type="dxa"/>
            <w:vAlign w:val="center"/>
          </w:tcPr>
          <w:p w14:paraId="2B00D60E">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事件进度追踪</w:t>
            </w:r>
          </w:p>
        </w:tc>
        <w:tc>
          <w:tcPr>
            <w:tcW w:w="3500" w:type="dxa"/>
            <w:vAlign w:val="center"/>
          </w:tcPr>
          <w:p w14:paraId="5A209294">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支持医务处可视化方式查看各项投诉事件的处理进度。</w:t>
            </w:r>
          </w:p>
        </w:tc>
        <w:tc>
          <w:tcPr>
            <w:tcW w:w="2521" w:type="dxa"/>
          </w:tcPr>
          <w:p w14:paraId="2EA41A26">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688BEA3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6F55F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BDF62BF">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8</w:t>
            </w:r>
          </w:p>
        </w:tc>
        <w:tc>
          <w:tcPr>
            <w:tcW w:w="1779" w:type="dxa"/>
            <w:vAlign w:val="center"/>
          </w:tcPr>
          <w:p w14:paraId="33DBF34F">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事件超时提醒</w:t>
            </w:r>
          </w:p>
        </w:tc>
        <w:tc>
          <w:tcPr>
            <w:tcW w:w="3500" w:type="dxa"/>
            <w:vAlign w:val="center"/>
          </w:tcPr>
          <w:p w14:paraId="1811E0D6">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★支持投诉事件处理超时提醒，对重要紧急、即将超时、已超时的案件进行督促处理，并用图标或颜色区分，支持一键提醒相关职能部门及时处理（需提供系统截图）。</w:t>
            </w:r>
          </w:p>
        </w:tc>
        <w:tc>
          <w:tcPr>
            <w:tcW w:w="2521" w:type="dxa"/>
          </w:tcPr>
          <w:p w14:paraId="00EB41FF">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5C4F755A">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78E6D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F790F05">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9</w:t>
            </w:r>
          </w:p>
        </w:tc>
        <w:tc>
          <w:tcPr>
            <w:tcW w:w="1779" w:type="dxa"/>
            <w:vAlign w:val="center"/>
          </w:tcPr>
          <w:p w14:paraId="72421365">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任务节点提醒</w:t>
            </w:r>
          </w:p>
        </w:tc>
        <w:tc>
          <w:tcPr>
            <w:tcW w:w="3500" w:type="dxa"/>
            <w:vAlign w:val="center"/>
          </w:tcPr>
          <w:p w14:paraId="6BEF0F10">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支持对投诉事件对应处理环节责任人进行系统内通知，短信等方式提醒。</w:t>
            </w:r>
          </w:p>
        </w:tc>
        <w:tc>
          <w:tcPr>
            <w:tcW w:w="2521" w:type="dxa"/>
          </w:tcPr>
          <w:p w14:paraId="4D21BEF0">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22A6ED35">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213B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A36FC02">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10</w:t>
            </w:r>
          </w:p>
        </w:tc>
        <w:tc>
          <w:tcPr>
            <w:tcW w:w="1779" w:type="dxa"/>
            <w:vAlign w:val="center"/>
          </w:tcPr>
          <w:p w14:paraId="3A6EA2D5">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重复投诉提醒</w:t>
            </w:r>
          </w:p>
        </w:tc>
        <w:tc>
          <w:tcPr>
            <w:tcW w:w="3500" w:type="dxa"/>
            <w:vAlign w:val="center"/>
          </w:tcPr>
          <w:p w14:paraId="41699182">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w:t>
            </w:r>
            <w:r>
              <w:rPr>
                <w:rFonts w:hint="eastAsia" w:ascii="宋体" w:hAnsi="宋体" w:cs="宋体"/>
                <w:color w:val="auto"/>
                <w:sz w:val="24"/>
                <w:highlight w:val="none"/>
              </w:rPr>
              <w:t>对于发生重复投诉的患者，可定义标签，</w:t>
            </w:r>
            <w:r>
              <w:rPr>
                <w:rFonts w:hint="eastAsia" w:ascii="宋体" w:hAnsi="宋体" w:cs="宋体"/>
                <w:color w:val="auto"/>
                <w:kern w:val="0"/>
                <w:sz w:val="24"/>
                <w:highlight w:val="none"/>
                <w:lang w:bidi="ar"/>
              </w:rPr>
              <w:t>在再入院时进行预警，提醒医务处及相关部门重点关注，避免发生类似纠纷事件（需提供系统截图）。</w:t>
            </w:r>
          </w:p>
        </w:tc>
        <w:tc>
          <w:tcPr>
            <w:tcW w:w="2521" w:type="dxa"/>
          </w:tcPr>
          <w:p w14:paraId="09FFF0B0">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3AC135DA">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6C83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CA4DEE5">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11</w:t>
            </w:r>
          </w:p>
        </w:tc>
        <w:tc>
          <w:tcPr>
            <w:tcW w:w="1779" w:type="dxa"/>
            <w:vAlign w:val="center"/>
          </w:tcPr>
          <w:p w14:paraId="2C07A7F9">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投诉风险预警</w:t>
            </w:r>
          </w:p>
        </w:tc>
        <w:tc>
          <w:tcPr>
            <w:tcW w:w="3500" w:type="dxa"/>
            <w:vAlign w:val="center"/>
          </w:tcPr>
          <w:p w14:paraId="3CC3B873">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★支持展示在院投诉患者最新的风险预警级别（需提供系统截图）。</w:t>
            </w:r>
          </w:p>
        </w:tc>
        <w:tc>
          <w:tcPr>
            <w:tcW w:w="2521" w:type="dxa"/>
          </w:tcPr>
          <w:p w14:paraId="3B87E813">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67DEE1A3">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52AB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EA320AE">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12</w:t>
            </w:r>
          </w:p>
        </w:tc>
        <w:tc>
          <w:tcPr>
            <w:tcW w:w="1779" w:type="dxa"/>
            <w:vAlign w:val="center"/>
          </w:tcPr>
          <w:p w14:paraId="53299D89">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预警指标详情</w:t>
            </w:r>
          </w:p>
        </w:tc>
        <w:tc>
          <w:tcPr>
            <w:tcW w:w="3500" w:type="dxa"/>
            <w:vAlign w:val="center"/>
          </w:tcPr>
          <w:p w14:paraId="7E8D6104">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★支持展示在院投诉患者详细的风险指标信息（需提供系统截图）。</w:t>
            </w:r>
          </w:p>
        </w:tc>
        <w:tc>
          <w:tcPr>
            <w:tcW w:w="2521" w:type="dxa"/>
          </w:tcPr>
          <w:p w14:paraId="10CFC4E7">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0DC17B82">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5E65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54E409C">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13</w:t>
            </w:r>
          </w:p>
        </w:tc>
        <w:tc>
          <w:tcPr>
            <w:tcW w:w="1779" w:type="dxa"/>
            <w:vAlign w:val="center"/>
          </w:tcPr>
          <w:p w14:paraId="461163CF">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预警工单详情</w:t>
            </w:r>
          </w:p>
        </w:tc>
        <w:tc>
          <w:tcPr>
            <w:tcW w:w="3500" w:type="dxa"/>
            <w:vAlign w:val="center"/>
          </w:tcPr>
          <w:p w14:paraId="242ECC73">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★支持展示在院投诉患者的风控干预工单，便于医务工作者综合分析投诉原因及解决方案（需提供系统截图）。</w:t>
            </w:r>
          </w:p>
        </w:tc>
        <w:tc>
          <w:tcPr>
            <w:tcW w:w="2521" w:type="dxa"/>
          </w:tcPr>
          <w:p w14:paraId="32661FD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2E10AB9">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2E1A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88363A1">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14</w:t>
            </w:r>
          </w:p>
        </w:tc>
        <w:tc>
          <w:tcPr>
            <w:tcW w:w="1779" w:type="dxa"/>
            <w:vAlign w:val="center"/>
          </w:tcPr>
          <w:p w14:paraId="1392003E">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预警趋势详情</w:t>
            </w:r>
          </w:p>
        </w:tc>
        <w:tc>
          <w:tcPr>
            <w:tcW w:w="3500" w:type="dxa"/>
            <w:vAlign w:val="center"/>
          </w:tcPr>
          <w:p w14:paraId="631FFB73">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★支持展示在院投诉患者的历史风险预警等级趋势图（需提供系统截图）。</w:t>
            </w:r>
          </w:p>
        </w:tc>
        <w:tc>
          <w:tcPr>
            <w:tcW w:w="2521" w:type="dxa"/>
          </w:tcPr>
          <w:p w14:paraId="5CFE5C11">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251EEA98">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3A61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B481227">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15</w:t>
            </w:r>
          </w:p>
        </w:tc>
        <w:tc>
          <w:tcPr>
            <w:tcW w:w="1779" w:type="dxa"/>
            <w:vAlign w:val="center"/>
          </w:tcPr>
          <w:p w14:paraId="26ED3830">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在院诊疗概况</w:t>
            </w:r>
          </w:p>
        </w:tc>
        <w:tc>
          <w:tcPr>
            <w:tcW w:w="3500" w:type="dxa"/>
            <w:vAlign w:val="center"/>
          </w:tcPr>
          <w:p w14:paraId="759150FE">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★支持展示在院投诉患者的用药、手术开展等详情信息（需提供系统截图）。</w:t>
            </w:r>
          </w:p>
        </w:tc>
        <w:tc>
          <w:tcPr>
            <w:tcW w:w="2521" w:type="dxa"/>
          </w:tcPr>
          <w:p w14:paraId="62DD0C05">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5522FD72">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5C235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A977A68">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16</w:t>
            </w:r>
          </w:p>
        </w:tc>
        <w:tc>
          <w:tcPr>
            <w:tcW w:w="1779" w:type="dxa"/>
            <w:vAlign w:val="center"/>
          </w:tcPr>
          <w:p w14:paraId="003FDCF9">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投诉量分析</w:t>
            </w:r>
          </w:p>
        </w:tc>
        <w:tc>
          <w:tcPr>
            <w:tcW w:w="3500" w:type="dxa"/>
            <w:vAlign w:val="center"/>
          </w:tcPr>
          <w:p w14:paraId="2D0CF33B">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★支持医务处查看每日科室投诉量、每日全院投诉案件量、每月各科室投诉量、科室投诉排名及平均处理时间（需提供系统截图）；支持将当前页面信息导出为excel表格文件。</w:t>
            </w:r>
          </w:p>
        </w:tc>
        <w:tc>
          <w:tcPr>
            <w:tcW w:w="2521" w:type="dxa"/>
          </w:tcPr>
          <w:p w14:paraId="64DBEFCE">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648BA41A">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AF3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241C910">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17</w:t>
            </w:r>
          </w:p>
        </w:tc>
        <w:tc>
          <w:tcPr>
            <w:tcW w:w="1779" w:type="dxa"/>
            <w:vMerge w:val="restart"/>
            <w:vAlign w:val="center"/>
          </w:tcPr>
          <w:p w14:paraId="40CB4015">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投诉原因分析</w:t>
            </w:r>
          </w:p>
        </w:tc>
        <w:tc>
          <w:tcPr>
            <w:tcW w:w="3500" w:type="dxa"/>
            <w:vAlign w:val="center"/>
          </w:tcPr>
          <w:p w14:paraId="5066343A">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★支持医务处对投诉就医各个环节进行分析，支持折线图，环形图等展示形式，可导出为图片或excel格式（需提供系统截图）。</w:t>
            </w:r>
          </w:p>
        </w:tc>
        <w:tc>
          <w:tcPr>
            <w:tcW w:w="2521" w:type="dxa"/>
          </w:tcPr>
          <w:p w14:paraId="7BEE83A9">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083DEE7F">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2F33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01C162F">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18</w:t>
            </w:r>
          </w:p>
        </w:tc>
        <w:tc>
          <w:tcPr>
            <w:tcW w:w="1779" w:type="dxa"/>
            <w:vMerge w:val="continue"/>
            <w:vAlign w:val="center"/>
          </w:tcPr>
          <w:p w14:paraId="008C0D07">
            <w:pPr>
              <w:widowControl/>
              <w:jc w:val="center"/>
              <w:textAlignment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17DC7414">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★支持医务处对投诉事件的原因进行归类分析，支持柱状图、旭日图等展示形式，可导出为图片或excel格式（需提供系统截图）。</w:t>
            </w:r>
          </w:p>
        </w:tc>
        <w:tc>
          <w:tcPr>
            <w:tcW w:w="2521" w:type="dxa"/>
          </w:tcPr>
          <w:p w14:paraId="7F5DCF05">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4CDC0184">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0C720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780" w:type="dxa"/>
            <w:vAlign w:val="center"/>
          </w:tcPr>
          <w:p w14:paraId="54E96673">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19</w:t>
            </w:r>
          </w:p>
        </w:tc>
        <w:tc>
          <w:tcPr>
            <w:tcW w:w="1779" w:type="dxa"/>
            <w:vMerge w:val="continue"/>
            <w:vAlign w:val="center"/>
          </w:tcPr>
          <w:p w14:paraId="190C20C6">
            <w:pPr>
              <w:widowControl/>
              <w:jc w:val="center"/>
              <w:textAlignment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0151FAFD">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★支持医务处对投诉事件的类型进行分析，支持图表、环形图等展示形式，可导出为图片或excel格式（需提供系统截图）。</w:t>
            </w:r>
          </w:p>
        </w:tc>
        <w:tc>
          <w:tcPr>
            <w:tcW w:w="2521" w:type="dxa"/>
          </w:tcPr>
          <w:p w14:paraId="41167215">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52375F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7E04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DAED40D">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20</w:t>
            </w:r>
          </w:p>
        </w:tc>
        <w:tc>
          <w:tcPr>
            <w:tcW w:w="1779" w:type="dxa"/>
            <w:vMerge w:val="restart"/>
            <w:vAlign w:val="center"/>
          </w:tcPr>
          <w:p w14:paraId="0709A615">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在院案件</w:t>
            </w:r>
          </w:p>
        </w:tc>
        <w:tc>
          <w:tcPr>
            <w:tcW w:w="3500" w:type="dxa"/>
            <w:vAlign w:val="center"/>
          </w:tcPr>
          <w:p w14:paraId="18351F51">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支持根据患者姓名、住院号、投诉人联系方式等条件进行数据查询，支持将查询结果以excel导出。</w:t>
            </w:r>
          </w:p>
        </w:tc>
        <w:tc>
          <w:tcPr>
            <w:tcW w:w="2521" w:type="dxa"/>
          </w:tcPr>
          <w:p w14:paraId="48FF15EE">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7CF92B71">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0A09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DFD9A5E">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21</w:t>
            </w:r>
          </w:p>
        </w:tc>
        <w:tc>
          <w:tcPr>
            <w:tcW w:w="1779" w:type="dxa"/>
            <w:vMerge w:val="continue"/>
            <w:vAlign w:val="center"/>
          </w:tcPr>
          <w:p w14:paraId="5517CECE">
            <w:pPr>
              <w:widowControl/>
              <w:jc w:val="center"/>
              <w:textAlignment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0D6599B1">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支持以列表形式展示在院投诉案件的信息，包括：患者姓名、患者性别、投诉科室、就诊科室、住院号、患者居住所在地、患者身份证号、投诉人联系方式、投诉人姓名、案件编号、投诉事由等信息。</w:t>
            </w:r>
          </w:p>
        </w:tc>
        <w:tc>
          <w:tcPr>
            <w:tcW w:w="2521" w:type="dxa"/>
          </w:tcPr>
          <w:p w14:paraId="0DC5E183">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7B6919A1">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0D37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F211041">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22</w:t>
            </w:r>
          </w:p>
        </w:tc>
        <w:tc>
          <w:tcPr>
            <w:tcW w:w="1779" w:type="dxa"/>
            <w:vMerge w:val="restart"/>
            <w:vAlign w:val="center"/>
          </w:tcPr>
          <w:p w14:paraId="52796248">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案件汇总</w:t>
            </w:r>
          </w:p>
        </w:tc>
        <w:tc>
          <w:tcPr>
            <w:tcW w:w="3500" w:type="dxa"/>
            <w:vAlign w:val="center"/>
          </w:tcPr>
          <w:p w14:paraId="15BC47BD">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支持根据投诉时间、投诉类型、患者姓名、住院号、投诉姓名、案件状态、受理类型、投诉科室等条件进行数据查询，支持将查询结果以excel导出。</w:t>
            </w:r>
          </w:p>
        </w:tc>
        <w:tc>
          <w:tcPr>
            <w:tcW w:w="2521" w:type="dxa"/>
          </w:tcPr>
          <w:p w14:paraId="7318E07E">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C6942E1">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30BF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104C2B9">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23</w:t>
            </w:r>
          </w:p>
        </w:tc>
        <w:tc>
          <w:tcPr>
            <w:tcW w:w="1779" w:type="dxa"/>
            <w:vMerge w:val="continue"/>
            <w:vAlign w:val="center"/>
          </w:tcPr>
          <w:p w14:paraId="4EAF01CE">
            <w:pPr>
              <w:widowControl/>
              <w:jc w:val="center"/>
              <w:textAlignment w:val="center"/>
              <w:rPr>
                <w:rFonts w:hint="eastAsia" w:asciiTheme="minorEastAsia" w:hAnsiTheme="minorEastAsia" w:eastAsiaTheme="minorEastAsia" w:cstheme="minorEastAsia"/>
                <w:color w:val="auto"/>
                <w:kern w:val="0"/>
                <w:sz w:val="24"/>
                <w:highlight w:val="none"/>
              </w:rPr>
            </w:pPr>
          </w:p>
        </w:tc>
        <w:tc>
          <w:tcPr>
            <w:tcW w:w="3500" w:type="dxa"/>
            <w:vAlign w:val="center"/>
          </w:tcPr>
          <w:p w14:paraId="2AE52A6F">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支持以列表形式展示全部投诉案件的信息，包括：投诉时间、处理状态、患者姓名、案件编号、出院状态、受理类型投诉类型、投诉科室、就诊科室、住院号/就诊号、患者居住所在地患者身份证号、投诉人联系 、历史投诉次数、 案件有效性等信息。</w:t>
            </w:r>
          </w:p>
        </w:tc>
        <w:tc>
          <w:tcPr>
            <w:tcW w:w="2521" w:type="dxa"/>
          </w:tcPr>
          <w:p w14:paraId="34999BB2">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03F6DE6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26DB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13CA526">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24</w:t>
            </w:r>
          </w:p>
        </w:tc>
        <w:tc>
          <w:tcPr>
            <w:tcW w:w="1779" w:type="dxa"/>
            <w:vAlign w:val="center"/>
          </w:tcPr>
          <w:p w14:paraId="4E987740">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投诉判定</w:t>
            </w:r>
          </w:p>
        </w:tc>
        <w:tc>
          <w:tcPr>
            <w:tcW w:w="3500" w:type="dxa"/>
            <w:vAlign w:val="center"/>
          </w:tcPr>
          <w:p w14:paraId="4A23A0ED">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★支持医务对投诉案件的有效性进行判定与分类，可划分为有效投诉与无效投诉两类（需提供系统截图）。</w:t>
            </w:r>
          </w:p>
        </w:tc>
        <w:tc>
          <w:tcPr>
            <w:tcW w:w="2521" w:type="dxa"/>
          </w:tcPr>
          <w:p w14:paraId="53E1734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0B11043A">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608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C73B47E">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25</w:t>
            </w:r>
          </w:p>
        </w:tc>
        <w:tc>
          <w:tcPr>
            <w:tcW w:w="1779" w:type="dxa"/>
            <w:vAlign w:val="center"/>
          </w:tcPr>
          <w:p w14:paraId="5DE0393D">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持续整改</w:t>
            </w:r>
          </w:p>
        </w:tc>
        <w:tc>
          <w:tcPr>
            <w:tcW w:w="3500" w:type="dxa"/>
            <w:vAlign w:val="center"/>
          </w:tcPr>
          <w:p w14:paraId="7E00AF79">
            <w:pPr>
              <w:widowControl/>
              <w:textAlignment w:val="center"/>
              <w:rPr>
                <w:rFonts w:hint="eastAsia" w:asciiTheme="minorEastAsia" w:hAnsiTheme="minorEastAsia" w:eastAsiaTheme="minorEastAsia" w:cstheme="minorEastAsia"/>
                <w:color w:val="auto"/>
                <w:kern w:val="0"/>
                <w:sz w:val="24"/>
                <w:highlight w:val="none"/>
              </w:rPr>
            </w:pPr>
            <w:r>
              <w:rPr>
                <w:rFonts w:ascii="宋体" w:hAnsi="宋体" w:cs="宋体"/>
                <w:color w:val="auto"/>
                <w:sz w:val="24"/>
                <w:highlight w:val="none"/>
              </w:rPr>
              <w:t>▲</w:t>
            </w:r>
            <w:r>
              <w:rPr>
                <w:rFonts w:hint="eastAsia" w:ascii="宋体" w:hAnsi="宋体" w:cs="宋体"/>
                <w:color w:val="auto"/>
                <w:kern w:val="0"/>
                <w:sz w:val="24"/>
                <w:highlight w:val="none"/>
                <w:lang w:bidi="ar"/>
              </w:rPr>
              <w:t>通过对投诉案例的分析，支持医务填写改进医疗服务质量和减少投诉发生的整改建议，支持将整改建议同步给科室。支持记录整改反馈结果，持续优化医院医疗服务环境（需提供系统截图）。</w:t>
            </w:r>
          </w:p>
        </w:tc>
        <w:tc>
          <w:tcPr>
            <w:tcW w:w="2521" w:type="dxa"/>
          </w:tcPr>
          <w:p w14:paraId="7B58BEBF">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169AA717">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08A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5DAD311D">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26</w:t>
            </w:r>
          </w:p>
        </w:tc>
        <w:tc>
          <w:tcPr>
            <w:tcW w:w="1779" w:type="dxa"/>
            <w:vAlign w:val="center"/>
          </w:tcPr>
          <w:p w14:paraId="58421D7F">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用户管理</w:t>
            </w:r>
          </w:p>
        </w:tc>
        <w:tc>
          <w:tcPr>
            <w:tcW w:w="3500" w:type="dxa"/>
            <w:vAlign w:val="center"/>
          </w:tcPr>
          <w:p w14:paraId="7B72638E">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模块使用访问由管理员账号进行统一授权管理，管理人员可添加、删除、修改用户账号。</w:t>
            </w:r>
          </w:p>
        </w:tc>
        <w:tc>
          <w:tcPr>
            <w:tcW w:w="2521" w:type="dxa"/>
          </w:tcPr>
          <w:p w14:paraId="6E62374B">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48F02A10">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AE6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C1E3B08">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27</w:t>
            </w:r>
          </w:p>
        </w:tc>
        <w:tc>
          <w:tcPr>
            <w:tcW w:w="1779" w:type="dxa"/>
            <w:vAlign w:val="center"/>
          </w:tcPr>
          <w:p w14:paraId="4ECB70CE">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角色管理</w:t>
            </w:r>
          </w:p>
        </w:tc>
        <w:tc>
          <w:tcPr>
            <w:tcW w:w="3500" w:type="dxa"/>
            <w:vAlign w:val="center"/>
          </w:tcPr>
          <w:p w14:paraId="6DB372F0">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管理员选择每个角色所能管理的页面以及功能。</w:t>
            </w:r>
          </w:p>
        </w:tc>
        <w:tc>
          <w:tcPr>
            <w:tcW w:w="2521" w:type="dxa"/>
          </w:tcPr>
          <w:p w14:paraId="184D54CE">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69BB20CD">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A30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D640A60">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28</w:t>
            </w:r>
          </w:p>
        </w:tc>
        <w:tc>
          <w:tcPr>
            <w:tcW w:w="1779" w:type="dxa"/>
            <w:vAlign w:val="center"/>
          </w:tcPr>
          <w:p w14:paraId="01EF078E">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数据共享</w:t>
            </w:r>
          </w:p>
        </w:tc>
        <w:tc>
          <w:tcPr>
            <w:tcW w:w="3500" w:type="dxa"/>
            <w:vAlign w:val="center"/>
          </w:tcPr>
          <w:p w14:paraId="399E3EFB">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支持查看住院投诉患者最新医疗风险预警级别、详细医疗风险指标、风险预警干预记录，历史风险预警趋势等详细信息。</w:t>
            </w:r>
            <w:r>
              <w:rPr>
                <w:rFonts w:hint="eastAsia" w:ascii="宋体" w:hAnsi="宋体" w:cs="宋体"/>
                <w:color w:val="auto"/>
                <w:kern w:val="0"/>
                <w:sz w:val="24"/>
                <w:highlight w:val="none"/>
                <w:lang w:bidi="ar"/>
              </w:rPr>
              <w:t>（需提供系统截图</w:t>
            </w:r>
            <w:r>
              <w:rPr>
                <w:rFonts w:hint="eastAsia" w:ascii="宋体" w:hAnsi="宋体" w:cs="宋体"/>
                <w:color w:val="auto"/>
                <w:kern w:val="0"/>
                <w:sz w:val="24"/>
                <w:highlight w:val="none"/>
                <w:lang w:eastAsia="zh-CN" w:bidi="ar"/>
              </w:rPr>
              <w:t>）</w:t>
            </w:r>
            <w:r>
              <w:rPr>
                <w:rFonts w:hint="eastAsia" w:ascii="宋体" w:hAnsi="宋体" w:cs="宋体"/>
                <w:color w:val="auto"/>
                <w:sz w:val="24"/>
                <w:szCs w:val="24"/>
                <w:highlight w:val="none"/>
              </w:rPr>
              <w:t>。</w:t>
            </w:r>
          </w:p>
          <w:p w14:paraId="06E307E4">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支持查看住院患者基本信息、诊断信息、检验信息、检查信息、用药信息、手术信息、护理信息、费用信息等。</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4EB26E19">
            <w:pPr>
              <w:pStyle w:val="28"/>
              <w:ind w:left="0"/>
              <w:rPr>
                <w:rFonts w:hint="eastAsia" w:ascii="宋体" w:hAnsi="宋体" w:cs="宋体"/>
                <w:color w:val="auto"/>
                <w:sz w:val="24"/>
                <w:szCs w:val="24"/>
                <w:highlight w:val="none"/>
              </w:rPr>
            </w:pPr>
            <w:r>
              <w:rPr>
                <w:rFonts w:ascii="宋体" w:hAnsi="宋体" w:cs="宋体"/>
                <w:color w:val="auto"/>
                <w:sz w:val="24"/>
                <w:szCs w:val="24"/>
                <w:highlight w:val="none"/>
              </w:rPr>
              <w:t>▲</w:t>
            </w:r>
            <w:r>
              <w:rPr>
                <w:rFonts w:hint="eastAsia" w:ascii="宋体" w:hAnsi="宋体" w:cs="宋体"/>
                <w:color w:val="auto"/>
                <w:sz w:val="24"/>
                <w:szCs w:val="24"/>
                <w:highlight w:val="none"/>
              </w:rPr>
              <w:t>支持关联医师资质管理相关系统，查验医师的医疗技术能力相关资质信息，用于判断本次投诉涉及医师的资质是否合规。</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2E369EBB">
            <w:pPr>
              <w:pStyle w:val="28"/>
              <w:ind w:left="0"/>
              <w:rPr>
                <w:rFonts w:hint="eastAsia" w:ascii="宋体" w:hAnsi="宋体" w:cs="宋体"/>
                <w:color w:val="auto"/>
                <w:sz w:val="24"/>
                <w:szCs w:val="24"/>
                <w:highlight w:val="none"/>
              </w:rPr>
            </w:pPr>
            <w:r>
              <w:rPr>
                <w:rFonts w:ascii="宋体" w:hAnsi="宋体" w:cs="宋体"/>
                <w:color w:val="auto"/>
                <w:kern w:val="0"/>
                <w:sz w:val="24"/>
                <w:szCs w:val="24"/>
                <w:highlight w:val="none"/>
                <w:lang w:bidi="ar"/>
              </w:rPr>
              <w:t>▲</w:t>
            </w:r>
            <w:r>
              <w:rPr>
                <w:rFonts w:hint="eastAsia" w:ascii="宋体" w:hAnsi="宋体" w:cs="宋体"/>
                <w:color w:val="auto"/>
                <w:sz w:val="24"/>
                <w:szCs w:val="24"/>
                <w:highlight w:val="none"/>
              </w:rPr>
              <w:t>支持将投诉数据关联至医师资质管理相关系统，为持续完善医师的资质考核指标提供依据。</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p w14:paraId="4A017DAB">
            <w:pPr>
              <w:pStyle w:val="28"/>
              <w:ind w:left="0"/>
              <w:rPr>
                <w:rFonts w:hint="eastAsia" w:asciiTheme="minorEastAsia" w:hAnsiTheme="minorEastAsia" w:eastAsiaTheme="minorEastAsia" w:cstheme="minorEastAsia"/>
                <w:color w:val="auto"/>
                <w:kern w:val="0"/>
                <w:sz w:val="24"/>
                <w:szCs w:val="24"/>
                <w:highlight w:val="none"/>
              </w:rPr>
            </w:pPr>
            <w:r>
              <w:rPr>
                <w:rFonts w:ascii="宋体" w:hAnsi="宋体" w:cs="宋体"/>
                <w:color w:val="auto"/>
                <w:kern w:val="0"/>
                <w:sz w:val="24"/>
                <w:szCs w:val="24"/>
                <w:highlight w:val="none"/>
                <w:lang w:bidi="ar"/>
              </w:rPr>
              <w:t>▲</w:t>
            </w:r>
            <w:r>
              <w:rPr>
                <w:rFonts w:hint="eastAsia" w:ascii="宋体" w:hAnsi="宋体" w:cs="宋体"/>
                <w:color w:val="auto"/>
                <w:sz w:val="24"/>
                <w:szCs w:val="24"/>
                <w:highlight w:val="none"/>
              </w:rPr>
              <w:t>支持将投诉患者的投诉相关信息关联至风险预警管理相关系统，以实现投诉患者再入院时进行预警。</w:t>
            </w:r>
            <w:r>
              <w:rPr>
                <w:rFonts w:hint="eastAsia" w:ascii="宋体" w:hAnsi="宋体" w:cs="宋体"/>
                <w:color w:val="auto"/>
                <w:kern w:val="0"/>
                <w:sz w:val="24"/>
                <w:highlight w:val="none"/>
                <w:lang w:bidi="ar"/>
              </w:rPr>
              <w:t>（需提供系统截图）</w:t>
            </w:r>
            <w:r>
              <w:rPr>
                <w:rFonts w:hint="eastAsia" w:ascii="宋体" w:hAnsi="宋体" w:cs="宋体"/>
                <w:color w:val="auto"/>
                <w:sz w:val="24"/>
                <w:szCs w:val="24"/>
                <w:highlight w:val="none"/>
              </w:rPr>
              <w:t>。</w:t>
            </w:r>
          </w:p>
        </w:tc>
        <w:tc>
          <w:tcPr>
            <w:tcW w:w="2521" w:type="dxa"/>
          </w:tcPr>
          <w:p w14:paraId="363EF3F9">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282262B0">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6AC9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A95F4DE">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29</w:t>
            </w:r>
          </w:p>
        </w:tc>
        <w:tc>
          <w:tcPr>
            <w:tcW w:w="1779" w:type="dxa"/>
            <w:vAlign w:val="center"/>
          </w:tcPr>
          <w:p w14:paraId="75DFBA8B">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自定义配置</w:t>
            </w:r>
          </w:p>
        </w:tc>
        <w:tc>
          <w:tcPr>
            <w:tcW w:w="3500" w:type="dxa"/>
            <w:vAlign w:val="center"/>
          </w:tcPr>
          <w:p w14:paraId="230454CB">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支持维护不同类型的投诉纠纷模板及审批流程；支持投诉流程的配置化可视化管理。</w:t>
            </w:r>
          </w:p>
        </w:tc>
        <w:tc>
          <w:tcPr>
            <w:tcW w:w="2521" w:type="dxa"/>
          </w:tcPr>
          <w:p w14:paraId="7835B19B">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3EEB7A8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3867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3FADA63">
            <w:pPr>
              <w:jc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sz w:val="24"/>
                <w:highlight w:val="none"/>
              </w:rPr>
              <w:t>30</w:t>
            </w:r>
          </w:p>
        </w:tc>
        <w:tc>
          <w:tcPr>
            <w:tcW w:w="1779" w:type="dxa"/>
            <w:vAlign w:val="center"/>
          </w:tcPr>
          <w:p w14:paraId="0998DA04">
            <w:pPr>
              <w:widowControl/>
              <w:jc w:val="center"/>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投诉根因配置</w:t>
            </w:r>
          </w:p>
        </w:tc>
        <w:tc>
          <w:tcPr>
            <w:tcW w:w="3500" w:type="dxa"/>
            <w:vAlign w:val="center"/>
          </w:tcPr>
          <w:p w14:paraId="47F07AF5">
            <w:pPr>
              <w:widowControl/>
              <w:textAlignment w:val="center"/>
              <w:rPr>
                <w:rFonts w:hint="eastAsia" w:asciiTheme="minorEastAsia" w:hAnsiTheme="minorEastAsia" w:eastAsiaTheme="minorEastAsia" w:cstheme="minorEastAsia"/>
                <w:color w:val="auto"/>
                <w:kern w:val="0"/>
                <w:sz w:val="24"/>
                <w:highlight w:val="none"/>
              </w:rPr>
            </w:pPr>
            <w:r>
              <w:rPr>
                <w:rFonts w:hint="eastAsia" w:ascii="宋体" w:hAnsi="宋体" w:cs="宋体"/>
                <w:color w:val="auto"/>
                <w:kern w:val="0"/>
                <w:sz w:val="24"/>
                <w:highlight w:val="none"/>
                <w:lang w:bidi="ar"/>
              </w:rPr>
              <w:t>★支持对投诉根因分类，支持对投诉根因的管理（需提供系统截图）。</w:t>
            </w:r>
          </w:p>
        </w:tc>
        <w:tc>
          <w:tcPr>
            <w:tcW w:w="2521" w:type="dxa"/>
          </w:tcPr>
          <w:p w14:paraId="6FA9E8FC">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c>
          <w:tcPr>
            <w:tcW w:w="1336" w:type="dxa"/>
          </w:tcPr>
          <w:p w14:paraId="645BFF89">
            <w:pPr>
              <w:pStyle w:val="26"/>
              <w:spacing w:line="460" w:lineRule="exact"/>
              <w:ind w:firstLine="0" w:firstLineChars="0"/>
              <w:rPr>
                <w:rFonts w:hint="eastAsia" w:asciiTheme="minorEastAsia" w:hAnsiTheme="minorEastAsia" w:eastAsiaTheme="minorEastAsia" w:cstheme="minorEastAsia"/>
                <w:color w:val="auto"/>
                <w:kern w:val="0"/>
                <w:sz w:val="24"/>
                <w:szCs w:val="24"/>
                <w:highlight w:val="none"/>
              </w:rPr>
            </w:pPr>
          </w:p>
        </w:tc>
      </w:tr>
      <w:tr w14:paraId="4AD0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6" w:type="dxa"/>
            <w:gridSpan w:val="5"/>
            <w:vAlign w:val="center"/>
          </w:tcPr>
          <w:p w14:paraId="64311A72">
            <w:pPr>
              <w:pStyle w:val="3"/>
              <w:spacing w:line="440" w:lineRule="exact"/>
              <w:jc w:val="left"/>
              <w:rPr>
                <w:rFonts w:hint="eastAsia" w:asciiTheme="minorEastAsia" w:hAnsiTheme="minorEastAsia" w:eastAsiaTheme="minorEastAsia" w:cstheme="minorEastAsia"/>
                <w:color w:val="auto"/>
                <w:kern w:val="0"/>
                <w:sz w:val="24"/>
                <w:szCs w:val="24"/>
                <w:highlight w:val="none"/>
              </w:rPr>
            </w:pPr>
            <w:r>
              <w:rPr>
                <w:rFonts w:hint="eastAsia" w:ascii="宋体" w:hAnsi="宋体" w:cs="宋体"/>
                <w:b w:val="0"/>
                <w:bCs w:val="0"/>
                <w:color w:val="auto"/>
                <w:sz w:val="24"/>
                <w:szCs w:val="24"/>
                <w:highlight w:val="none"/>
              </w:rPr>
              <w:t>注：</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请认真评估本项目所有技术要求表</w:t>
            </w:r>
            <w:r>
              <w:rPr>
                <w:rFonts w:hint="eastAsia" w:ascii="宋体" w:hAnsi="宋体" w:cs="宋体"/>
                <w:color w:val="auto"/>
                <w:sz w:val="24"/>
                <w:highlight w:val="none"/>
                <w:lang w:eastAsia="zh-CN"/>
              </w:rPr>
              <w:t>，</w:t>
            </w:r>
            <w:r>
              <w:rPr>
                <w:rFonts w:hint="eastAsia" w:ascii="宋体" w:hAnsi="宋体" w:cs="宋体"/>
                <w:color w:val="auto"/>
                <w:sz w:val="24"/>
                <w:highlight w:val="none"/>
              </w:rPr>
              <w:t>“★”均要求供应商提供截图证明等文件，否则被视为不响应</w:t>
            </w:r>
            <w:r>
              <w:rPr>
                <w:rFonts w:hint="eastAsia" w:ascii="宋体" w:hAnsi="宋体" w:cs="宋体"/>
                <w:color w:val="auto"/>
                <w:sz w:val="24"/>
                <w:highlight w:val="none"/>
                <w:lang w:eastAsia="zh-CN"/>
              </w:rPr>
              <w:t>。</w:t>
            </w:r>
            <w:r>
              <w:rPr>
                <w:rFonts w:hint="eastAsia" w:ascii="宋体" w:hAnsi="宋体" w:cs="宋体"/>
                <w:color w:val="auto"/>
                <w:sz w:val="24"/>
                <w:highlight w:val="none"/>
              </w:rPr>
              <w:t>“▲”均为实际响应要求，需按要求响应</w:t>
            </w:r>
            <w:r>
              <w:rPr>
                <w:rFonts w:hint="eastAsia" w:ascii="宋体" w:hAnsi="宋体" w:cs="宋体"/>
                <w:color w:val="auto"/>
                <w:sz w:val="24"/>
                <w:highlight w:val="none"/>
                <w:lang w:val="en-US" w:eastAsia="zh-CN"/>
              </w:rPr>
              <w:t>并</w:t>
            </w:r>
            <w:r>
              <w:rPr>
                <w:rFonts w:hint="eastAsia" w:ascii="宋体" w:hAnsi="宋体" w:cs="宋体"/>
                <w:color w:val="auto"/>
                <w:sz w:val="24"/>
                <w:highlight w:val="none"/>
              </w:rPr>
              <w:t>提供截图证明等文件，若有任意一项偏离，</w:t>
            </w:r>
            <w:r>
              <w:rPr>
                <w:rFonts w:hint="eastAsia" w:ascii="宋体" w:hAnsi="宋体" w:cs="宋体"/>
                <w:color w:val="auto"/>
                <w:sz w:val="24"/>
                <w:highlight w:val="none"/>
                <w:lang w:val="en-US" w:eastAsia="zh-CN"/>
              </w:rPr>
              <w:t>报价文件按无效处理。</w:t>
            </w:r>
          </w:p>
        </w:tc>
      </w:tr>
    </w:tbl>
    <w:p w14:paraId="37CB054D">
      <w:pPr>
        <w:spacing w:line="440" w:lineRule="exact"/>
        <w:rPr>
          <w:rFonts w:hint="eastAsia" w:asciiTheme="minorEastAsia" w:hAnsiTheme="minorEastAsia" w:eastAsiaTheme="minorEastAsia" w:cstheme="minorEastAsia"/>
          <w:color w:val="auto"/>
          <w:kern w:val="0"/>
          <w:sz w:val="24"/>
          <w:highlight w:val="none"/>
        </w:rPr>
      </w:pPr>
    </w:p>
    <w:p w14:paraId="3E63C496">
      <w:pPr>
        <w:rPr>
          <w:rFonts w:hint="eastAsia" w:ascii="宋体" w:hAnsi="宋体" w:eastAsia="宋体" w:cs="宋体"/>
          <w:b/>
          <w:color w:val="auto"/>
          <w:kern w:val="0"/>
          <w:sz w:val="30"/>
          <w:szCs w:val="30"/>
          <w:highlight w:val="none"/>
          <w:lang w:val="en-US" w:eastAsia="zh-CN" w:bidi="ar-SA"/>
        </w:rPr>
      </w:pPr>
      <w:r>
        <w:rPr>
          <w:rFonts w:hint="eastAsia" w:ascii="宋体" w:hAnsi="宋体" w:eastAsia="宋体" w:cs="宋体"/>
          <w:b/>
          <w:color w:val="auto"/>
          <w:kern w:val="0"/>
          <w:sz w:val="30"/>
          <w:szCs w:val="30"/>
          <w:highlight w:val="none"/>
          <w:lang w:val="en-US" w:eastAsia="zh-CN" w:bidi="ar-SA"/>
        </w:rPr>
        <w:br w:type="page"/>
      </w:r>
    </w:p>
    <w:p w14:paraId="3C12933B">
      <w:pPr>
        <w:pStyle w:val="8"/>
        <w:numPr>
          <w:ilvl w:val="0"/>
          <w:numId w:val="3"/>
        </w:numPr>
        <w:spacing w:line="440" w:lineRule="exact"/>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rPr>
        <w:t>桂林市人民医院投诉纠纷管理系统项目</w:t>
      </w:r>
      <w:r>
        <w:rPr>
          <w:rFonts w:hint="eastAsia" w:asciiTheme="minorEastAsia" w:hAnsiTheme="minorEastAsia" w:eastAsia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需求响</w:t>
      </w:r>
      <w:r>
        <w:rPr>
          <w:rFonts w:hint="eastAsia" w:asciiTheme="minorEastAsia" w:hAnsiTheme="minorEastAsia" w:eastAsiaTheme="minorEastAsia" w:cstheme="minorEastAsia"/>
          <w:b/>
          <w:bCs/>
          <w:color w:val="auto"/>
          <w:sz w:val="30"/>
          <w:szCs w:val="30"/>
          <w:highlight w:val="none"/>
          <w:lang w:val="en-US" w:eastAsia="zh-CN"/>
        </w:rPr>
        <w:t>应</w:t>
      </w:r>
      <w:r>
        <w:rPr>
          <w:rFonts w:hint="eastAsia" w:asciiTheme="minorEastAsia" w:hAnsiTheme="minorEastAsia" w:eastAsiaTheme="minorEastAsia" w:cstheme="minorEastAsia"/>
          <w:b/>
          <w:bCs/>
          <w:color w:val="auto"/>
          <w:sz w:val="30"/>
          <w:szCs w:val="30"/>
          <w:highlight w:val="none"/>
        </w:rPr>
        <w:t>表</w:t>
      </w:r>
    </w:p>
    <w:tbl>
      <w:tblPr>
        <w:tblStyle w:val="15"/>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4831"/>
        <w:gridCol w:w="1890"/>
        <w:gridCol w:w="121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blHeader/>
          <w:jc w:val="center"/>
        </w:trPr>
        <w:tc>
          <w:tcPr>
            <w:tcW w:w="2041" w:type="dxa"/>
            <w:shd w:val="clear" w:color="auto" w:fill="auto"/>
            <w:vAlign w:val="center"/>
          </w:tcPr>
          <w:p w14:paraId="0B43A84C">
            <w:pPr>
              <w:snapToGrid w:val="0"/>
              <w:spacing w:line="336" w:lineRule="exact"/>
              <w:jc w:val="center"/>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w:t>
            </w:r>
          </w:p>
        </w:tc>
        <w:tc>
          <w:tcPr>
            <w:tcW w:w="4831" w:type="dxa"/>
            <w:shd w:val="clear" w:color="auto" w:fill="auto"/>
            <w:vAlign w:val="center"/>
          </w:tcPr>
          <w:p w14:paraId="7072CAE0">
            <w:pPr>
              <w:snapToGrid w:val="0"/>
              <w:spacing w:line="336" w:lineRule="exact"/>
              <w:jc w:val="center"/>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服务要求内容</w:t>
            </w:r>
          </w:p>
        </w:tc>
        <w:tc>
          <w:tcPr>
            <w:tcW w:w="1890" w:type="dxa"/>
            <w:shd w:val="clear" w:color="auto" w:fill="auto"/>
            <w:vAlign w:val="center"/>
          </w:tcPr>
          <w:p w14:paraId="17C85504">
            <w:pPr>
              <w:snapToGrid w:val="0"/>
              <w:spacing w:line="336" w:lineRule="exact"/>
              <w:jc w:val="center"/>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响应内容</w:t>
            </w:r>
          </w:p>
        </w:tc>
        <w:tc>
          <w:tcPr>
            <w:tcW w:w="1215" w:type="dxa"/>
            <w:shd w:val="clear" w:color="auto" w:fill="auto"/>
            <w:vAlign w:val="center"/>
          </w:tcPr>
          <w:p w14:paraId="55C4B985">
            <w:pPr>
              <w:snapToGrid w:val="0"/>
              <w:spacing w:line="336" w:lineRule="exact"/>
              <w:jc w:val="center"/>
              <w:rPr>
                <w:rFonts w:hint="default"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2041" w:type="dxa"/>
            <w:shd w:val="clear" w:color="auto" w:fill="auto"/>
            <w:vAlign w:val="center"/>
          </w:tcPr>
          <w:p w14:paraId="6257D0BE">
            <w:pPr>
              <w:snapToGrid w:val="0"/>
              <w:spacing w:line="336" w:lineRule="exact"/>
              <w:rPr>
                <w:rFonts w:hint="eastAsia" w:ascii="宋体" w:hAnsi="宋体" w:eastAsia="宋体" w:cs="宋体"/>
                <w:b w:val="0"/>
                <w:bCs/>
                <w:color w:val="auto"/>
                <w:kern w:val="2"/>
                <w:sz w:val="24"/>
                <w:szCs w:val="24"/>
                <w:lang w:val="en-US" w:eastAsia="zh-CN" w:bidi="ar-SA"/>
              </w:rPr>
            </w:pPr>
            <w:r>
              <w:rPr>
                <w:rFonts w:hint="eastAsia" w:ascii="宋体" w:hAnsi="宋体" w:eastAsia="宋体" w:cs="宋体"/>
                <w:b w:val="0"/>
                <w:bCs/>
                <w:color w:val="auto"/>
                <w:sz w:val="24"/>
                <w:szCs w:val="24"/>
                <w:lang w:val="en-US" w:eastAsia="zh-CN"/>
              </w:rPr>
              <w:t>（一）供应商资质</w:t>
            </w:r>
          </w:p>
        </w:tc>
        <w:tc>
          <w:tcPr>
            <w:tcW w:w="4831" w:type="dxa"/>
            <w:shd w:val="clear" w:color="auto" w:fill="auto"/>
            <w:vAlign w:val="center"/>
          </w:tcPr>
          <w:p w14:paraId="7EC5F1D6">
            <w:pPr>
              <w:snapToGrid w:val="0"/>
              <w:spacing w:line="336" w:lineRule="exact"/>
              <w:rPr>
                <w:rFonts w:hint="eastAsia" w:ascii="宋体" w:hAnsi="宋体" w:eastAsia="宋体" w:cs="宋体"/>
                <w:b w:val="0"/>
                <w:bCs/>
                <w:color w:val="auto"/>
                <w:kern w:val="2"/>
                <w:sz w:val="24"/>
                <w:szCs w:val="24"/>
                <w:lang w:val="en-US" w:eastAsia="zh-CN" w:bidi="ar-SA"/>
              </w:rPr>
            </w:pPr>
            <w:r>
              <w:rPr>
                <w:rFonts w:hint="eastAsia" w:ascii="宋体" w:hAnsi="宋体" w:cs="宋体"/>
                <w:color w:val="auto"/>
                <w:sz w:val="24"/>
                <w:highlight w:val="none"/>
              </w:rPr>
              <w:t>国内注册【依法在市场监督管理部门（或行政审批部门）登记注册】的，具备合法资格的供应商。</w:t>
            </w:r>
          </w:p>
        </w:tc>
        <w:tc>
          <w:tcPr>
            <w:tcW w:w="1890" w:type="dxa"/>
            <w:shd w:val="clear" w:color="auto" w:fill="auto"/>
            <w:vAlign w:val="center"/>
          </w:tcPr>
          <w:p w14:paraId="094EBE82">
            <w:pPr>
              <w:snapToGrid w:val="0"/>
              <w:spacing w:line="336" w:lineRule="exact"/>
              <w:rPr>
                <w:rFonts w:hint="eastAsia" w:ascii="宋体" w:hAnsi="宋体" w:eastAsia="宋体" w:cs="宋体"/>
                <w:color w:val="auto"/>
                <w:sz w:val="24"/>
                <w:szCs w:val="24"/>
              </w:rPr>
            </w:pPr>
          </w:p>
        </w:tc>
        <w:tc>
          <w:tcPr>
            <w:tcW w:w="1215" w:type="dxa"/>
            <w:shd w:val="clear" w:color="auto" w:fill="auto"/>
            <w:vAlign w:val="center"/>
          </w:tcPr>
          <w:p w14:paraId="7DD0F913">
            <w:pPr>
              <w:snapToGrid w:val="0"/>
              <w:spacing w:line="336" w:lineRule="exact"/>
              <w:rPr>
                <w:rFonts w:hint="eastAsia" w:ascii="宋体" w:hAnsi="宋体" w:eastAsia="宋体" w:cs="宋体"/>
                <w:color w:val="auto"/>
                <w:sz w:val="24"/>
                <w:szCs w:val="24"/>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5" w:hRule="atLeast"/>
          <w:jc w:val="center"/>
        </w:trPr>
        <w:tc>
          <w:tcPr>
            <w:tcW w:w="2041" w:type="dxa"/>
            <w:shd w:val="clear" w:color="auto" w:fill="auto"/>
            <w:vAlign w:val="center"/>
          </w:tcPr>
          <w:p w14:paraId="1F19557F">
            <w:pPr>
              <w:snapToGrid w:val="0"/>
              <w:spacing w:line="336" w:lineRule="exact"/>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（二）</w:t>
            </w:r>
            <w:r>
              <w:rPr>
                <w:rFonts w:hint="eastAsia" w:ascii="宋体" w:hAnsi="宋体" w:eastAsia="宋体" w:cs="宋体"/>
                <w:sz w:val="24"/>
                <w:szCs w:val="24"/>
                <w:lang w:val="zh-CN"/>
              </w:rPr>
              <w:t>提供免费技术培训</w:t>
            </w:r>
          </w:p>
          <w:p w14:paraId="2040EF59">
            <w:pPr>
              <w:jc w:val="center"/>
              <w:rPr>
                <w:rFonts w:hint="eastAsia" w:ascii="宋体" w:hAnsi="宋体" w:eastAsia="宋体" w:cs="宋体"/>
                <w:b w:val="0"/>
                <w:bCs/>
                <w:color w:val="000000"/>
                <w:kern w:val="2"/>
                <w:sz w:val="24"/>
                <w:szCs w:val="24"/>
                <w:lang w:val="en-US" w:eastAsia="zh-CN" w:bidi="ar-SA"/>
              </w:rPr>
            </w:pPr>
          </w:p>
        </w:tc>
        <w:tc>
          <w:tcPr>
            <w:tcW w:w="4831" w:type="dxa"/>
            <w:shd w:val="clear" w:color="auto" w:fill="auto"/>
            <w:vAlign w:val="center"/>
          </w:tcPr>
          <w:p w14:paraId="04D85299">
            <w:pPr>
              <w:snapToGrid w:val="0"/>
              <w:spacing w:line="336" w:lineRule="exact"/>
              <w:rPr>
                <w:rFonts w:hint="eastAsia" w:ascii="宋体" w:hAnsi="宋体" w:eastAsia="宋体" w:cs="宋体"/>
                <w:b w:val="0"/>
                <w:bCs/>
                <w:kern w:val="0"/>
                <w:sz w:val="24"/>
                <w:szCs w:val="24"/>
                <w:lang w:val="en-US" w:eastAsia="zh-CN" w:bidi="ar-SA"/>
              </w:rPr>
            </w:pPr>
            <w:r>
              <w:rPr>
                <w:rFonts w:hint="eastAsia" w:ascii="宋体" w:hAnsi="宋体" w:cs="宋体"/>
                <w:color w:val="auto"/>
                <w:sz w:val="24"/>
                <w:highlight w:val="none"/>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c>
          <w:tcPr>
            <w:tcW w:w="1890" w:type="dxa"/>
            <w:shd w:val="clear" w:color="auto" w:fill="auto"/>
            <w:vAlign w:val="center"/>
          </w:tcPr>
          <w:p w14:paraId="18246BF9">
            <w:pPr>
              <w:snapToGrid w:val="0"/>
              <w:spacing w:line="336" w:lineRule="exact"/>
              <w:rPr>
                <w:rFonts w:hint="eastAsia" w:ascii="宋体" w:hAnsi="宋体" w:eastAsia="宋体" w:cs="宋体"/>
                <w:sz w:val="24"/>
                <w:szCs w:val="24"/>
              </w:rPr>
            </w:pPr>
          </w:p>
        </w:tc>
        <w:tc>
          <w:tcPr>
            <w:tcW w:w="1215" w:type="dxa"/>
            <w:shd w:val="clear" w:color="auto" w:fill="auto"/>
            <w:vAlign w:val="center"/>
          </w:tcPr>
          <w:p w14:paraId="39C6B8EF">
            <w:pPr>
              <w:snapToGrid w:val="0"/>
              <w:spacing w:line="336" w:lineRule="exact"/>
              <w:rPr>
                <w:rFonts w:hint="eastAsia" w:ascii="宋体" w:hAnsi="宋体" w:eastAsia="宋体" w:cs="宋体"/>
                <w:sz w:val="24"/>
                <w:szCs w:val="24"/>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41" w:type="dxa"/>
            <w:shd w:val="clear" w:color="auto" w:fill="auto"/>
            <w:vAlign w:val="center"/>
          </w:tcPr>
          <w:p w14:paraId="52D9778A">
            <w:pPr>
              <w:snapToGrid w:val="0"/>
              <w:spacing w:line="336" w:lineRule="exact"/>
              <w:rPr>
                <w:rFonts w:hint="eastAsia" w:ascii="宋体" w:hAnsi="宋体" w:eastAsia="宋体" w:cs="宋体"/>
                <w:b w:val="0"/>
                <w:bCs/>
                <w:color w:val="000000"/>
                <w:sz w:val="24"/>
                <w:szCs w:val="24"/>
              </w:rPr>
            </w:pPr>
            <w:r>
              <w:rPr>
                <w:rFonts w:hint="eastAsia" w:ascii="宋体" w:hAnsi="宋体" w:eastAsia="宋体" w:cs="宋体"/>
                <w:sz w:val="24"/>
                <w:szCs w:val="24"/>
                <w:lang w:val="zh-CN"/>
              </w:rPr>
              <w:t>（</w:t>
            </w:r>
            <w:r>
              <w:rPr>
                <w:rFonts w:hint="eastAsia" w:ascii="宋体" w:hAnsi="宋体" w:eastAsia="宋体" w:cs="宋体"/>
                <w:sz w:val="24"/>
                <w:szCs w:val="24"/>
                <w:lang w:val="en-US" w:eastAsia="zh-CN"/>
              </w:rPr>
              <w:t>三</w:t>
            </w:r>
            <w:r>
              <w:rPr>
                <w:rFonts w:hint="eastAsia" w:ascii="宋体" w:hAnsi="宋体" w:eastAsia="宋体" w:cs="宋体"/>
                <w:sz w:val="24"/>
                <w:szCs w:val="24"/>
                <w:lang w:val="zh-CN"/>
              </w:rPr>
              <w:t>）</w:t>
            </w:r>
            <w:r>
              <w:rPr>
                <w:rFonts w:hint="eastAsia" w:ascii="宋体" w:hAnsi="宋体" w:eastAsia="宋体" w:cs="宋体"/>
                <w:sz w:val="24"/>
                <w:szCs w:val="24"/>
              </w:rPr>
              <w:t>交付地点</w:t>
            </w:r>
          </w:p>
        </w:tc>
        <w:tc>
          <w:tcPr>
            <w:tcW w:w="4831" w:type="dxa"/>
            <w:shd w:val="clear" w:color="auto" w:fill="auto"/>
            <w:vAlign w:val="center"/>
          </w:tcPr>
          <w:p w14:paraId="0675C2CF">
            <w:pPr>
              <w:snapToGrid w:val="0"/>
              <w:spacing w:line="336" w:lineRule="exact"/>
              <w:rPr>
                <w:rFonts w:hint="eastAsia" w:ascii="宋体" w:hAnsi="宋体" w:cs="宋体"/>
                <w:color w:val="auto"/>
                <w:sz w:val="24"/>
                <w:highlight w:val="none"/>
              </w:rPr>
            </w:pPr>
            <w:r>
              <w:rPr>
                <w:rFonts w:hint="eastAsia" w:ascii="宋体" w:hAnsi="宋体" w:cs="宋体"/>
                <w:color w:val="auto"/>
                <w:sz w:val="24"/>
                <w:highlight w:val="none"/>
              </w:rPr>
              <w:t>1.交付期：自签订合同之日起90日历日内验收合格并交付采购人使用。</w:t>
            </w:r>
          </w:p>
          <w:p w14:paraId="5F34AF83">
            <w:pPr>
              <w:widowControl/>
              <w:jc w:val="left"/>
              <w:rPr>
                <w:rFonts w:hint="eastAsia" w:ascii="宋体" w:hAnsi="宋体" w:eastAsia="宋体" w:cs="宋体"/>
                <w:b w:val="0"/>
                <w:bCs/>
                <w:kern w:val="0"/>
                <w:sz w:val="24"/>
                <w:szCs w:val="24"/>
              </w:rPr>
            </w:pPr>
            <w:r>
              <w:rPr>
                <w:rFonts w:hint="eastAsia" w:ascii="宋体" w:hAnsi="宋体" w:cs="宋体"/>
                <w:color w:val="auto"/>
                <w:sz w:val="24"/>
                <w:highlight w:val="none"/>
              </w:rPr>
              <w:t>2.招标人指定地点。</w:t>
            </w:r>
          </w:p>
        </w:tc>
        <w:tc>
          <w:tcPr>
            <w:tcW w:w="1890" w:type="dxa"/>
            <w:shd w:val="clear" w:color="auto" w:fill="auto"/>
            <w:vAlign w:val="center"/>
          </w:tcPr>
          <w:p w14:paraId="27F5E54E">
            <w:pPr>
              <w:widowControl/>
              <w:jc w:val="left"/>
              <w:rPr>
                <w:rFonts w:hint="eastAsia" w:ascii="宋体" w:hAnsi="宋体" w:eastAsia="宋体" w:cs="宋体"/>
                <w:sz w:val="24"/>
                <w:szCs w:val="24"/>
              </w:rPr>
            </w:pPr>
          </w:p>
        </w:tc>
        <w:tc>
          <w:tcPr>
            <w:tcW w:w="1215" w:type="dxa"/>
            <w:shd w:val="clear" w:color="auto" w:fill="auto"/>
            <w:vAlign w:val="center"/>
          </w:tcPr>
          <w:p w14:paraId="7421A596">
            <w:pPr>
              <w:widowControl/>
              <w:jc w:val="left"/>
              <w:rPr>
                <w:rFonts w:hint="eastAsia" w:ascii="宋体" w:hAnsi="宋体" w:eastAsia="宋体" w:cs="宋体"/>
                <w:sz w:val="24"/>
                <w:szCs w:val="24"/>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3" w:hRule="atLeast"/>
          <w:jc w:val="center"/>
        </w:trPr>
        <w:tc>
          <w:tcPr>
            <w:tcW w:w="2041" w:type="dxa"/>
            <w:shd w:val="clear" w:color="auto" w:fill="auto"/>
            <w:vAlign w:val="center"/>
          </w:tcPr>
          <w:p w14:paraId="42A241FC">
            <w:pPr>
              <w:jc w:val="both"/>
              <w:rPr>
                <w:rFonts w:hint="eastAsia" w:ascii="宋体" w:hAnsi="宋体" w:eastAsia="宋体" w:cs="宋体"/>
                <w:b w:val="0"/>
                <w:bCs/>
                <w:color w:val="000000"/>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四</w:t>
            </w:r>
            <w:r>
              <w:rPr>
                <w:rFonts w:hint="eastAsia" w:ascii="宋体" w:hAnsi="宋体" w:eastAsia="宋体" w:cs="宋体"/>
                <w:sz w:val="24"/>
                <w:szCs w:val="24"/>
              </w:rPr>
              <w:t>）付款方式</w:t>
            </w:r>
          </w:p>
        </w:tc>
        <w:tc>
          <w:tcPr>
            <w:tcW w:w="4831" w:type="dxa"/>
            <w:shd w:val="clear" w:color="auto" w:fill="auto"/>
            <w:vAlign w:val="center"/>
          </w:tcPr>
          <w:p w14:paraId="57B8DCF9">
            <w:pPr>
              <w:spacing w:line="360" w:lineRule="exact"/>
              <w:ind w:right="-55" w:rightChars="-26"/>
              <w:rPr>
                <w:rFonts w:hint="eastAsia" w:ascii="宋体" w:hAnsi="宋体" w:cs="宋体"/>
                <w:bCs/>
                <w:sz w:val="24"/>
              </w:rPr>
            </w:pPr>
            <w:r>
              <w:rPr>
                <w:rFonts w:hint="eastAsia" w:ascii="宋体" w:hAnsi="宋体" w:cs="宋体"/>
                <w:bCs/>
                <w:sz w:val="24"/>
              </w:rPr>
              <w:t>1.</w:t>
            </w:r>
            <w:r>
              <w:rPr>
                <w:rFonts w:hint="eastAsia" w:ascii="宋体" w:hAnsi="宋体"/>
                <w:sz w:val="24"/>
              </w:rPr>
              <w:t>付款方式：合同签订之后，乙方将尽快安排入场安装，在软件上线并验收合格后，乙方开具对应金额的有效发票，甲方在收到发票，</w:t>
            </w:r>
            <w:r>
              <w:rPr>
                <w:rFonts w:hint="eastAsia" w:ascii="宋体" w:hAnsi="宋体"/>
                <w:sz w:val="24"/>
                <w:lang w:val="en-US" w:eastAsia="zh-CN"/>
              </w:rPr>
              <w:t>60</w:t>
            </w:r>
            <w:r>
              <w:rPr>
                <w:rFonts w:hint="eastAsia" w:ascii="宋体" w:hAnsi="宋体"/>
                <w:sz w:val="24"/>
              </w:rPr>
              <w:t>个工作</w:t>
            </w:r>
            <w:r>
              <w:rPr>
                <w:rFonts w:hint="eastAsia" w:ascii="宋体" w:hAnsi="宋体"/>
                <w:sz w:val="24"/>
                <w:lang w:val="en-US" w:eastAsia="zh-CN"/>
              </w:rPr>
              <w:t>后</w:t>
            </w:r>
            <w:r>
              <w:rPr>
                <w:rFonts w:hint="eastAsia" w:ascii="宋体" w:hAnsi="宋体"/>
                <w:sz w:val="24"/>
              </w:rPr>
              <w:t>将终验款（合同金额9</w:t>
            </w:r>
            <w:r>
              <w:rPr>
                <w:rFonts w:hint="eastAsia" w:ascii="宋体" w:hAnsi="宋体"/>
                <w:sz w:val="24"/>
                <w:lang w:val="en-US" w:eastAsia="zh-CN"/>
              </w:rPr>
              <w:t>5</w:t>
            </w:r>
            <w:r>
              <w:rPr>
                <w:rFonts w:ascii="宋体" w:hAnsi="宋体"/>
                <w:sz w:val="24"/>
              </w:rPr>
              <w:t>%</w:t>
            </w:r>
            <w:r>
              <w:rPr>
                <w:rFonts w:hint="eastAsia" w:ascii="宋体" w:hAnsi="宋体"/>
                <w:sz w:val="24"/>
              </w:rPr>
              <w:t>），一次性支付给乙方；合同总额中包含不少于</w:t>
            </w:r>
            <w:r>
              <w:rPr>
                <w:rFonts w:ascii="宋体" w:hAnsi="宋体"/>
                <w:sz w:val="24"/>
                <w:u w:val="single"/>
              </w:rPr>
              <w:t xml:space="preserve"> </w:t>
            </w:r>
            <w:r>
              <w:rPr>
                <w:rFonts w:hint="eastAsia" w:ascii="宋体" w:hAnsi="宋体"/>
                <w:sz w:val="24"/>
                <w:u w:val="single"/>
              </w:rPr>
              <w:t>1</w:t>
            </w:r>
            <w:r>
              <w:rPr>
                <w:rFonts w:ascii="宋体" w:hAnsi="宋体"/>
                <w:sz w:val="24"/>
                <w:u w:val="single"/>
              </w:rPr>
              <w:t xml:space="preserve"> </w:t>
            </w:r>
            <w:r>
              <w:rPr>
                <w:rFonts w:hint="eastAsia" w:ascii="宋体" w:hAnsi="宋体"/>
                <w:sz w:val="24"/>
              </w:rPr>
              <w:t>年的维保，维保到期后乙方提出履约保证金付款申请，甲方收到申请</w:t>
            </w:r>
            <w:r>
              <w:rPr>
                <w:rFonts w:hint="eastAsia" w:ascii="宋体" w:hAnsi="宋体"/>
                <w:sz w:val="24"/>
                <w:lang w:val="en-US" w:eastAsia="zh-CN"/>
              </w:rPr>
              <w:t>30</w:t>
            </w:r>
            <w:r>
              <w:rPr>
                <w:rFonts w:hint="eastAsia" w:ascii="宋体" w:hAnsi="宋体"/>
                <w:sz w:val="24"/>
              </w:rPr>
              <w:t>个工作日</w:t>
            </w:r>
            <w:r>
              <w:rPr>
                <w:rFonts w:hint="eastAsia" w:ascii="宋体" w:hAnsi="宋体"/>
                <w:sz w:val="24"/>
                <w:lang w:val="en-US" w:eastAsia="zh-CN"/>
              </w:rPr>
              <w:t>后</w:t>
            </w:r>
            <w:r>
              <w:rPr>
                <w:rFonts w:hint="eastAsia" w:ascii="宋体" w:hAnsi="宋体"/>
                <w:sz w:val="24"/>
              </w:rPr>
              <w:t>将履约保证金（合同金额</w:t>
            </w:r>
            <w:r>
              <w:rPr>
                <w:rFonts w:hint="eastAsia" w:ascii="宋体" w:hAnsi="宋体"/>
                <w:sz w:val="24"/>
                <w:lang w:val="en-US" w:eastAsia="zh-CN"/>
              </w:rPr>
              <w:t>5</w:t>
            </w:r>
            <w:r>
              <w:rPr>
                <w:rFonts w:ascii="宋体" w:hAnsi="宋体"/>
                <w:sz w:val="24"/>
              </w:rPr>
              <w:t>%</w:t>
            </w:r>
            <w:r>
              <w:rPr>
                <w:rFonts w:hint="eastAsia" w:ascii="宋体" w:hAnsi="宋体"/>
                <w:sz w:val="24"/>
              </w:rPr>
              <w:t>）一次性支付给乙方。合同维保到期以后每年的维保费用不超过合同总额的</w:t>
            </w:r>
            <w:r>
              <w:rPr>
                <w:rFonts w:ascii="宋体" w:hAnsi="宋体"/>
                <w:sz w:val="24"/>
                <w:u w:val="single"/>
              </w:rPr>
              <w:t xml:space="preserve"> </w:t>
            </w:r>
            <w:r>
              <w:rPr>
                <w:rFonts w:hint="eastAsia" w:ascii="宋体" w:hAnsi="宋体"/>
                <w:sz w:val="24"/>
                <w:u w:val="single"/>
              </w:rPr>
              <w:t>8</w:t>
            </w:r>
            <w:r>
              <w:rPr>
                <w:rFonts w:ascii="宋体" w:hAnsi="宋体"/>
                <w:sz w:val="24"/>
                <w:u w:val="single"/>
              </w:rPr>
              <w:t xml:space="preserve"> </w:t>
            </w:r>
            <w:r>
              <w:rPr>
                <w:rFonts w:ascii="宋体" w:hAnsi="宋体"/>
                <w:sz w:val="24"/>
              </w:rPr>
              <w:t>%</w:t>
            </w:r>
            <w:r>
              <w:rPr>
                <w:rFonts w:hint="eastAsia" w:ascii="宋体" w:hAnsi="宋体"/>
                <w:sz w:val="24"/>
              </w:rPr>
              <w:t>，维保协议双方另行签订。</w:t>
            </w:r>
          </w:p>
          <w:p w14:paraId="2F2BF3A0">
            <w:pPr>
              <w:snapToGrid w:val="0"/>
              <w:spacing w:line="336" w:lineRule="exact"/>
              <w:rPr>
                <w:rFonts w:hint="eastAsia" w:ascii="宋体" w:hAnsi="宋体" w:eastAsia="宋体" w:cs="宋体"/>
                <w:b w:val="0"/>
                <w:bCs/>
                <w:kern w:val="0"/>
                <w:sz w:val="24"/>
                <w:szCs w:val="24"/>
              </w:rPr>
            </w:pPr>
            <w:r>
              <w:rPr>
                <w:rFonts w:hint="eastAsia" w:ascii="宋体" w:hAnsi="宋体" w:cs="宋体"/>
                <w:bCs/>
                <w:sz w:val="24"/>
              </w:rPr>
              <w:t>2.中标人申请款项时需同时开具正式足额发票给招标人，否则招标人可以拒绝付款。</w:t>
            </w:r>
          </w:p>
        </w:tc>
        <w:tc>
          <w:tcPr>
            <w:tcW w:w="1890" w:type="dxa"/>
            <w:shd w:val="clear" w:color="auto" w:fill="auto"/>
            <w:vAlign w:val="center"/>
          </w:tcPr>
          <w:p w14:paraId="475DA580">
            <w:pPr>
              <w:snapToGrid w:val="0"/>
              <w:spacing w:line="336" w:lineRule="exact"/>
              <w:rPr>
                <w:rFonts w:hint="eastAsia" w:ascii="宋体" w:hAnsi="宋体" w:eastAsia="宋体" w:cs="宋体"/>
                <w:bCs/>
                <w:sz w:val="24"/>
                <w:szCs w:val="24"/>
              </w:rPr>
            </w:pPr>
          </w:p>
        </w:tc>
        <w:tc>
          <w:tcPr>
            <w:tcW w:w="1215" w:type="dxa"/>
            <w:shd w:val="clear" w:color="auto" w:fill="auto"/>
            <w:vAlign w:val="center"/>
          </w:tcPr>
          <w:p w14:paraId="3AF2EEB9">
            <w:pPr>
              <w:snapToGrid w:val="0"/>
              <w:spacing w:line="336" w:lineRule="exact"/>
              <w:rPr>
                <w:rFonts w:hint="eastAsia" w:ascii="宋体" w:hAnsi="宋体" w:eastAsia="宋体" w:cs="宋体"/>
                <w:bCs/>
                <w:sz w:val="24"/>
                <w:szCs w:val="24"/>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2041" w:type="dxa"/>
            <w:shd w:val="clear" w:color="auto" w:fill="auto"/>
            <w:vAlign w:val="center"/>
          </w:tcPr>
          <w:p w14:paraId="0C103CEA">
            <w:pPr>
              <w:snapToGrid w:val="0"/>
              <w:spacing w:line="336" w:lineRule="exact"/>
              <w:rPr>
                <w:rFonts w:hint="eastAsia" w:ascii="宋体" w:hAnsi="宋体" w:eastAsia="宋体" w:cs="宋体"/>
                <w:sz w:val="24"/>
                <w:szCs w:val="24"/>
              </w:rPr>
            </w:pPr>
            <w:r>
              <w:rPr>
                <w:rFonts w:hint="eastAsia" w:ascii="宋体" w:hAnsi="宋体" w:eastAsia="宋体" w:cs="宋体"/>
                <w:sz w:val="24"/>
                <w:szCs w:val="24"/>
                <w:lang w:val="zh-CN"/>
              </w:rPr>
              <w:t>（</w:t>
            </w:r>
            <w:r>
              <w:rPr>
                <w:rFonts w:hint="eastAsia" w:ascii="宋体" w:hAnsi="宋体" w:eastAsia="宋体" w:cs="宋体"/>
                <w:sz w:val="24"/>
                <w:szCs w:val="24"/>
                <w:lang w:val="en-US" w:eastAsia="zh-CN"/>
              </w:rPr>
              <w:t>五</w:t>
            </w:r>
            <w:r>
              <w:rPr>
                <w:rFonts w:hint="eastAsia" w:ascii="宋体" w:hAnsi="宋体" w:eastAsia="宋体" w:cs="宋体"/>
                <w:sz w:val="24"/>
                <w:szCs w:val="24"/>
                <w:lang w:val="zh-CN"/>
              </w:rPr>
              <w:t>）</w:t>
            </w:r>
            <w:r>
              <w:rPr>
                <w:rFonts w:hint="eastAsia" w:ascii="宋体" w:hAnsi="宋体" w:eastAsia="宋体" w:cs="宋体"/>
                <w:sz w:val="24"/>
                <w:szCs w:val="24"/>
              </w:rPr>
              <w:t>验收标准</w:t>
            </w:r>
          </w:p>
          <w:p w14:paraId="4D4B4F57">
            <w:pPr>
              <w:jc w:val="center"/>
              <w:rPr>
                <w:rFonts w:hint="eastAsia" w:ascii="宋体" w:hAnsi="宋体" w:eastAsia="宋体" w:cs="宋体"/>
                <w:b w:val="0"/>
                <w:bCs/>
                <w:color w:val="000000"/>
                <w:sz w:val="24"/>
                <w:szCs w:val="24"/>
              </w:rPr>
            </w:pPr>
          </w:p>
        </w:tc>
        <w:tc>
          <w:tcPr>
            <w:tcW w:w="4831" w:type="dxa"/>
            <w:shd w:val="clear" w:color="auto" w:fill="auto"/>
            <w:vAlign w:val="center"/>
          </w:tcPr>
          <w:p w14:paraId="3E6F5BAD">
            <w:pPr>
              <w:adjustRightInd w:val="0"/>
              <w:snapToGrid w:val="0"/>
              <w:spacing w:line="360" w:lineRule="exact"/>
              <w:rPr>
                <w:rFonts w:hint="eastAsia" w:ascii="宋体" w:hAnsi="宋体" w:cs="宋体"/>
                <w:color w:val="auto"/>
                <w:spacing w:val="-2"/>
                <w:sz w:val="24"/>
                <w:highlight w:val="none"/>
              </w:rPr>
            </w:pPr>
            <w:r>
              <w:rPr>
                <w:rFonts w:hint="eastAsia" w:ascii="宋体" w:hAnsi="宋体" w:cs="宋体"/>
                <w:color w:val="auto"/>
                <w:spacing w:val="-2"/>
                <w:sz w:val="24"/>
                <w:highlight w:val="none"/>
              </w:rPr>
              <w:t>1.依据</w:t>
            </w:r>
            <w:r>
              <w:rPr>
                <w:rFonts w:hint="eastAsia" w:ascii="宋体" w:hAnsi="宋体" w:cs="宋体"/>
                <w:color w:val="auto"/>
                <w:spacing w:val="-2"/>
                <w:sz w:val="24"/>
                <w:highlight w:val="none"/>
                <w:lang w:val="en-US" w:eastAsia="zh-CN"/>
              </w:rPr>
              <w:t>议价</w:t>
            </w:r>
            <w:r>
              <w:rPr>
                <w:rFonts w:hint="eastAsia" w:ascii="宋体" w:hAnsi="宋体" w:cs="宋体"/>
                <w:color w:val="auto"/>
                <w:spacing w:val="-2"/>
                <w:sz w:val="24"/>
                <w:highlight w:val="none"/>
              </w:rPr>
              <w:t>文件要求的采购需求、供应商报价响应文件承诺以及国家现行相关标准、规范履行合同。</w:t>
            </w:r>
          </w:p>
          <w:p w14:paraId="41BB4D02">
            <w:pPr>
              <w:snapToGrid w:val="0"/>
              <w:spacing w:line="336" w:lineRule="exact"/>
              <w:rPr>
                <w:rFonts w:hint="eastAsia" w:ascii="宋体" w:hAnsi="宋体" w:eastAsia="宋体" w:cs="宋体"/>
                <w:b w:val="0"/>
                <w:bCs/>
                <w:kern w:val="0"/>
                <w:sz w:val="24"/>
                <w:szCs w:val="24"/>
              </w:rPr>
            </w:pPr>
            <w:r>
              <w:rPr>
                <w:rFonts w:hint="eastAsia" w:ascii="宋体" w:hAnsi="宋体" w:cs="宋体"/>
                <w:color w:val="auto"/>
                <w:spacing w:val="-2"/>
                <w:sz w:val="24"/>
                <w:highlight w:val="none"/>
              </w:rPr>
              <w:t>2.采购人依照国家相关法律法规及行业规定及</w:t>
            </w:r>
            <w:r>
              <w:rPr>
                <w:rFonts w:hint="eastAsia" w:ascii="宋体" w:hAnsi="宋体" w:cs="宋体"/>
                <w:color w:val="auto"/>
                <w:spacing w:val="-2"/>
                <w:sz w:val="24"/>
                <w:highlight w:val="none"/>
                <w:lang w:val="en-US" w:eastAsia="zh-CN"/>
              </w:rPr>
              <w:t>议</w:t>
            </w:r>
            <w:r>
              <w:rPr>
                <w:rFonts w:hint="eastAsia" w:ascii="宋体" w:hAnsi="宋体" w:cs="宋体"/>
                <w:color w:val="auto"/>
                <w:spacing w:val="-2"/>
                <w:sz w:val="24"/>
                <w:highlight w:val="none"/>
              </w:rPr>
              <w:t>价文件要求、供应商报价响应文件承诺进行验收。</w:t>
            </w:r>
          </w:p>
        </w:tc>
        <w:tc>
          <w:tcPr>
            <w:tcW w:w="1890" w:type="dxa"/>
            <w:shd w:val="clear" w:color="auto" w:fill="auto"/>
            <w:vAlign w:val="center"/>
          </w:tcPr>
          <w:p w14:paraId="6B250A4C">
            <w:pPr>
              <w:snapToGrid w:val="0"/>
              <w:spacing w:line="336" w:lineRule="exact"/>
              <w:rPr>
                <w:rFonts w:hint="eastAsia" w:ascii="宋体" w:hAnsi="宋体" w:eastAsia="宋体" w:cs="宋体"/>
                <w:spacing w:val="-2"/>
                <w:sz w:val="24"/>
                <w:szCs w:val="24"/>
              </w:rPr>
            </w:pPr>
          </w:p>
        </w:tc>
        <w:tc>
          <w:tcPr>
            <w:tcW w:w="1215" w:type="dxa"/>
            <w:shd w:val="clear" w:color="auto" w:fill="auto"/>
            <w:vAlign w:val="center"/>
          </w:tcPr>
          <w:p w14:paraId="7565F39D">
            <w:pPr>
              <w:snapToGrid w:val="0"/>
              <w:spacing w:line="336" w:lineRule="exact"/>
              <w:rPr>
                <w:rFonts w:hint="eastAsia" w:ascii="宋体" w:hAnsi="宋体" w:eastAsia="宋体" w:cs="宋体"/>
                <w:spacing w:val="-2"/>
                <w:sz w:val="24"/>
                <w:szCs w:val="24"/>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2041" w:type="dxa"/>
            <w:shd w:val="clear" w:color="auto" w:fill="auto"/>
            <w:vAlign w:val="center"/>
          </w:tcPr>
          <w:p w14:paraId="78CD264C">
            <w:p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（六）报价要求</w:t>
            </w:r>
          </w:p>
        </w:tc>
        <w:tc>
          <w:tcPr>
            <w:tcW w:w="4831" w:type="dxa"/>
            <w:shd w:val="clear" w:color="auto" w:fill="auto"/>
            <w:vAlign w:val="center"/>
          </w:tcPr>
          <w:p w14:paraId="374BE4E6">
            <w:pPr>
              <w:pStyle w:val="30"/>
              <w:rPr>
                <w:rFonts w:hint="eastAsia" w:ascii="宋体" w:hAnsi="宋体" w:eastAsia="宋体" w:cs="宋体"/>
                <w:b w:val="0"/>
                <w:bCs/>
                <w:kern w:val="0"/>
                <w:sz w:val="24"/>
                <w:szCs w:val="24"/>
              </w:rPr>
            </w:pPr>
            <w:r>
              <w:rPr>
                <w:rFonts w:hint="eastAsia" w:ascii="宋体" w:hAnsi="宋体" w:eastAsia="宋体" w:cs="宋体"/>
                <w:color w:val="auto"/>
                <w:spacing w:val="-2"/>
                <w:sz w:val="24"/>
                <w:szCs w:val="24"/>
                <w:highlight w:val="none"/>
              </w:rPr>
              <w:t>本项目采用</w:t>
            </w:r>
            <w:r>
              <w:rPr>
                <w:rFonts w:hint="eastAsia" w:ascii="宋体" w:hAnsi="宋体" w:eastAsia="宋体" w:cs="宋体"/>
                <w:color w:val="auto"/>
                <w:sz w:val="24"/>
                <w:szCs w:val="24"/>
                <w:highlight w:val="none"/>
                <w:lang w:val="en-US" w:eastAsia="zh-CN"/>
              </w:rPr>
              <w:t>一般用固定总价</w:t>
            </w:r>
            <w:r>
              <w:rPr>
                <w:rFonts w:hint="eastAsia" w:ascii="宋体" w:hAnsi="宋体" w:eastAsia="宋体" w:cs="宋体"/>
                <w:color w:val="auto"/>
                <w:spacing w:val="-2"/>
                <w:sz w:val="24"/>
                <w:szCs w:val="24"/>
                <w:highlight w:val="none"/>
              </w:rPr>
              <w:t>方式报价，</w:t>
            </w:r>
            <w:r>
              <w:rPr>
                <w:rFonts w:hint="eastAsia" w:ascii="宋体" w:hAnsi="宋体" w:eastAsia="宋体" w:cs="宋体"/>
                <w:color w:val="auto"/>
                <w:sz w:val="24"/>
                <w:szCs w:val="24"/>
                <w:highlight w:val="none"/>
              </w:rPr>
              <w:t>价格中应包含软硬件安装、调试、系统集成、试运行、测试和其他相关服务及全套技术资料、附件、辅材等正常使用所必需的组件，以及与之相关发生的所有税费的总价</w:t>
            </w:r>
            <w:r>
              <w:rPr>
                <w:rFonts w:hint="eastAsia" w:ascii="宋体" w:hAnsi="宋体" w:eastAsia="宋体" w:cs="宋体"/>
                <w:color w:val="auto"/>
                <w:spacing w:val="-2"/>
                <w:sz w:val="24"/>
                <w:szCs w:val="24"/>
                <w:highlight w:val="none"/>
              </w:rPr>
              <w:t>。在合同实施时，采购人将不予支付完成本项目必须的但成交人没有列入的费用，并认为此费用已包括在报价中。</w:t>
            </w:r>
          </w:p>
        </w:tc>
        <w:tc>
          <w:tcPr>
            <w:tcW w:w="1890" w:type="dxa"/>
            <w:shd w:val="clear" w:color="auto" w:fill="auto"/>
            <w:vAlign w:val="center"/>
          </w:tcPr>
          <w:p w14:paraId="4C440275">
            <w:pPr>
              <w:widowControl/>
              <w:jc w:val="left"/>
              <w:rPr>
                <w:rFonts w:hint="eastAsia" w:ascii="宋体" w:hAnsi="宋体" w:eastAsia="宋体" w:cs="宋体"/>
                <w:spacing w:val="-2"/>
                <w:sz w:val="24"/>
                <w:szCs w:val="24"/>
              </w:rPr>
            </w:pPr>
          </w:p>
        </w:tc>
        <w:tc>
          <w:tcPr>
            <w:tcW w:w="1215" w:type="dxa"/>
            <w:shd w:val="clear" w:color="auto" w:fill="auto"/>
            <w:vAlign w:val="center"/>
          </w:tcPr>
          <w:p w14:paraId="171B5727">
            <w:pPr>
              <w:widowControl/>
              <w:jc w:val="left"/>
              <w:rPr>
                <w:rFonts w:hint="eastAsia" w:ascii="宋体" w:hAnsi="宋体" w:eastAsia="宋体" w:cs="宋体"/>
                <w:spacing w:val="-2"/>
                <w:sz w:val="24"/>
                <w:szCs w:val="24"/>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041" w:type="dxa"/>
            <w:shd w:val="clear" w:color="auto" w:fill="auto"/>
            <w:vAlign w:val="center"/>
          </w:tcPr>
          <w:p w14:paraId="6C237397">
            <w:p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七）最高限价</w:t>
            </w:r>
          </w:p>
        </w:tc>
        <w:tc>
          <w:tcPr>
            <w:tcW w:w="4831" w:type="dxa"/>
            <w:shd w:val="clear" w:color="auto" w:fill="auto"/>
            <w:vAlign w:val="center"/>
          </w:tcPr>
          <w:p w14:paraId="43267780">
            <w:pPr>
              <w:widowControl/>
              <w:jc w:val="left"/>
              <w:rPr>
                <w:rFonts w:hint="eastAsia" w:ascii="宋体" w:hAnsi="宋体" w:eastAsia="宋体" w:cs="宋体"/>
                <w:b w:val="0"/>
                <w:bCs/>
                <w:kern w:val="0"/>
                <w:sz w:val="24"/>
                <w:szCs w:val="24"/>
              </w:rPr>
            </w:pPr>
            <w:r>
              <w:rPr>
                <w:rFonts w:hint="eastAsia" w:ascii="宋体" w:hAnsi="宋体" w:cs="宋体"/>
                <w:color w:val="auto"/>
                <w:spacing w:val="-2"/>
                <w:sz w:val="24"/>
                <w:highlight w:val="none"/>
              </w:rPr>
              <w:t>本项目预算金额为</w:t>
            </w:r>
            <w:r>
              <w:rPr>
                <w:rFonts w:hint="eastAsia" w:ascii="宋体" w:hAnsi="宋体" w:cs="宋体"/>
                <w:color w:val="auto"/>
                <w:sz w:val="24"/>
                <w:highlight w:val="none"/>
              </w:rPr>
              <w:t>人民币贰拾柒万捌仟元整（¥278000）</w:t>
            </w:r>
            <w:r>
              <w:rPr>
                <w:rFonts w:hint="eastAsia" w:ascii="宋体" w:hAnsi="宋体" w:cs="宋体"/>
                <w:color w:val="auto"/>
                <w:spacing w:val="-2"/>
                <w:sz w:val="24"/>
                <w:highlight w:val="none"/>
              </w:rPr>
              <w:t>，供应商报价超出参考预算金额的，按无效处理。</w:t>
            </w:r>
          </w:p>
        </w:tc>
        <w:tc>
          <w:tcPr>
            <w:tcW w:w="1890" w:type="dxa"/>
            <w:shd w:val="clear" w:color="auto" w:fill="auto"/>
            <w:vAlign w:val="center"/>
          </w:tcPr>
          <w:p w14:paraId="03A61622">
            <w:pPr>
              <w:widowControl/>
              <w:jc w:val="left"/>
              <w:rPr>
                <w:rFonts w:hint="eastAsia" w:ascii="宋体" w:hAnsi="宋体" w:eastAsia="宋体" w:cs="宋体"/>
                <w:spacing w:val="-2"/>
                <w:sz w:val="24"/>
                <w:szCs w:val="24"/>
              </w:rPr>
            </w:pPr>
          </w:p>
        </w:tc>
        <w:tc>
          <w:tcPr>
            <w:tcW w:w="1215" w:type="dxa"/>
            <w:shd w:val="clear" w:color="auto" w:fill="auto"/>
            <w:vAlign w:val="center"/>
          </w:tcPr>
          <w:p w14:paraId="055CA492">
            <w:pPr>
              <w:widowControl/>
              <w:jc w:val="left"/>
              <w:rPr>
                <w:rFonts w:hint="eastAsia" w:ascii="宋体" w:hAnsi="宋体" w:eastAsia="宋体" w:cs="宋体"/>
                <w:spacing w:val="-2"/>
                <w:sz w:val="24"/>
                <w:szCs w:val="24"/>
              </w:rPr>
            </w:pPr>
          </w:p>
        </w:tc>
      </w:tr>
      <w:tr w14:paraId="2A2D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2041" w:type="dxa"/>
            <w:shd w:val="clear" w:color="auto" w:fill="auto"/>
            <w:vAlign w:val="center"/>
          </w:tcPr>
          <w:p w14:paraId="550673AF">
            <w:pPr>
              <w:jc w:val="both"/>
              <w:rPr>
                <w:rFonts w:hint="eastAsia" w:ascii="宋体" w:hAnsi="宋体" w:eastAsia="宋体" w:cs="宋体"/>
                <w:b w:val="0"/>
                <w:bCs/>
                <w:color w:val="000000"/>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八</w:t>
            </w:r>
            <w:r>
              <w:rPr>
                <w:rFonts w:hint="eastAsia" w:ascii="宋体" w:hAnsi="宋体" w:eastAsia="宋体" w:cs="宋体"/>
                <w:sz w:val="24"/>
                <w:szCs w:val="24"/>
              </w:rPr>
              <w:t>）</w:t>
            </w:r>
            <w:r>
              <w:rPr>
                <w:rFonts w:hint="eastAsia" w:ascii="宋体" w:hAnsi="宋体" w:eastAsia="宋体" w:cs="宋体"/>
                <w:sz w:val="24"/>
                <w:szCs w:val="24"/>
                <w:lang w:val="zh-CN"/>
              </w:rPr>
              <w:t>其他要求</w:t>
            </w:r>
          </w:p>
        </w:tc>
        <w:tc>
          <w:tcPr>
            <w:tcW w:w="4831" w:type="dxa"/>
            <w:shd w:val="clear" w:color="auto" w:fill="auto"/>
            <w:vAlign w:val="center"/>
          </w:tcPr>
          <w:p w14:paraId="7E9EBEEC">
            <w:pPr>
              <w:snapToGrid w:val="0"/>
              <w:spacing w:line="336" w:lineRule="exact"/>
              <w:rPr>
                <w:rFonts w:hint="eastAsia" w:ascii="宋体" w:hAnsi="宋体" w:eastAsia="宋体" w:cs="宋体"/>
                <w:b w:val="0"/>
                <w:bCs/>
                <w:kern w:val="0"/>
                <w:sz w:val="24"/>
                <w:szCs w:val="24"/>
              </w:rPr>
            </w:pPr>
            <w:r>
              <w:rPr>
                <w:rFonts w:hint="eastAsia" w:ascii="宋体" w:hAnsi="宋体" w:cs="宋体"/>
                <w:color w:val="auto"/>
                <w:sz w:val="24"/>
                <w:highlight w:val="none"/>
              </w:rPr>
              <w:t>本项目所提供的软件必须具有合法的版权或使用权，如在本项目范围内使用过程中出现版权或使用权纠纷，应由中标人负责。</w:t>
            </w:r>
          </w:p>
        </w:tc>
        <w:tc>
          <w:tcPr>
            <w:tcW w:w="1890" w:type="dxa"/>
            <w:shd w:val="clear" w:color="auto" w:fill="auto"/>
            <w:vAlign w:val="center"/>
          </w:tcPr>
          <w:p w14:paraId="0A83D86F">
            <w:pPr>
              <w:snapToGrid w:val="0"/>
              <w:spacing w:line="336" w:lineRule="exact"/>
              <w:rPr>
                <w:rFonts w:hint="eastAsia" w:ascii="宋体" w:hAnsi="宋体" w:eastAsia="宋体" w:cs="宋体"/>
                <w:sz w:val="24"/>
                <w:szCs w:val="24"/>
              </w:rPr>
            </w:pPr>
          </w:p>
        </w:tc>
        <w:tc>
          <w:tcPr>
            <w:tcW w:w="1215" w:type="dxa"/>
            <w:shd w:val="clear" w:color="auto" w:fill="auto"/>
            <w:vAlign w:val="center"/>
          </w:tcPr>
          <w:p w14:paraId="31890CD0">
            <w:pPr>
              <w:snapToGrid w:val="0"/>
              <w:spacing w:line="336" w:lineRule="exact"/>
              <w:rPr>
                <w:rFonts w:hint="eastAsia" w:ascii="宋体" w:hAnsi="宋体" w:eastAsia="宋体" w:cs="宋体"/>
                <w:sz w:val="24"/>
                <w:szCs w:val="24"/>
              </w:rPr>
            </w:pPr>
          </w:p>
        </w:tc>
      </w:tr>
    </w:tbl>
    <w:p w14:paraId="2184749F">
      <w:pPr>
        <w:rPr>
          <w:rFonts w:hint="eastAsia" w:ascii="宋体" w:hAnsi="宋体" w:eastAsia="宋体" w:cs="宋体"/>
          <w:b/>
          <w:color w:val="auto"/>
          <w:kern w:val="0"/>
          <w:sz w:val="30"/>
          <w:szCs w:val="30"/>
          <w:highlight w:val="none"/>
          <w:lang w:val="en-US" w:eastAsia="zh-CN" w:bidi="ar-SA"/>
        </w:rPr>
      </w:pPr>
    </w:p>
    <w:p w14:paraId="37168FDF">
      <w:pPr>
        <w:rPr>
          <w:rFonts w:hint="eastAsia" w:ascii="宋体" w:hAnsi="宋体" w:eastAsia="宋体" w:cs="宋体"/>
          <w:b/>
          <w:color w:val="auto"/>
          <w:kern w:val="0"/>
          <w:sz w:val="30"/>
          <w:szCs w:val="30"/>
          <w:highlight w:val="none"/>
          <w:lang w:val="en-US" w:eastAsia="zh-CN" w:bidi="ar-SA"/>
        </w:rPr>
      </w:pPr>
    </w:p>
    <w:p w14:paraId="509EF4C1">
      <w:pPr>
        <w:rPr>
          <w:rFonts w:hint="eastAsia" w:ascii="宋体" w:hAnsi="宋体" w:eastAsia="宋体" w:cs="宋体"/>
          <w:b/>
          <w:color w:val="auto"/>
          <w:kern w:val="0"/>
          <w:sz w:val="30"/>
          <w:szCs w:val="30"/>
          <w:highlight w:val="none"/>
          <w:lang w:val="en-US" w:eastAsia="zh-CN" w:bidi="ar-SA"/>
        </w:rPr>
      </w:pPr>
    </w:p>
    <w:p w14:paraId="4FE0060E">
      <w:pPr>
        <w:rPr>
          <w:rFonts w:hint="eastAsia" w:ascii="宋体" w:hAnsi="宋体" w:eastAsia="宋体" w:cs="宋体"/>
          <w:b/>
          <w:color w:val="auto"/>
          <w:kern w:val="0"/>
          <w:sz w:val="30"/>
          <w:szCs w:val="30"/>
          <w:highlight w:val="none"/>
          <w:lang w:val="en-US" w:eastAsia="zh-CN" w:bidi="ar-SA"/>
        </w:rPr>
      </w:pPr>
    </w:p>
    <w:p w14:paraId="7C1498DA">
      <w:pPr>
        <w:rPr>
          <w:rFonts w:hint="eastAsia" w:ascii="宋体" w:hAnsi="宋体" w:eastAsia="宋体" w:cs="宋体"/>
          <w:b/>
          <w:color w:val="auto"/>
          <w:kern w:val="0"/>
          <w:sz w:val="30"/>
          <w:szCs w:val="30"/>
          <w:highlight w:val="none"/>
          <w:lang w:val="en-US" w:eastAsia="zh-CN" w:bidi="ar-SA"/>
        </w:rPr>
      </w:pPr>
    </w:p>
    <w:p w14:paraId="67563BD7">
      <w:pPr>
        <w:rPr>
          <w:rFonts w:hint="eastAsia" w:ascii="宋体" w:hAnsi="宋体" w:eastAsia="宋体" w:cs="宋体"/>
          <w:b/>
          <w:color w:val="auto"/>
          <w:kern w:val="0"/>
          <w:sz w:val="30"/>
          <w:szCs w:val="30"/>
          <w:highlight w:val="none"/>
          <w:lang w:val="en-US" w:eastAsia="zh-CN" w:bidi="ar-SA"/>
        </w:rPr>
      </w:pPr>
    </w:p>
    <w:p w14:paraId="45A10969">
      <w:pPr>
        <w:rPr>
          <w:rFonts w:hint="eastAsia" w:ascii="宋体" w:hAnsi="宋体" w:eastAsia="宋体" w:cs="宋体"/>
          <w:b/>
          <w:color w:val="auto"/>
          <w:kern w:val="0"/>
          <w:sz w:val="30"/>
          <w:szCs w:val="30"/>
          <w:highlight w:val="none"/>
          <w:lang w:val="en-US" w:eastAsia="zh-CN" w:bidi="ar-SA"/>
        </w:rPr>
      </w:pPr>
    </w:p>
    <w:p w14:paraId="53B6BCAA">
      <w:pPr>
        <w:rPr>
          <w:rFonts w:hint="eastAsia" w:ascii="宋体" w:hAnsi="宋体" w:eastAsia="宋体" w:cs="宋体"/>
          <w:b/>
          <w:color w:val="auto"/>
          <w:kern w:val="0"/>
          <w:sz w:val="30"/>
          <w:szCs w:val="30"/>
          <w:highlight w:val="none"/>
          <w:lang w:val="en-US" w:eastAsia="zh-CN" w:bidi="ar-SA"/>
        </w:rPr>
      </w:pPr>
    </w:p>
    <w:p w14:paraId="75317700">
      <w:pPr>
        <w:rPr>
          <w:rFonts w:hint="eastAsia" w:ascii="宋体" w:hAnsi="宋体" w:eastAsia="宋体" w:cs="宋体"/>
          <w:b/>
          <w:color w:val="auto"/>
          <w:kern w:val="0"/>
          <w:sz w:val="30"/>
          <w:szCs w:val="30"/>
          <w:highlight w:val="none"/>
          <w:lang w:val="en-US" w:eastAsia="zh-CN" w:bidi="ar-SA"/>
        </w:rPr>
      </w:pPr>
    </w:p>
    <w:p w14:paraId="1AF3509A">
      <w:pPr>
        <w:rPr>
          <w:rFonts w:hint="eastAsia" w:ascii="宋体" w:hAnsi="宋体" w:eastAsia="宋体" w:cs="宋体"/>
          <w:b/>
          <w:color w:val="auto"/>
          <w:kern w:val="0"/>
          <w:sz w:val="30"/>
          <w:szCs w:val="30"/>
          <w:highlight w:val="none"/>
          <w:lang w:val="en-US" w:eastAsia="zh-CN" w:bidi="ar-SA"/>
        </w:rPr>
      </w:pPr>
    </w:p>
    <w:p w14:paraId="2970285B">
      <w:pPr>
        <w:rPr>
          <w:rFonts w:hint="eastAsia" w:ascii="宋体" w:hAnsi="宋体" w:eastAsia="宋体" w:cs="宋体"/>
          <w:b/>
          <w:color w:val="auto"/>
          <w:kern w:val="0"/>
          <w:sz w:val="30"/>
          <w:szCs w:val="30"/>
          <w:highlight w:val="none"/>
          <w:lang w:val="en-US" w:eastAsia="zh-CN" w:bidi="ar-SA"/>
        </w:rPr>
      </w:pPr>
    </w:p>
    <w:p w14:paraId="64315FB3">
      <w:pPr>
        <w:rPr>
          <w:rFonts w:hint="eastAsia" w:ascii="宋体" w:hAnsi="宋体" w:eastAsia="宋体" w:cs="宋体"/>
          <w:b/>
          <w:color w:val="auto"/>
          <w:kern w:val="0"/>
          <w:sz w:val="30"/>
          <w:szCs w:val="30"/>
          <w:highlight w:val="none"/>
          <w:lang w:val="en-US" w:eastAsia="zh-CN" w:bidi="ar-SA"/>
        </w:rPr>
      </w:pPr>
    </w:p>
    <w:p w14:paraId="65E82888">
      <w:pPr>
        <w:rPr>
          <w:rFonts w:hint="eastAsia" w:ascii="宋体" w:hAnsi="宋体" w:eastAsia="宋体" w:cs="宋体"/>
          <w:b/>
          <w:color w:val="auto"/>
          <w:kern w:val="0"/>
          <w:sz w:val="30"/>
          <w:szCs w:val="30"/>
          <w:highlight w:val="none"/>
          <w:lang w:val="en-US" w:eastAsia="zh-CN" w:bidi="ar-SA"/>
        </w:rPr>
      </w:pPr>
    </w:p>
    <w:p w14:paraId="1EC8FB1D">
      <w:pPr>
        <w:pStyle w:val="6"/>
        <w:ind w:left="0" w:leftChars="0" w:firstLine="1807" w:firstLineChars="600"/>
        <w:jc w:val="both"/>
        <w:rPr>
          <w:rFonts w:hint="default" w:ascii="宋体" w:hAnsi="宋体" w:eastAsia="宋体" w:cs="宋体"/>
          <w:b/>
          <w:color w:val="auto"/>
          <w:kern w:val="0"/>
          <w:sz w:val="30"/>
          <w:szCs w:val="30"/>
          <w:highlight w:val="none"/>
          <w:lang w:val="en-US" w:eastAsia="zh-CN" w:bidi="ar-SA"/>
        </w:rPr>
      </w:pPr>
      <w:r>
        <w:rPr>
          <w:rFonts w:hint="eastAsia" w:ascii="宋体" w:hAnsi="宋体" w:eastAsia="宋体" w:cs="宋体"/>
          <w:b/>
          <w:color w:val="auto"/>
          <w:kern w:val="0"/>
          <w:sz w:val="30"/>
          <w:szCs w:val="30"/>
          <w:highlight w:val="none"/>
          <w:lang w:val="en-US" w:eastAsia="zh-CN" w:bidi="ar-SA"/>
        </w:rPr>
        <w:t>供应商根据评标标准提供其他的材料</w:t>
      </w:r>
    </w:p>
    <w:sectPr>
      <w:footerReference r:id="rId3" w:type="default"/>
      <w:pgSz w:w="11906" w:h="16838"/>
      <w:pgMar w:top="1440" w:right="1351" w:bottom="1440" w:left="131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DBB4B">
    <w:pPr>
      <w:pStyle w:val="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847BB4">
                          <w:pPr>
                            <w:pStyle w:val="9"/>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40847BB4">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9E28DF"/>
    <w:multiLevelType w:val="singleLevel"/>
    <w:tmpl w:val="A39E28DF"/>
    <w:lvl w:ilvl="0" w:tentative="0">
      <w:start w:val="1"/>
      <w:numFmt w:val="chineseCounting"/>
      <w:suff w:val="nothing"/>
      <w:lvlText w:val="%1、"/>
      <w:lvlJc w:val="left"/>
      <w:rPr>
        <w:rFonts w:hint="eastAsia"/>
      </w:rPr>
    </w:lvl>
  </w:abstractNum>
  <w:abstractNum w:abstractNumId="1">
    <w:nsid w:val="3F4785DA"/>
    <w:multiLevelType w:val="singleLevel"/>
    <w:tmpl w:val="3F4785DA"/>
    <w:lvl w:ilvl="0" w:tentative="0">
      <w:start w:val="1"/>
      <w:numFmt w:val="chineseCounting"/>
      <w:suff w:val="nothing"/>
      <w:lvlText w:val="（%1）"/>
      <w:lvlJc w:val="left"/>
      <w:rPr>
        <w:rFonts w:hint="eastAsia"/>
      </w:rPr>
    </w:lvl>
  </w:abstractNum>
  <w:abstractNum w:abstractNumId="2">
    <w:nsid w:val="5C946299"/>
    <w:multiLevelType w:val="singleLevel"/>
    <w:tmpl w:val="5C946299"/>
    <w:lvl w:ilvl="0" w:tentative="0">
      <w:start w:val="0"/>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OTA2MjY5MDQxOWY0MGUzOTc0NDIyZjkxOTQ5MWMifQ=="/>
  </w:docVars>
  <w:rsids>
    <w:rsidRoot w:val="1382169D"/>
    <w:rsid w:val="00011339"/>
    <w:rsid w:val="00025854"/>
    <w:rsid w:val="0004408D"/>
    <w:rsid w:val="000724D4"/>
    <w:rsid w:val="00073D2C"/>
    <w:rsid w:val="00084B63"/>
    <w:rsid w:val="000B04AB"/>
    <w:rsid w:val="00106A4D"/>
    <w:rsid w:val="001159D8"/>
    <w:rsid w:val="001202C5"/>
    <w:rsid w:val="00122E31"/>
    <w:rsid w:val="00124E8D"/>
    <w:rsid w:val="00127A29"/>
    <w:rsid w:val="00153A01"/>
    <w:rsid w:val="00156620"/>
    <w:rsid w:val="00177A2D"/>
    <w:rsid w:val="001809D5"/>
    <w:rsid w:val="001909C0"/>
    <w:rsid w:val="001C1979"/>
    <w:rsid w:val="001C234E"/>
    <w:rsid w:val="001C66E3"/>
    <w:rsid w:val="001E3857"/>
    <w:rsid w:val="00205B39"/>
    <w:rsid w:val="0022215A"/>
    <w:rsid w:val="0026481B"/>
    <w:rsid w:val="0028761E"/>
    <w:rsid w:val="002908DC"/>
    <w:rsid w:val="00291743"/>
    <w:rsid w:val="002A410C"/>
    <w:rsid w:val="002A78D2"/>
    <w:rsid w:val="00302A5E"/>
    <w:rsid w:val="00312002"/>
    <w:rsid w:val="0031719C"/>
    <w:rsid w:val="0033063C"/>
    <w:rsid w:val="00342645"/>
    <w:rsid w:val="003428B0"/>
    <w:rsid w:val="003613CD"/>
    <w:rsid w:val="00373B2B"/>
    <w:rsid w:val="00375BF8"/>
    <w:rsid w:val="00383754"/>
    <w:rsid w:val="00391A27"/>
    <w:rsid w:val="00397564"/>
    <w:rsid w:val="00397B99"/>
    <w:rsid w:val="003A0DDE"/>
    <w:rsid w:val="003A16AA"/>
    <w:rsid w:val="003C3941"/>
    <w:rsid w:val="003C5A90"/>
    <w:rsid w:val="003C5DD4"/>
    <w:rsid w:val="003F316C"/>
    <w:rsid w:val="003F6EB5"/>
    <w:rsid w:val="00430D8E"/>
    <w:rsid w:val="00434331"/>
    <w:rsid w:val="00450D30"/>
    <w:rsid w:val="00454CE0"/>
    <w:rsid w:val="004D6B25"/>
    <w:rsid w:val="004E1C60"/>
    <w:rsid w:val="005263C7"/>
    <w:rsid w:val="00533CE0"/>
    <w:rsid w:val="00542653"/>
    <w:rsid w:val="00550608"/>
    <w:rsid w:val="00561B33"/>
    <w:rsid w:val="00567277"/>
    <w:rsid w:val="0057369F"/>
    <w:rsid w:val="00583977"/>
    <w:rsid w:val="005854B0"/>
    <w:rsid w:val="005A0E54"/>
    <w:rsid w:val="005F0C19"/>
    <w:rsid w:val="00601269"/>
    <w:rsid w:val="006172C3"/>
    <w:rsid w:val="006264B8"/>
    <w:rsid w:val="00641E80"/>
    <w:rsid w:val="00642055"/>
    <w:rsid w:val="00664217"/>
    <w:rsid w:val="006753E6"/>
    <w:rsid w:val="00694BB8"/>
    <w:rsid w:val="006A6CBC"/>
    <w:rsid w:val="006B39F2"/>
    <w:rsid w:val="006C5615"/>
    <w:rsid w:val="006C67A5"/>
    <w:rsid w:val="006F11E5"/>
    <w:rsid w:val="007244CB"/>
    <w:rsid w:val="0073036B"/>
    <w:rsid w:val="0073620A"/>
    <w:rsid w:val="00744FF4"/>
    <w:rsid w:val="00761478"/>
    <w:rsid w:val="0076192B"/>
    <w:rsid w:val="00774C1F"/>
    <w:rsid w:val="007D0C4A"/>
    <w:rsid w:val="007E10CD"/>
    <w:rsid w:val="007E2B9C"/>
    <w:rsid w:val="007F394A"/>
    <w:rsid w:val="00815923"/>
    <w:rsid w:val="00821E40"/>
    <w:rsid w:val="008632DD"/>
    <w:rsid w:val="00863F6F"/>
    <w:rsid w:val="00882A1F"/>
    <w:rsid w:val="00890A9F"/>
    <w:rsid w:val="00891584"/>
    <w:rsid w:val="008A1D20"/>
    <w:rsid w:val="008F30B9"/>
    <w:rsid w:val="00942CC4"/>
    <w:rsid w:val="00967D43"/>
    <w:rsid w:val="009853FA"/>
    <w:rsid w:val="009D3769"/>
    <w:rsid w:val="009E2FCF"/>
    <w:rsid w:val="00A1714B"/>
    <w:rsid w:val="00A41862"/>
    <w:rsid w:val="00A834D8"/>
    <w:rsid w:val="00A963FE"/>
    <w:rsid w:val="00AA3DD9"/>
    <w:rsid w:val="00AA6A71"/>
    <w:rsid w:val="00AB56D6"/>
    <w:rsid w:val="00AC4C5B"/>
    <w:rsid w:val="00AD0E49"/>
    <w:rsid w:val="00AE2C47"/>
    <w:rsid w:val="00AF1B55"/>
    <w:rsid w:val="00B03961"/>
    <w:rsid w:val="00B07734"/>
    <w:rsid w:val="00B14A39"/>
    <w:rsid w:val="00B37E4D"/>
    <w:rsid w:val="00B51772"/>
    <w:rsid w:val="00B60716"/>
    <w:rsid w:val="00B67AE2"/>
    <w:rsid w:val="00B81FBE"/>
    <w:rsid w:val="00B93539"/>
    <w:rsid w:val="00B95068"/>
    <w:rsid w:val="00BB461D"/>
    <w:rsid w:val="00BB4A9E"/>
    <w:rsid w:val="00BC2D9B"/>
    <w:rsid w:val="00BC6C33"/>
    <w:rsid w:val="00BD7353"/>
    <w:rsid w:val="00C016D4"/>
    <w:rsid w:val="00C10FC9"/>
    <w:rsid w:val="00C23BB6"/>
    <w:rsid w:val="00C357AC"/>
    <w:rsid w:val="00C375F9"/>
    <w:rsid w:val="00C37693"/>
    <w:rsid w:val="00C60E68"/>
    <w:rsid w:val="00CA62F8"/>
    <w:rsid w:val="00CB3FB9"/>
    <w:rsid w:val="00CC2FE6"/>
    <w:rsid w:val="00CD0FC7"/>
    <w:rsid w:val="00D03E8A"/>
    <w:rsid w:val="00D434BB"/>
    <w:rsid w:val="00D57A42"/>
    <w:rsid w:val="00D83CD3"/>
    <w:rsid w:val="00DA05EB"/>
    <w:rsid w:val="00DC0B2C"/>
    <w:rsid w:val="00DC7372"/>
    <w:rsid w:val="00E3579C"/>
    <w:rsid w:val="00E36D0C"/>
    <w:rsid w:val="00E44667"/>
    <w:rsid w:val="00E82739"/>
    <w:rsid w:val="00EA1193"/>
    <w:rsid w:val="00EA3453"/>
    <w:rsid w:val="00ED6CC8"/>
    <w:rsid w:val="00EF3593"/>
    <w:rsid w:val="00F23FAD"/>
    <w:rsid w:val="00F24C56"/>
    <w:rsid w:val="00F62706"/>
    <w:rsid w:val="00F729AF"/>
    <w:rsid w:val="00F86227"/>
    <w:rsid w:val="00F9460B"/>
    <w:rsid w:val="00F94E67"/>
    <w:rsid w:val="00F97960"/>
    <w:rsid w:val="00FA5C00"/>
    <w:rsid w:val="00FB1928"/>
    <w:rsid w:val="00FB4E85"/>
    <w:rsid w:val="00FD7D86"/>
    <w:rsid w:val="00FF2D8D"/>
    <w:rsid w:val="015500FA"/>
    <w:rsid w:val="05B43936"/>
    <w:rsid w:val="09D26538"/>
    <w:rsid w:val="0A0A5986"/>
    <w:rsid w:val="0BB364B9"/>
    <w:rsid w:val="0CBB0F91"/>
    <w:rsid w:val="0D8E5328"/>
    <w:rsid w:val="0DA37AF0"/>
    <w:rsid w:val="0E1F47C3"/>
    <w:rsid w:val="0F307AB2"/>
    <w:rsid w:val="0F8D7EF3"/>
    <w:rsid w:val="114F21D0"/>
    <w:rsid w:val="13195B80"/>
    <w:rsid w:val="1382169D"/>
    <w:rsid w:val="13CD49B8"/>
    <w:rsid w:val="146A4CA6"/>
    <w:rsid w:val="1481269B"/>
    <w:rsid w:val="15A502FA"/>
    <w:rsid w:val="171325EA"/>
    <w:rsid w:val="176E5B42"/>
    <w:rsid w:val="18BD2BE4"/>
    <w:rsid w:val="19692D39"/>
    <w:rsid w:val="197D7C42"/>
    <w:rsid w:val="1BCE63C1"/>
    <w:rsid w:val="1FE52824"/>
    <w:rsid w:val="22052A64"/>
    <w:rsid w:val="228856AB"/>
    <w:rsid w:val="2D2C4FA8"/>
    <w:rsid w:val="2F8070B6"/>
    <w:rsid w:val="2FD30076"/>
    <w:rsid w:val="30037668"/>
    <w:rsid w:val="324673DF"/>
    <w:rsid w:val="341A4992"/>
    <w:rsid w:val="34535CBE"/>
    <w:rsid w:val="35750C0D"/>
    <w:rsid w:val="35A3005D"/>
    <w:rsid w:val="39E373A4"/>
    <w:rsid w:val="3A082889"/>
    <w:rsid w:val="3AC743FB"/>
    <w:rsid w:val="3E3A59A8"/>
    <w:rsid w:val="42785FFF"/>
    <w:rsid w:val="42E21359"/>
    <w:rsid w:val="479B2F0C"/>
    <w:rsid w:val="48FA4C52"/>
    <w:rsid w:val="4A312547"/>
    <w:rsid w:val="4C651AA9"/>
    <w:rsid w:val="4CBC303B"/>
    <w:rsid w:val="4D9667F9"/>
    <w:rsid w:val="4E604288"/>
    <w:rsid w:val="4F71630F"/>
    <w:rsid w:val="503E4BB7"/>
    <w:rsid w:val="50B13D19"/>
    <w:rsid w:val="51402E7D"/>
    <w:rsid w:val="525A4806"/>
    <w:rsid w:val="52A14C78"/>
    <w:rsid w:val="55FE26A7"/>
    <w:rsid w:val="57AC32CF"/>
    <w:rsid w:val="58BD3776"/>
    <w:rsid w:val="59FF38D6"/>
    <w:rsid w:val="5C1761A2"/>
    <w:rsid w:val="606B0631"/>
    <w:rsid w:val="61965FA7"/>
    <w:rsid w:val="63224191"/>
    <w:rsid w:val="65C3554C"/>
    <w:rsid w:val="67A82BE8"/>
    <w:rsid w:val="684C450D"/>
    <w:rsid w:val="68B41816"/>
    <w:rsid w:val="6A4320E6"/>
    <w:rsid w:val="702131CC"/>
    <w:rsid w:val="79F846E4"/>
    <w:rsid w:val="7C660AAA"/>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161"/>
      <w:ind w:left="218"/>
      <w:outlineLvl w:val="0"/>
    </w:pPr>
    <w:rPr>
      <w:rFonts w:ascii="宋体" w:hAnsi="宋体" w:cs="宋体"/>
      <w:b/>
      <w:bCs/>
      <w:sz w:val="24"/>
    </w:rPr>
  </w:style>
  <w:style w:type="paragraph" w:styleId="3">
    <w:name w:val="heading 4"/>
    <w:basedOn w:val="1"/>
    <w:next w:val="1"/>
    <w:qFormat/>
    <w:uiPriority w:val="0"/>
    <w:pPr>
      <w:keepNext/>
      <w:keepLines/>
      <w:spacing w:line="360" w:lineRule="auto"/>
      <w:outlineLvl w:val="3"/>
    </w:pPr>
    <w:rPr>
      <w:rFonts w:ascii="Arial" w:hAnsi="Arial"/>
      <w:b/>
      <w:bCs/>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index 4"/>
    <w:basedOn w:val="1"/>
    <w:next w:val="1"/>
    <w:unhideWhenUsed/>
    <w:qFormat/>
    <w:uiPriority w:val="99"/>
    <w:pPr>
      <w:ind w:left="600" w:leftChars="600"/>
    </w:pPr>
    <w:rPr>
      <w:rFonts w:ascii="Verdana" w:hAnsi="Verdana"/>
      <w:szCs w:val="20"/>
    </w:rPr>
  </w:style>
  <w:style w:type="paragraph" w:styleId="7">
    <w:name w:val="toc 3"/>
    <w:basedOn w:val="1"/>
    <w:next w:val="1"/>
    <w:unhideWhenUsed/>
    <w:qFormat/>
    <w:uiPriority w:val="39"/>
    <w:pPr>
      <w:ind w:left="840" w:leftChars="400"/>
    </w:pPr>
  </w:style>
  <w:style w:type="paragraph" w:styleId="8">
    <w:name w:val="Plain Text"/>
    <w:basedOn w:val="1"/>
    <w:qFormat/>
    <w:uiPriority w:val="0"/>
    <w:rPr>
      <w:rFonts w:ascii="宋体" w:hAnsi="Courier New"/>
      <w:kern w:val="0"/>
      <w:sz w:val="20"/>
      <w:szCs w:val="20"/>
    </w:rPr>
  </w:style>
  <w:style w:type="paragraph" w:styleId="9">
    <w:name w:val="footer"/>
    <w:basedOn w:val="1"/>
    <w:qFormat/>
    <w:uiPriority w:val="0"/>
    <w:pPr>
      <w:tabs>
        <w:tab w:val="center" w:pos="4153"/>
        <w:tab w:val="right" w:pos="8306"/>
      </w:tabs>
      <w:snapToGrid w:val="0"/>
      <w:jc w:val="left"/>
    </w:pPr>
    <w:rPr>
      <w:kern w:val="0"/>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footnote text"/>
    <w:basedOn w:val="1"/>
    <w:unhideWhenUsed/>
    <w:qFormat/>
    <w:uiPriority w:val="99"/>
    <w:pPr>
      <w:snapToGrid w:val="0"/>
      <w:jc w:val="left"/>
    </w:pPr>
    <w:rPr>
      <w:sz w:val="18"/>
      <w:szCs w:val="18"/>
    </w:rPr>
  </w:style>
  <w:style w:type="paragraph" w:styleId="13">
    <w:name w:val="Normal (Web)"/>
    <w:basedOn w:val="1"/>
    <w:qFormat/>
    <w:uiPriority w:val="0"/>
    <w:pPr>
      <w:spacing w:before="100" w:beforeAutospacing="1" w:after="100" w:afterAutospacing="1"/>
      <w:jc w:val="left"/>
    </w:pPr>
    <w:rPr>
      <w:kern w:val="0"/>
      <w:sz w:val="24"/>
    </w:rPr>
  </w:style>
  <w:style w:type="paragraph" w:styleId="14">
    <w:name w:val="Title"/>
    <w:basedOn w:val="1"/>
    <w:qFormat/>
    <w:uiPriority w:val="1"/>
    <w:pPr>
      <w:spacing w:before="171"/>
      <w:ind w:left="2520" w:right="2556"/>
      <w:jc w:val="center"/>
    </w:pPr>
    <w:rPr>
      <w:rFonts w:ascii="宋体" w:hAnsi="宋体" w:cs="宋体"/>
      <w:sz w:val="44"/>
      <w:szCs w:val="4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qFormat/>
    <w:uiPriority w:val="0"/>
    <w:rPr>
      <w:color w:val="0000FF"/>
      <w:u w:val="single"/>
    </w:rPr>
  </w:style>
  <w:style w:type="character" w:styleId="20">
    <w:name w:val="annotation reference"/>
    <w:basedOn w:val="17"/>
    <w:unhideWhenUsed/>
    <w:qFormat/>
    <w:uiPriority w:val="0"/>
    <w:rPr>
      <w:sz w:val="21"/>
      <w:szCs w:val="21"/>
    </w:rPr>
  </w:style>
  <w:style w:type="character" w:customStyle="1" w:styleId="21">
    <w:name w:val="font11"/>
    <w:basedOn w:val="17"/>
    <w:qFormat/>
    <w:uiPriority w:val="0"/>
    <w:rPr>
      <w:rFonts w:hint="eastAsia" w:ascii="宋体" w:hAnsi="宋体" w:eastAsia="宋体" w:cs="宋体"/>
      <w:color w:val="000000"/>
      <w:sz w:val="20"/>
      <w:szCs w:val="20"/>
      <w:u w:val="none"/>
    </w:rPr>
  </w:style>
  <w:style w:type="character" w:customStyle="1" w:styleId="22">
    <w:name w:val="font01"/>
    <w:basedOn w:val="17"/>
    <w:qFormat/>
    <w:uiPriority w:val="0"/>
    <w:rPr>
      <w:rFonts w:hint="default" w:ascii="Arial" w:hAnsi="Arial" w:cs="Arial"/>
      <w:color w:val="000000"/>
      <w:sz w:val="20"/>
      <w:szCs w:val="20"/>
      <w:u w:val="none"/>
    </w:rPr>
  </w:style>
  <w:style w:type="paragraph" w:styleId="23">
    <w:name w:val="List Paragraph"/>
    <w:basedOn w:val="1"/>
    <w:autoRedefine/>
    <w:qFormat/>
    <w:uiPriority w:val="34"/>
    <w:pPr>
      <w:widowControl/>
      <w:ind w:firstLine="420" w:firstLineChars="200"/>
      <w:jc w:val="left"/>
    </w:pPr>
    <w:rPr>
      <w:rFonts w:ascii="宋体" w:hAnsi="宋体" w:cs="宋体"/>
      <w:kern w:val="0"/>
      <w:sz w:val="24"/>
    </w:rPr>
  </w:style>
  <w:style w:type="paragraph" w:customStyle="1" w:styleId="24">
    <w:name w:val="正文1"/>
    <w:qFormat/>
    <w:uiPriority w:val="0"/>
    <w:pPr>
      <w:jc w:val="both"/>
    </w:pPr>
    <w:rPr>
      <w:rFonts w:ascii="Times New Roman" w:hAnsi="Times New Roman" w:eastAsia="宋体" w:cs="Times New Roman"/>
      <w:sz w:val="21"/>
      <w:szCs w:val="24"/>
      <w:lang w:val="en-US" w:eastAsia="zh-CN" w:bidi="ar-SA"/>
    </w:rPr>
  </w:style>
  <w:style w:type="paragraph" w:customStyle="1" w:styleId="25">
    <w:name w:val="_Style 7"/>
    <w:basedOn w:val="2"/>
    <w:next w:val="1"/>
    <w:qFormat/>
    <w:uiPriority w:val="39"/>
    <w:pPr>
      <w:widowControl/>
      <w:spacing w:before="24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6">
    <w:name w:val="List Paragraph_40b67d30-6b8b-4697-8f49-97c11e174001"/>
    <w:basedOn w:val="1"/>
    <w:qFormat/>
    <w:uiPriority w:val="0"/>
    <w:pPr>
      <w:ind w:firstLine="420" w:firstLineChars="200"/>
    </w:pPr>
    <w:rPr>
      <w:rFonts w:ascii="Calibri" w:hAnsi="Calibri" w:cs="宋体"/>
      <w:szCs w:val="22"/>
    </w:rPr>
  </w:style>
  <w:style w:type="paragraph" w:customStyle="1" w:styleId="27">
    <w:name w:val="Table Paragraph"/>
    <w:basedOn w:val="1"/>
    <w:qFormat/>
    <w:uiPriority w:val="0"/>
    <w:rPr>
      <w:rFonts w:ascii="Calibri" w:hAnsi="Calibri" w:cs="宋体"/>
      <w:szCs w:val="22"/>
    </w:rPr>
  </w:style>
  <w:style w:type="paragraph" w:customStyle="1" w:styleId="28">
    <w:name w:val="列表段落1"/>
    <w:basedOn w:val="1"/>
    <w:qFormat/>
    <w:uiPriority w:val="34"/>
    <w:pPr>
      <w:ind w:left="850"/>
    </w:pPr>
    <w:rPr>
      <w:rFonts w:ascii="Calibri" w:hAnsi="Calibri"/>
      <w:szCs w:val="21"/>
    </w:rPr>
  </w:style>
  <w:style w:type="character" w:styleId="29">
    <w:name w:val="Placeholder Text"/>
    <w:basedOn w:val="17"/>
    <w:unhideWhenUsed/>
    <w:qFormat/>
    <w:uiPriority w:val="99"/>
    <w:rPr>
      <w:color w:val="666666"/>
    </w:rPr>
  </w:style>
  <w:style w:type="paragraph" w:customStyle="1" w:styleId="30">
    <w:name w:val="正文-须知前附表"/>
    <w:basedOn w:val="1"/>
    <w:next w:val="1"/>
    <w:qFormat/>
    <w:uiPriority w:val="0"/>
    <w:pPr>
      <w:spacing w:line="240" w:lineRule="auto"/>
    </w:pPr>
    <w:rPr>
      <w:rFonts w:ascii="仿宋_GB2312" w:hAnsi="Calibri"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10102</Words>
  <Characters>10552</Characters>
  <Lines>100</Lines>
  <Paragraphs>28</Paragraphs>
  <TotalTime>23</TotalTime>
  <ScaleCrop>false</ScaleCrop>
  <LinksUpToDate>false</LinksUpToDate>
  <CharactersWithSpaces>11182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Administrator</dc:creator>
  <cp:lastModifiedBy>水晶海豚</cp:lastModifiedBy>
  <dcterms:modified xsi:type="dcterms:W3CDTF">2025-02-21T08:04:36Z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EF2B5E2DC87746D88F17F9D6AA7AC0DE_13</vt:lpwstr>
  </property>
  <property fmtid="{D5CDD505-2E9C-101B-9397-08002B2CF9AE}" pid="4" name="KSOTemplateDocerSaveRecord">
    <vt:lpwstr>eyJoZGlkIjoiMjU4OGYyYzk4NzIyNWIxNDRlYWY3YTgyY2I2YzVmNzgiLCJ1c2VySWQiOiIyNzI4OTA3MjUifQ==</vt:lpwstr>
  </property>
</Properties>
</file>