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6091E">
      <w:pPr>
        <w:pStyle w:val="9"/>
        <w:pageBreakBefore w:val="0"/>
        <w:kinsoku/>
        <w:wordWrap/>
        <w:overflowPunct/>
        <w:topLinePunct w:val="0"/>
        <w:bidi w:val="0"/>
        <w:spacing w:line="440" w:lineRule="exact"/>
        <w:jc w:val="center"/>
        <w:textAlignment w:val="auto"/>
        <w:rPr>
          <w:rFonts w:ascii="Arial" w:hAnsi="Arial" w:eastAsia="楷体_GB2312" w:cs="Arial"/>
          <w:b/>
          <w:bCs/>
          <w:sz w:val="56"/>
          <w:szCs w:val="72"/>
        </w:rPr>
      </w:pPr>
    </w:p>
    <w:p w14:paraId="1B557D9A">
      <w:pPr>
        <w:pStyle w:val="9"/>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Arial" w:hAnsi="Arial" w:eastAsia="楷体_GB2312" w:cs="Arial"/>
          <w:b/>
          <w:bCs/>
          <w:sz w:val="56"/>
          <w:szCs w:val="72"/>
        </w:rPr>
      </w:pPr>
    </w:p>
    <w:p w14:paraId="7D50C428">
      <w:pPr>
        <w:pStyle w:val="9"/>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bCs/>
          <w:sz w:val="48"/>
          <w:szCs w:val="48"/>
        </w:rPr>
      </w:pPr>
      <w:r>
        <w:rPr>
          <w:rFonts w:hint="eastAsia" w:ascii="宋体" w:hAnsi="宋体" w:eastAsia="宋体" w:cs="宋体"/>
          <w:b/>
          <w:bCs/>
          <w:sz w:val="48"/>
          <w:szCs w:val="48"/>
        </w:rPr>
        <w:t>桂林市人民医院北门社区基层一体化信息</w:t>
      </w:r>
    </w:p>
    <w:p w14:paraId="4EA4A63B">
      <w:pPr>
        <w:pStyle w:val="9"/>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bCs/>
          <w:sz w:val="48"/>
          <w:szCs w:val="48"/>
        </w:rPr>
      </w:pPr>
    </w:p>
    <w:p w14:paraId="1788B804">
      <w:pPr>
        <w:pStyle w:val="9"/>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bCs/>
          <w:sz w:val="48"/>
          <w:szCs w:val="48"/>
        </w:rPr>
      </w:pPr>
      <w:r>
        <w:rPr>
          <w:rFonts w:hint="eastAsia" w:ascii="宋体" w:hAnsi="宋体" w:eastAsia="宋体" w:cs="宋体"/>
          <w:b/>
          <w:bCs/>
          <w:sz w:val="48"/>
          <w:szCs w:val="48"/>
        </w:rPr>
        <w:t>系统项目</w:t>
      </w:r>
      <w:r>
        <w:rPr>
          <w:rFonts w:hint="eastAsia" w:hAnsi="宋体" w:cs="宋体"/>
          <w:b/>
          <w:bCs/>
          <w:sz w:val="48"/>
          <w:szCs w:val="48"/>
          <w:lang w:val="en-US" w:eastAsia="zh-CN"/>
        </w:rPr>
        <w:t>议价</w:t>
      </w:r>
      <w:r>
        <w:rPr>
          <w:rFonts w:hint="eastAsia" w:ascii="宋体" w:hAnsi="宋体" w:eastAsia="宋体" w:cs="宋体"/>
          <w:b/>
          <w:bCs/>
          <w:sz w:val="48"/>
          <w:szCs w:val="48"/>
        </w:rPr>
        <w:t>文件</w:t>
      </w:r>
    </w:p>
    <w:p w14:paraId="5FB73F43">
      <w:pPr>
        <w:pStyle w:val="9"/>
        <w:pageBreakBefore w:val="0"/>
        <w:kinsoku/>
        <w:wordWrap/>
        <w:overflowPunct/>
        <w:topLinePunct w:val="0"/>
        <w:bidi w:val="0"/>
        <w:spacing w:line="440" w:lineRule="exact"/>
        <w:jc w:val="center"/>
        <w:textAlignment w:val="auto"/>
        <w:rPr>
          <w:rFonts w:ascii="Arial" w:hAnsi="Arial" w:eastAsia="楷体_GB2312" w:cs="Arial"/>
          <w:b/>
          <w:bCs/>
          <w:sz w:val="24"/>
          <w:szCs w:val="24"/>
        </w:rPr>
      </w:pPr>
    </w:p>
    <w:p w14:paraId="520B8560">
      <w:pPr>
        <w:pStyle w:val="9"/>
        <w:pageBreakBefore w:val="0"/>
        <w:kinsoku/>
        <w:wordWrap/>
        <w:overflowPunct/>
        <w:topLinePunct w:val="0"/>
        <w:bidi w:val="0"/>
        <w:spacing w:line="440" w:lineRule="exact"/>
        <w:ind w:firstLine="2695"/>
        <w:textAlignment w:val="auto"/>
        <w:rPr>
          <w:rFonts w:ascii="Arial" w:hAnsi="Arial" w:cs="Arial"/>
          <w:sz w:val="24"/>
          <w:szCs w:val="24"/>
        </w:rPr>
      </w:pPr>
    </w:p>
    <w:p w14:paraId="282CE2C1">
      <w:pPr>
        <w:pStyle w:val="9"/>
        <w:pageBreakBefore w:val="0"/>
        <w:kinsoku/>
        <w:wordWrap/>
        <w:overflowPunct/>
        <w:topLinePunct w:val="0"/>
        <w:bidi w:val="0"/>
        <w:spacing w:line="440" w:lineRule="exact"/>
        <w:ind w:firstLine="2695"/>
        <w:textAlignment w:val="auto"/>
        <w:rPr>
          <w:rFonts w:ascii="Arial" w:hAnsi="Arial" w:cs="Arial"/>
          <w:sz w:val="28"/>
        </w:rPr>
      </w:pPr>
      <w:r>
        <w:rPr>
          <w:rFonts w:ascii="Arial" w:hAnsi="Arial" w:cs="Arial"/>
          <w:sz w:val="28"/>
        </w:rPr>
        <w:cr/>
      </w:r>
    </w:p>
    <w:p w14:paraId="52EC4D47">
      <w:pPr>
        <w:pStyle w:val="9"/>
        <w:pageBreakBefore w:val="0"/>
        <w:kinsoku/>
        <w:wordWrap/>
        <w:overflowPunct/>
        <w:topLinePunct w:val="0"/>
        <w:bidi w:val="0"/>
        <w:spacing w:line="440" w:lineRule="exact"/>
        <w:ind w:firstLine="2695"/>
        <w:textAlignment w:val="auto"/>
        <w:rPr>
          <w:rFonts w:ascii="Arial" w:hAnsi="Arial" w:cs="Arial"/>
          <w:sz w:val="28"/>
        </w:rPr>
      </w:pPr>
    </w:p>
    <w:p w14:paraId="1EA401ED">
      <w:pPr>
        <w:pStyle w:val="9"/>
        <w:pageBreakBefore w:val="0"/>
        <w:kinsoku/>
        <w:wordWrap/>
        <w:overflowPunct/>
        <w:topLinePunct w:val="0"/>
        <w:bidi w:val="0"/>
        <w:spacing w:line="720" w:lineRule="auto"/>
        <w:ind w:firstLine="2695"/>
        <w:textAlignment w:val="auto"/>
        <w:rPr>
          <w:rFonts w:ascii="Arial" w:hAnsi="Arial" w:cs="Arial"/>
          <w:sz w:val="28"/>
        </w:rPr>
      </w:pPr>
    </w:p>
    <w:p w14:paraId="0E5DA59D">
      <w:pPr>
        <w:pStyle w:val="9"/>
        <w:pageBreakBefore w:val="0"/>
        <w:kinsoku/>
        <w:wordWrap/>
        <w:overflowPunct/>
        <w:topLinePunct w:val="0"/>
        <w:bidi w:val="0"/>
        <w:spacing w:line="440" w:lineRule="exact"/>
        <w:ind w:firstLine="2695"/>
        <w:textAlignment w:val="auto"/>
        <w:rPr>
          <w:rFonts w:ascii="Arial" w:hAnsi="Arial" w:cs="Arial"/>
          <w:sz w:val="28"/>
        </w:rPr>
      </w:pPr>
    </w:p>
    <w:p w14:paraId="06158B38">
      <w:pPr>
        <w:pStyle w:val="9"/>
        <w:pageBreakBefore w:val="0"/>
        <w:kinsoku/>
        <w:wordWrap/>
        <w:overflowPunct/>
        <w:topLinePunct w:val="0"/>
        <w:bidi w:val="0"/>
        <w:spacing w:line="440" w:lineRule="exact"/>
        <w:ind w:firstLine="2695"/>
        <w:textAlignment w:val="auto"/>
        <w:rPr>
          <w:rFonts w:ascii="Arial" w:hAnsi="Arial" w:cs="Arial"/>
          <w:sz w:val="28"/>
        </w:rPr>
      </w:pPr>
    </w:p>
    <w:p w14:paraId="44231CD6">
      <w:pPr>
        <w:pStyle w:val="9"/>
        <w:pageBreakBefore w:val="0"/>
        <w:kinsoku/>
        <w:wordWrap/>
        <w:overflowPunct/>
        <w:topLinePunct w:val="0"/>
        <w:bidi w:val="0"/>
        <w:spacing w:line="440" w:lineRule="exact"/>
        <w:textAlignment w:val="auto"/>
        <w:rPr>
          <w:rFonts w:ascii="Arial" w:hAnsi="Arial" w:cs="Arial"/>
          <w:sz w:val="28"/>
        </w:rPr>
      </w:pPr>
    </w:p>
    <w:p w14:paraId="4E86A918">
      <w:pPr>
        <w:pStyle w:val="9"/>
        <w:pageBreakBefore w:val="0"/>
        <w:kinsoku/>
        <w:wordWrap/>
        <w:overflowPunct/>
        <w:topLinePunct w:val="0"/>
        <w:bidi w:val="0"/>
        <w:spacing w:line="440" w:lineRule="exact"/>
        <w:textAlignment w:val="auto"/>
        <w:rPr>
          <w:rFonts w:ascii="Arial" w:hAnsi="Arial" w:cs="Arial"/>
          <w:sz w:val="28"/>
        </w:rPr>
      </w:pPr>
    </w:p>
    <w:p w14:paraId="1205D976">
      <w:pPr>
        <w:pStyle w:val="9"/>
        <w:pageBreakBefore w:val="0"/>
        <w:kinsoku/>
        <w:wordWrap/>
        <w:overflowPunct/>
        <w:topLinePunct w:val="0"/>
        <w:bidi w:val="0"/>
        <w:spacing w:line="440" w:lineRule="exact"/>
        <w:textAlignment w:val="auto"/>
        <w:rPr>
          <w:rFonts w:ascii="Arial" w:hAnsi="Arial" w:cs="Arial"/>
          <w:sz w:val="28"/>
        </w:rPr>
      </w:pPr>
    </w:p>
    <w:p w14:paraId="6EB18886">
      <w:pPr>
        <w:pStyle w:val="9"/>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rPr>
      </w:pPr>
    </w:p>
    <w:p w14:paraId="248DDAD3">
      <w:pPr>
        <w:pStyle w:val="9"/>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rPr>
      </w:pPr>
    </w:p>
    <w:p w14:paraId="7D7FC181">
      <w:pPr>
        <w:pStyle w:val="9"/>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rPr>
      </w:pPr>
    </w:p>
    <w:p w14:paraId="18A865CC">
      <w:pPr>
        <w:pStyle w:val="9"/>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rPr>
      </w:pPr>
    </w:p>
    <w:p w14:paraId="3B2A31E6">
      <w:pPr>
        <w:pStyle w:val="9"/>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rPr>
        <w:t>202</w:t>
      </w:r>
      <w:r>
        <w:rPr>
          <w:rFonts w:hint="eastAsia" w:hAnsi="宋体" w:cs="宋体"/>
          <w:b/>
          <w:bCs/>
          <w:sz w:val="36"/>
          <w:szCs w:val="36"/>
          <w:highlight w:val="none"/>
          <w:lang w:val="en-US" w:eastAsia="zh-CN"/>
        </w:rPr>
        <w:t>5</w:t>
      </w:r>
      <w:r>
        <w:rPr>
          <w:rFonts w:hint="eastAsia" w:ascii="宋体" w:hAnsi="宋体" w:eastAsia="宋体" w:cs="宋体"/>
          <w:b/>
          <w:bCs/>
          <w:sz w:val="36"/>
          <w:szCs w:val="36"/>
          <w:highlight w:val="none"/>
        </w:rPr>
        <w:t>年</w:t>
      </w:r>
      <w:r>
        <w:rPr>
          <w:rFonts w:hint="eastAsia" w:hAnsi="宋体" w:cs="宋体"/>
          <w:b/>
          <w:bCs/>
          <w:sz w:val="36"/>
          <w:szCs w:val="36"/>
          <w:highlight w:val="none"/>
          <w:lang w:val="en-US" w:eastAsia="zh-CN"/>
        </w:rPr>
        <w:t xml:space="preserve"> 3</w:t>
      </w:r>
      <w:r>
        <w:rPr>
          <w:rFonts w:hint="eastAsia" w:ascii="宋体" w:hAnsi="宋体" w:eastAsia="宋体" w:cs="宋体"/>
          <w:b/>
          <w:bCs/>
          <w:sz w:val="36"/>
          <w:szCs w:val="36"/>
          <w:highlight w:val="none"/>
          <w:lang w:val="en-US" w:eastAsia="zh-CN"/>
        </w:rPr>
        <w:t>月</w:t>
      </w:r>
      <w:r>
        <w:rPr>
          <w:rFonts w:hint="eastAsia" w:hAnsi="宋体" w:cs="宋体"/>
          <w:b/>
          <w:bCs/>
          <w:sz w:val="36"/>
          <w:szCs w:val="36"/>
          <w:highlight w:val="none"/>
          <w:lang w:val="en-US" w:eastAsia="zh-CN"/>
        </w:rPr>
        <w:t xml:space="preserve">    </w:t>
      </w:r>
      <w:r>
        <w:rPr>
          <w:rFonts w:hint="eastAsia" w:ascii="宋体" w:hAnsi="宋体" w:eastAsia="宋体" w:cs="宋体"/>
          <w:b/>
          <w:bCs/>
          <w:sz w:val="36"/>
          <w:szCs w:val="36"/>
          <w:highlight w:val="none"/>
          <w:lang w:val="en-US" w:eastAsia="zh-CN"/>
        </w:rPr>
        <w:t>日</w:t>
      </w:r>
    </w:p>
    <w:p w14:paraId="680C5ED8">
      <w:pPr>
        <w:pStyle w:val="9"/>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p>
    <w:p w14:paraId="26C1C888">
      <w:pPr>
        <w:pStyle w:val="9"/>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p>
    <w:p w14:paraId="59F767DA">
      <w:pPr>
        <w:pStyle w:val="9"/>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p>
    <w:p w14:paraId="755E0338">
      <w:pPr>
        <w:pStyle w:val="9"/>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p>
    <w:p w14:paraId="7DA936F1">
      <w:pPr>
        <w:pStyle w:val="9"/>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p>
    <w:p w14:paraId="047EC262">
      <w:pPr>
        <w:pStyle w:val="9"/>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p>
    <w:p w14:paraId="03A7D092">
      <w:pPr>
        <w:pStyle w:val="9"/>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p>
    <w:p w14:paraId="4D1C5B2C">
      <w:pPr>
        <w:pStyle w:val="9"/>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p>
    <w:p w14:paraId="1573431D">
      <w:pPr>
        <w:pStyle w:val="25"/>
        <w:pageBreakBefore w:val="0"/>
        <w:kinsoku/>
        <w:wordWrap/>
        <w:overflowPunct/>
        <w:topLinePunct w:val="0"/>
        <w:bidi w:val="0"/>
        <w:spacing w:before="0" w:after="0" w:line="440" w:lineRule="exact"/>
        <w:ind w:left="0" w:leftChars="0" w:firstLine="0" w:firstLineChars="0"/>
        <w:jc w:val="center"/>
        <w:textAlignment w:val="auto"/>
        <w:rPr>
          <w:rFonts w:ascii="Arial" w:hAnsi="宋体" w:eastAsia="宋体" w:cs="Arial"/>
          <w:b/>
          <w:bCs/>
          <w:color w:val="auto"/>
          <w:sz w:val="44"/>
          <w:szCs w:val="44"/>
          <w:lang w:val="zh-CN"/>
        </w:rPr>
      </w:pPr>
      <w:r>
        <w:rPr>
          <w:rFonts w:ascii="Arial" w:hAnsi="宋体" w:eastAsia="宋体" w:cs="Arial"/>
          <w:b/>
          <w:bCs/>
          <w:color w:val="auto"/>
          <w:sz w:val="44"/>
          <w:szCs w:val="44"/>
          <w:lang w:val="zh-CN"/>
        </w:rPr>
        <w:t>目</w:t>
      </w:r>
      <w:r>
        <w:rPr>
          <w:rFonts w:hint="eastAsia" w:ascii="Arial" w:hAnsi="宋体" w:eastAsia="宋体" w:cs="Arial"/>
          <w:b/>
          <w:bCs/>
          <w:color w:val="auto"/>
          <w:sz w:val="44"/>
          <w:szCs w:val="44"/>
          <w:lang w:val="zh-CN" w:eastAsia="zh-CN"/>
        </w:rPr>
        <w:t xml:space="preserve"> </w:t>
      </w:r>
      <w:r>
        <w:rPr>
          <w:rFonts w:hint="eastAsia" w:ascii="Arial" w:hAnsi="宋体" w:eastAsia="宋体" w:cs="Arial"/>
          <w:b/>
          <w:bCs/>
          <w:color w:val="auto"/>
          <w:sz w:val="44"/>
          <w:szCs w:val="44"/>
          <w:lang w:val="en-US" w:eastAsia="zh-CN"/>
        </w:rPr>
        <w:t xml:space="preserve">  </w:t>
      </w:r>
      <w:r>
        <w:rPr>
          <w:rFonts w:ascii="Arial" w:hAnsi="宋体" w:eastAsia="宋体" w:cs="Arial"/>
          <w:b/>
          <w:bCs/>
          <w:color w:val="auto"/>
          <w:sz w:val="44"/>
          <w:szCs w:val="44"/>
          <w:lang w:val="zh-CN"/>
        </w:rPr>
        <w:t>录</w:t>
      </w:r>
    </w:p>
    <w:p w14:paraId="71E2263F">
      <w:pPr>
        <w:pageBreakBefore w:val="0"/>
        <w:kinsoku/>
        <w:wordWrap/>
        <w:overflowPunct/>
        <w:topLinePunct w:val="0"/>
        <w:bidi w:val="0"/>
        <w:spacing w:line="440" w:lineRule="exact"/>
        <w:textAlignment w:val="auto"/>
      </w:pPr>
    </w:p>
    <w:p w14:paraId="4BB20BF5">
      <w:pPr>
        <w:pStyle w:val="8"/>
        <w:keepNext w:val="0"/>
        <w:keepLines w:val="0"/>
        <w:pageBreakBefore w:val="0"/>
        <w:widowControl w:val="0"/>
        <w:tabs>
          <w:tab w:val="right" w:leader="dot" w:pos="9628"/>
        </w:tabs>
        <w:kinsoku/>
        <w:wordWrap/>
        <w:overflowPunct/>
        <w:topLinePunct w:val="0"/>
        <w:autoSpaceDE/>
        <w:autoSpaceDN/>
        <w:bidi w:val="0"/>
        <w:adjustRightInd/>
        <w:snapToGrid/>
        <w:spacing w:line="540" w:lineRule="exact"/>
        <w:ind w:left="0" w:leftChars="0"/>
        <w:textAlignment w:val="auto"/>
        <w:rPr>
          <w:rFonts w:ascii="Arial" w:hAnsi="Arial" w:cs="Arial"/>
          <w:sz w:val="24"/>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rPr>
          <w:rFonts w:ascii="Arial" w:hAnsi="Arial" w:cs="Arial"/>
          <w:sz w:val="24"/>
        </w:rPr>
        <w:fldChar w:fldCharType="begin"/>
      </w:r>
      <w:r>
        <w:rPr>
          <w:rStyle w:val="20"/>
          <w:rFonts w:ascii="Arial" w:hAnsi="Arial" w:cs="Arial"/>
          <w:color w:val="auto"/>
          <w:sz w:val="24"/>
        </w:rPr>
        <w:instrText xml:space="preserve"> </w:instrText>
      </w:r>
      <w:r>
        <w:rPr>
          <w:rFonts w:ascii="Arial" w:hAnsi="Arial" w:cs="Arial"/>
          <w:sz w:val="24"/>
        </w:rPr>
        <w:instrText xml:space="preserve">HYPERLINK \l "_Toc33820534"</w:instrText>
      </w:r>
      <w:r>
        <w:rPr>
          <w:rStyle w:val="20"/>
          <w:rFonts w:ascii="Arial" w:hAnsi="Arial" w:cs="Arial"/>
          <w:color w:val="auto"/>
          <w:sz w:val="24"/>
        </w:rPr>
        <w:instrText xml:space="preserve"> </w:instrText>
      </w:r>
      <w:r>
        <w:rPr>
          <w:rFonts w:ascii="Arial" w:hAnsi="Arial" w:cs="Arial"/>
          <w:sz w:val="24"/>
        </w:rPr>
        <w:fldChar w:fldCharType="separate"/>
      </w:r>
      <w:r>
        <w:rPr>
          <w:rStyle w:val="20"/>
          <w:rFonts w:ascii="Arial" w:cs="Arial"/>
          <w:color w:val="auto"/>
          <w:sz w:val="24"/>
        </w:rPr>
        <w:t>第一章</w:t>
      </w:r>
      <w:r>
        <w:rPr>
          <w:rStyle w:val="20"/>
          <w:rFonts w:ascii="Arial" w:hAnsi="Arial" w:cs="Arial"/>
          <w:color w:val="auto"/>
          <w:sz w:val="24"/>
        </w:rPr>
        <w:t xml:space="preserve">  </w:t>
      </w:r>
      <w:r>
        <w:rPr>
          <w:rStyle w:val="20"/>
          <w:rFonts w:hint="eastAsia" w:ascii="Arial" w:cs="Arial"/>
          <w:color w:val="auto"/>
          <w:sz w:val="24"/>
          <w:lang w:val="en-US" w:eastAsia="zh-CN"/>
        </w:rPr>
        <w:t>议价</w:t>
      </w:r>
      <w:r>
        <w:rPr>
          <w:rStyle w:val="20"/>
          <w:rFonts w:ascii="Arial" w:cs="Arial"/>
          <w:color w:val="auto"/>
          <w:sz w:val="24"/>
        </w:rPr>
        <w:t>公告</w:t>
      </w:r>
      <w:r>
        <w:rPr>
          <w:rFonts w:ascii="Arial" w:hAnsi="Arial" w:cs="Arial"/>
          <w:sz w:val="24"/>
        </w:rPr>
        <w:tab/>
      </w:r>
      <w:r>
        <w:rPr>
          <w:rFonts w:hint="eastAsia" w:ascii="Arial" w:hAnsi="Arial" w:cs="Arial"/>
          <w:sz w:val="24"/>
          <w:lang w:val="en-US" w:eastAsia="zh-CN"/>
        </w:rPr>
        <w:t>3</w:t>
      </w:r>
      <w:r>
        <w:rPr>
          <w:rFonts w:ascii="Arial" w:hAnsi="Arial" w:cs="Arial"/>
          <w:sz w:val="24"/>
        </w:rPr>
        <w:fldChar w:fldCharType="end"/>
      </w:r>
    </w:p>
    <w:p w14:paraId="7A7D72B1">
      <w:pPr>
        <w:pStyle w:val="8"/>
        <w:keepNext w:val="0"/>
        <w:keepLines w:val="0"/>
        <w:pageBreakBefore w:val="0"/>
        <w:widowControl w:val="0"/>
        <w:tabs>
          <w:tab w:val="right" w:leader="dot" w:pos="9628"/>
        </w:tabs>
        <w:kinsoku/>
        <w:wordWrap/>
        <w:overflowPunct/>
        <w:topLinePunct w:val="0"/>
        <w:autoSpaceDE/>
        <w:autoSpaceDN/>
        <w:bidi w:val="0"/>
        <w:adjustRightInd/>
        <w:snapToGrid/>
        <w:spacing w:line="540" w:lineRule="exact"/>
        <w:ind w:left="0" w:leftChars="0"/>
        <w:textAlignment w:val="auto"/>
        <w:rPr>
          <w:rFonts w:hint="eastAsia" w:ascii="Arial" w:hAnsi="Arial" w:eastAsia="宋体" w:cs="Arial"/>
          <w:sz w:val="24"/>
          <w:lang w:val="en-US" w:eastAsia="zh-CN"/>
        </w:rPr>
      </w:pPr>
      <w:r>
        <w:rPr>
          <w:rFonts w:ascii="Arial" w:hAnsi="Arial" w:cs="Arial"/>
          <w:sz w:val="24"/>
        </w:rPr>
        <w:fldChar w:fldCharType="begin"/>
      </w:r>
      <w:r>
        <w:rPr>
          <w:rStyle w:val="20"/>
          <w:rFonts w:ascii="Arial" w:hAnsi="Arial" w:cs="Arial"/>
          <w:color w:val="auto"/>
          <w:sz w:val="24"/>
        </w:rPr>
        <w:instrText xml:space="preserve"> </w:instrText>
      </w:r>
      <w:r>
        <w:rPr>
          <w:rFonts w:ascii="Arial" w:hAnsi="Arial" w:cs="Arial"/>
          <w:sz w:val="24"/>
        </w:rPr>
        <w:instrText xml:space="preserve">HYPERLINK \l "_Toc33820536"</w:instrText>
      </w:r>
      <w:r>
        <w:rPr>
          <w:rStyle w:val="20"/>
          <w:rFonts w:ascii="Arial" w:hAnsi="Arial" w:cs="Arial"/>
          <w:color w:val="auto"/>
          <w:sz w:val="24"/>
        </w:rPr>
        <w:instrText xml:space="preserve"> </w:instrText>
      </w:r>
      <w:r>
        <w:rPr>
          <w:rFonts w:ascii="Arial" w:hAnsi="Arial" w:cs="Arial"/>
          <w:sz w:val="24"/>
        </w:rPr>
        <w:fldChar w:fldCharType="separate"/>
      </w:r>
      <w:r>
        <w:rPr>
          <w:rStyle w:val="20"/>
          <w:rFonts w:ascii="Arial" w:cs="Arial"/>
          <w:color w:val="auto"/>
          <w:sz w:val="24"/>
        </w:rPr>
        <w:t>第</w:t>
      </w:r>
      <w:r>
        <w:rPr>
          <w:rStyle w:val="20"/>
          <w:rFonts w:hint="eastAsia" w:ascii="Arial" w:cs="Arial"/>
          <w:color w:val="auto"/>
          <w:sz w:val="24"/>
          <w:lang w:val="en-US" w:eastAsia="zh-CN"/>
        </w:rPr>
        <w:t>二</w:t>
      </w:r>
      <w:r>
        <w:rPr>
          <w:rStyle w:val="20"/>
          <w:rFonts w:ascii="Arial" w:cs="Arial"/>
          <w:color w:val="auto"/>
          <w:sz w:val="24"/>
        </w:rPr>
        <w:t>章</w:t>
      </w:r>
      <w:r>
        <w:rPr>
          <w:rStyle w:val="20"/>
          <w:rFonts w:ascii="Arial" w:hAnsi="Arial" w:cs="Arial"/>
          <w:color w:val="auto"/>
          <w:sz w:val="24"/>
        </w:rPr>
        <w:t xml:space="preserve">  </w:t>
      </w:r>
      <w:r>
        <w:rPr>
          <w:rStyle w:val="20"/>
          <w:rFonts w:ascii="Arial" w:cs="Arial"/>
          <w:color w:val="auto"/>
          <w:sz w:val="24"/>
        </w:rPr>
        <w:t>项目需求和说明</w:t>
      </w:r>
      <w:r>
        <w:rPr>
          <w:rFonts w:ascii="Arial" w:hAnsi="Arial" w:cs="Arial"/>
          <w:sz w:val="24"/>
        </w:rPr>
        <w:tab/>
      </w:r>
      <w:r>
        <w:rPr>
          <w:rFonts w:hint="eastAsia" w:ascii="Arial" w:hAnsi="Arial" w:cs="Arial"/>
          <w:sz w:val="24"/>
          <w:lang w:val="en-US" w:eastAsia="zh-CN"/>
        </w:rPr>
        <w:t>5</w:t>
      </w:r>
      <w:r>
        <w:rPr>
          <w:rFonts w:ascii="Arial" w:hAnsi="Arial" w:cs="Arial"/>
          <w:sz w:val="24"/>
        </w:rPr>
        <w:fldChar w:fldCharType="end"/>
      </w:r>
    </w:p>
    <w:p w14:paraId="2D0274D0">
      <w:pPr>
        <w:pStyle w:val="8"/>
        <w:keepNext w:val="0"/>
        <w:keepLines w:val="0"/>
        <w:pageBreakBefore w:val="0"/>
        <w:widowControl w:val="0"/>
        <w:tabs>
          <w:tab w:val="right" w:leader="dot" w:pos="9628"/>
        </w:tabs>
        <w:kinsoku/>
        <w:wordWrap/>
        <w:overflowPunct/>
        <w:topLinePunct w:val="0"/>
        <w:autoSpaceDE/>
        <w:autoSpaceDN/>
        <w:bidi w:val="0"/>
        <w:adjustRightInd/>
        <w:snapToGrid/>
        <w:spacing w:line="540" w:lineRule="exact"/>
        <w:ind w:left="0" w:leftChars="0"/>
        <w:textAlignment w:val="auto"/>
        <w:rPr>
          <w:rFonts w:hint="eastAsia" w:ascii="Arial" w:hAnsi="Arial" w:eastAsia="宋体" w:cs="Arial"/>
          <w:sz w:val="24"/>
          <w:lang w:val="en-US" w:eastAsia="zh-CN"/>
        </w:rPr>
      </w:pPr>
      <w:r>
        <w:rPr>
          <w:rFonts w:ascii="Arial" w:hAnsi="Arial" w:cs="Arial"/>
          <w:sz w:val="24"/>
        </w:rPr>
        <w:fldChar w:fldCharType="begin"/>
      </w:r>
      <w:r>
        <w:rPr>
          <w:rFonts w:ascii="Arial" w:hAnsi="Arial" w:cs="Arial"/>
          <w:sz w:val="24"/>
        </w:rPr>
        <w:instrText xml:space="preserve"> HYPERLINK \l "_Toc33820539" </w:instrText>
      </w:r>
      <w:r>
        <w:rPr>
          <w:rFonts w:ascii="Arial" w:hAnsi="Arial" w:cs="Arial"/>
          <w:sz w:val="24"/>
        </w:rPr>
        <w:fldChar w:fldCharType="separate"/>
      </w:r>
      <w:r>
        <w:rPr>
          <w:rFonts w:ascii="Arial" w:hAnsi="Arial" w:cs="Arial"/>
          <w:sz w:val="24"/>
        </w:rPr>
        <w:t>第</w:t>
      </w:r>
      <w:r>
        <w:rPr>
          <w:rFonts w:hint="eastAsia" w:ascii="Arial" w:hAnsi="Arial" w:cs="Arial"/>
          <w:sz w:val="24"/>
          <w:lang w:val="en-US" w:eastAsia="zh-CN"/>
        </w:rPr>
        <w:t>三</w:t>
      </w:r>
      <w:r>
        <w:rPr>
          <w:rFonts w:ascii="Arial" w:hAnsi="Arial" w:cs="Arial"/>
          <w:sz w:val="24"/>
        </w:rPr>
        <w:t>章  评</w:t>
      </w:r>
      <w:r>
        <w:rPr>
          <w:rFonts w:hint="eastAsia" w:ascii="Arial" w:hAnsi="Arial" w:cs="Arial"/>
          <w:sz w:val="24"/>
          <w:lang w:val="en-US" w:eastAsia="zh-CN"/>
        </w:rPr>
        <w:t>分</w:t>
      </w:r>
      <w:r>
        <w:rPr>
          <w:rFonts w:ascii="Arial" w:hAnsi="Arial" w:cs="Arial"/>
          <w:sz w:val="24"/>
        </w:rPr>
        <w:t>标准</w:t>
      </w:r>
      <w:r>
        <w:rPr>
          <w:rFonts w:ascii="Arial" w:hAnsi="Arial" w:cs="Arial"/>
          <w:sz w:val="24"/>
        </w:rPr>
        <w:tab/>
      </w:r>
      <w:r>
        <w:rPr>
          <w:rFonts w:hint="eastAsia" w:ascii="Arial" w:hAnsi="Arial" w:cs="Arial"/>
          <w:sz w:val="24"/>
          <w:lang w:val="en-US" w:eastAsia="zh-CN"/>
        </w:rPr>
        <w:t>2</w:t>
      </w:r>
      <w:r>
        <w:rPr>
          <w:rFonts w:ascii="Arial" w:hAnsi="Arial" w:cs="Arial"/>
          <w:sz w:val="24"/>
        </w:rPr>
        <w:fldChar w:fldCharType="end"/>
      </w:r>
      <w:r>
        <w:rPr>
          <w:rFonts w:hint="eastAsia" w:ascii="Arial" w:hAnsi="Arial" w:cs="Arial"/>
          <w:sz w:val="24"/>
          <w:lang w:val="en-US" w:eastAsia="zh-CN"/>
        </w:rPr>
        <w:t>5</w:t>
      </w:r>
    </w:p>
    <w:p w14:paraId="18C5CF39">
      <w:pPr>
        <w:pStyle w:val="8"/>
        <w:keepNext w:val="0"/>
        <w:keepLines w:val="0"/>
        <w:pageBreakBefore w:val="0"/>
        <w:widowControl w:val="0"/>
        <w:tabs>
          <w:tab w:val="right" w:leader="dot" w:pos="9628"/>
        </w:tabs>
        <w:kinsoku/>
        <w:wordWrap/>
        <w:overflowPunct/>
        <w:topLinePunct w:val="0"/>
        <w:autoSpaceDE/>
        <w:autoSpaceDN/>
        <w:bidi w:val="0"/>
        <w:adjustRightInd/>
        <w:snapToGrid/>
        <w:spacing w:line="540" w:lineRule="exact"/>
        <w:ind w:left="0" w:leftChars="0"/>
        <w:textAlignment w:val="auto"/>
        <w:rPr>
          <w:rFonts w:hint="default" w:ascii="Arial" w:hAnsi="Arial" w:cs="Arial"/>
          <w:sz w:val="24"/>
          <w:lang w:val="en-US" w:eastAsia="zh-CN"/>
        </w:rPr>
      </w:pPr>
      <w:r>
        <w:rPr>
          <w:rFonts w:hint="eastAsia" w:ascii="Arial" w:hAnsi="Arial" w:cs="Arial"/>
          <w:sz w:val="24"/>
          <w:lang w:val="en-US" w:eastAsia="zh-CN"/>
        </w:rPr>
        <w:t>第四章  议价文件格式</w:t>
      </w:r>
      <w:r>
        <w:rPr>
          <w:rFonts w:ascii="Arial" w:hAnsi="Arial" w:cs="Arial"/>
          <w:sz w:val="24"/>
        </w:rPr>
        <w:tab/>
      </w:r>
      <w:r>
        <w:rPr>
          <w:rFonts w:hint="default" w:ascii="Arial" w:hAnsi="Arial" w:cs="Arial"/>
          <w:sz w:val="24"/>
        </w:rPr>
        <w:t>……………………………………………………………………………</w:t>
      </w:r>
      <w:r>
        <w:rPr>
          <w:rFonts w:hint="eastAsia" w:ascii="Arial" w:hAnsi="Arial" w:cs="Arial"/>
          <w:sz w:val="24"/>
          <w:lang w:val="en-US" w:eastAsia="zh-CN"/>
        </w:rPr>
        <w:t>27</w:t>
      </w:r>
    </w:p>
    <w:p w14:paraId="4338AC0D">
      <w:pPr>
        <w:rPr>
          <w:rFonts w:hint="eastAsia"/>
          <w:lang w:val="en-US" w:eastAsia="zh-CN"/>
        </w:rPr>
      </w:pPr>
    </w:p>
    <w:p w14:paraId="1454246B">
      <w:pPr>
        <w:keepNext w:val="0"/>
        <w:keepLines w:val="0"/>
        <w:pageBreakBefore w:val="0"/>
        <w:widowControl w:val="0"/>
        <w:kinsoku/>
        <w:wordWrap/>
        <w:overflowPunct/>
        <w:topLinePunct w:val="0"/>
        <w:bidi w:val="0"/>
        <w:adjustRightInd/>
        <w:spacing w:line="440" w:lineRule="exact"/>
        <w:ind w:left="0" w:right="0" w:rightChars="0"/>
        <w:jc w:val="center"/>
        <w:rPr>
          <w:rFonts w:ascii="Arial" w:hAnsi="Arial" w:cs="Arial"/>
          <w:b/>
          <w:bCs/>
          <w:lang w:val="zh-CN"/>
        </w:rPr>
      </w:pPr>
      <w:r>
        <w:rPr>
          <w:rFonts w:ascii="Arial" w:hAnsi="Arial" w:cs="Arial"/>
          <w:b/>
          <w:bCs/>
          <w:lang w:val="zh-CN"/>
        </w:rPr>
        <w:fldChar w:fldCharType="end"/>
      </w:r>
    </w:p>
    <w:p w14:paraId="640EF3CB">
      <w:pPr>
        <w:rPr>
          <w:rFonts w:ascii="Arial" w:hAnsi="Arial" w:cs="Arial"/>
          <w:b/>
          <w:bCs/>
          <w:lang w:val="zh-CN"/>
        </w:rPr>
      </w:pPr>
      <w:r>
        <w:rPr>
          <w:rFonts w:ascii="Arial" w:hAnsi="Arial" w:cs="Arial"/>
          <w:b/>
          <w:bCs/>
          <w:lang w:val="zh-CN"/>
        </w:rPr>
        <w:br w:type="page"/>
      </w:r>
    </w:p>
    <w:p w14:paraId="3307BB4B">
      <w:pPr>
        <w:rPr>
          <w:rFonts w:ascii="Arial" w:hAnsi="Arial" w:cs="Arial"/>
          <w:b/>
          <w:bCs/>
          <w:lang w:val="zh-CN"/>
        </w:rPr>
      </w:pPr>
    </w:p>
    <w:p w14:paraId="3C95B989">
      <w:pPr>
        <w:keepNext w:val="0"/>
        <w:keepLines w:val="0"/>
        <w:pageBreakBefore w:val="0"/>
        <w:widowControl w:val="0"/>
        <w:kinsoku/>
        <w:wordWrap/>
        <w:overflowPunct/>
        <w:topLinePunct w:val="0"/>
        <w:bidi w:val="0"/>
        <w:adjustRightInd/>
        <w:spacing w:line="440" w:lineRule="exact"/>
        <w:ind w:left="0" w:right="0" w:rightChars="0"/>
        <w:jc w:val="center"/>
        <w:rPr>
          <w:rFonts w:hint="eastAsia" w:asciiTheme="majorEastAsia" w:hAnsiTheme="majorEastAsia" w:eastAsiaTheme="majorEastAsia" w:cstheme="majorEastAsia"/>
          <w:b/>
          <w:bCs/>
          <w:sz w:val="28"/>
          <w:szCs w:val="28"/>
        </w:rPr>
      </w:pPr>
      <w:r>
        <w:rPr>
          <w:rFonts w:hint="eastAsia" w:ascii="宋体" w:hAnsi="宋体" w:cs="宋体"/>
          <w:b/>
          <w:bCs/>
          <w:color w:val="000000" w:themeColor="text1"/>
          <w:sz w:val="32"/>
          <w:szCs w:val="32"/>
          <w:lang w:val="en-US" w:eastAsia="zh-CN"/>
          <w14:textFill>
            <w14:solidFill>
              <w14:schemeClr w14:val="tx1"/>
            </w14:solidFill>
          </w14:textFill>
        </w:rPr>
        <w:t>第一章  议价</w:t>
      </w:r>
      <w:r>
        <w:rPr>
          <w:rFonts w:hint="eastAsia" w:ascii="宋体" w:hAnsi="宋体" w:eastAsia="宋体" w:cs="宋体"/>
          <w:b/>
          <w:bCs/>
          <w:color w:val="000000" w:themeColor="text1"/>
          <w:sz w:val="32"/>
          <w:szCs w:val="32"/>
          <w14:textFill>
            <w14:solidFill>
              <w14:schemeClr w14:val="tx1"/>
            </w14:solidFill>
          </w14:textFill>
        </w:rPr>
        <w:t>公告</w:t>
      </w:r>
    </w:p>
    <w:p w14:paraId="43A69D8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w:t>
      </w:r>
    </w:p>
    <w:p w14:paraId="438904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现有桂林市人民医院北门社区基层一体化信息系统项目采购，为确保项目质优价廉，决定通过院内</w:t>
      </w:r>
      <w:r>
        <w:rPr>
          <w:rFonts w:hint="eastAsia" w:asciiTheme="minorEastAsia" w:hAnsiTheme="minorEastAsia" w:eastAsiaTheme="minorEastAsia" w:cstheme="minorEastAsia"/>
          <w:sz w:val="24"/>
          <w:szCs w:val="24"/>
          <w:lang w:val="en-US" w:eastAsia="zh-CN"/>
        </w:rPr>
        <w:t>议</w:t>
      </w:r>
      <w:r>
        <w:rPr>
          <w:rFonts w:hint="eastAsia" w:asciiTheme="minorEastAsia" w:hAnsiTheme="minorEastAsia" w:eastAsiaTheme="minorEastAsia" w:cstheme="minorEastAsia"/>
          <w:sz w:val="24"/>
          <w:szCs w:val="24"/>
        </w:rPr>
        <w:t>价确定供应商，现将有关内容公告如下：</w:t>
      </w:r>
    </w:p>
    <w:p w14:paraId="629EF71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一、项目基本情况：</w:t>
      </w:r>
    </w:p>
    <w:p w14:paraId="44BFC90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项目名称：桂林市人民医院北门社区基层一体化信息系统</w:t>
      </w:r>
    </w:p>
    <w:p w14:paraId="1FEC890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lang w:val="en-US" w:eastAsia="zh-CN"/>
        </w:rPr>
        <w:t>XXK-2025-002</w:t>
      </w:r>
    </w:p>
    <w:p w14:paraId="5CD2D7B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资金来源：自</w:t>
      </w:r>
      <w:r>
        <w:rPr>
          <w:rFonts w:hint="eastAsia" w:asciiTheme="minorEastAsia" w:hAnsiTheme="minorEastAsia" w:eastAsiaTheme="minorEastAsia" w:cstheme="minorEastAsia"/>
          <w:sz w:val="24"/>
          <w:szCs w:val="24"/>
          <w:lang w:val="en-US" w:eastAsia="zh-CN"/>
        </w:rPr>
        <w:t>有</w:t>
      </w:r>
      <w:r>
        <w:rPr>
          <w:rFonts w:hint="eastAsia" w:asciiTheme="minorEastAsia" w:hAnsiTheme="minorEastAsia" w:eastAsiaTheme="minorEastAsia" w:cstheme="minorEastAsia"/>
          <w:sz w:val="24"/>
          <w:szCs w:val="24"/>
        </w:rPr>
        <w:t>资金</w:t>
      </w:r>
    </w:p>
    <w:p w14:paraId="1F6E380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cstheme="minorEastAsia"/>
          <w:sz w:val="24"/>
          <w:szCs w:val="24"/>
          <w:lang w:val="en-US" w:eastAsia="zh-CN"/>
        </w:rPr>
        <w:t>.</w:t>
      </w:r>
      <w:r>
        <w:rPr>
          <w:rFonts w:hint="eastAsia" w:ascii="宋体" w:hAnsi="宋体" w:eastAsia="宋体" w:cs="宋体"/>
          <w:b w:val="0"/>
          <w:bCs w:val="0"/>
          <w:color w:val="auto"/>
          <w:sz w:val="24"/>
          <w:szCs w:val="24"/>
          <w:lang w:val="en-US" w:eastAsia="zh-CN"/>
        </w:rPr>
        <w:t>最高限价：本项目预算金额为人民币肆拾肆万伍仟元整（¥445000），供应商报价超出参考预算金额的，按无效处理。</w:t>
      </w:r>
    </w:p>
    <w:p w14:paraId="7AAFB33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rPr>
        <w:t>资质条件要求</w:t>
      </w:r>
    </w:p>
    <w:p w14:paraId="0FF6E67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.国内注册【依法在市场监督管理部门（或行政审批部门）登记注册】的，具备合法资格的供应商；</w:t>
      </w:r>
    </w:p>
    <w:p w14:paraId="7F474E3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具</w:t>
      </w:r>
      <w:r>
        <w:rPr>
          <w:rFonts w:hint="eastAsia" w:asciiTheme="minorEastAsia" w:hAnsiTheme="minorEastAsia" w:eastAsiaTheme="minorEastAsia" w:cstheme="minorEastAsia"/>
          <w:sz w:val="24"/>
          <w:szCs w:val="24"/>
          <w:lang w:eastAsia="zh-CN"/>
        </w:rPr>
        <w:t>备</w:t>
      </w:r>
      <w:r>
        <w:rPr>
          <w:rFonts w:hint="eastAsia" w:asciiTheme="minorEastAsia" w:hAnsiTheme="minorEastAsia" w:eastAsiaTheme="minorEastAsia" w:cstheme="minorEastAsia"/>
          <w:sz w:val="24"/>
          <w:szCs w:val="24"/>
        </w:rPr>
        <w:t>履行合同所必需设备和专业技术能力；</w:t>
      </w:r>
    </w:p>
    <w:p w14:paraId="6EBCF5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参加本</w:t>
      </w:r>
      <w:r>
        <w:rPr>
          <w:rFonts w:hint="eastAsia" w:asciiTheme="minorEastAsia" w:hAnsiTheme="minorEastAsia" w:eastAsiaTheme="minorEastAsia" w:cstheme="minorEastAsia"/>
          <w:sz w:val="24"/>
          <w:szCs w:val="24"/>
          <w:lang w:eastAsia="zh-CN"/>
        </w:rPr>
        <w:t>议价采购</w:t>
      </w:r>
      <w:r>
        <w:rPr>
          <w:rFonts w:hint="eastAsia" w:asciiTheme="minorEastAsia" w:hAnsiTheme="minorEastAsia" w:eastAsiaTheme="minorEastAsia" w:cstheme="minorEastAsia"/>
          <w:sz w:val="24"/>
          <w:szCs w:val="24"/>
        </w:rPr>
        <w:t>活动前三年内，在经营活动中没有重大违法记录</w:t>
      </w:r>
      <w:r>
        <w:rPr>
          <w:rFonts w:hint="eastAsia" w:asciiTheme="minorEastAsia" w:hAnsiTheme="minorEastAsia" w:eastAsiaTheme="minorEastAsia" w:cstheme="minorEastAsia"/>
          <w:sz w:val="24"/>
          <w:szCs w:val="24"/>
          <w:lang w:eastAsia="zh-CN"/>
        </w:rPr>
        <w:t>；</w:t>
      </w:r>
    </w:p>
    <w:p w14:paraId="229ED8A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本项目不接受在“信用中国”网站(www.creditchina.gov.cn)被列入失信被执行人、重大税收违法失信主体、严重违法失信行为记录名单的供应商参与报价；</w:t>
      </w:r>
    </w:p>
    <w:p w14:paraId="63E66B3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本项目不接受联合体参与报价。</w:t>
      </w:r>
    </w:p>
    <w:p w14:paraId="79ABD9F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eastAsia="zh-CN"/>
        </w:rPr>
        <w:t>三、</w:t>
      </w:r>
      <w:r>
        <w:rPr>
          <w:rFonts w:hint="eastAsia" w:asciiTheme="minorEastAsia" w:hAnsiTheme="minorEastAsia" w:eastAsiaTheme="minorEastAsia" w:cstheme="minorEastAsia"/>
          <w:b/>
          <w:bCs/>
          <w:sz w:val="24"/>
          <w:szCs w:val="24"/>
          <w:lang w:val="en-US" w:eastAsia="zh-CN"/>
        </w:rPr>
        <w:t>报名</w:t>
      </w:r>
      <w:r>
        <w:rPr>
          <w:rFonts w:hint="eastAsia" w:asciiTheme="minorEastAsia" w:hAnsiTheme="minorEastAsia" w:eastAsiaTheme="minorEastAsia" w:cstheme="minorEastAsia"/>
          <w:b/>
          <w:bCs/>
          <w:sz w:val="24"/>
          <w:szCs w:val="24"/>
          <w:lang w:eastAsia="zh-CN"/>
        </w:rPr>
        <w:t>时间、</w:t>
      </w:r>
      <w:r>
        <w:rPr>
          <w:rFonts w:hint="eastAsia" w:asciiTheme="minorEastAsia" w:hAnsiTheme="minorEastAsia" w:eastAsiaTheme="minorEastAsia" w:cstheme="minorEastAsia"/>
          <w:b/>
          <w:bCs/>
          <w:sz w:val="24"/>
          <w:szCs w:val="24"/>
          <w:lang w:val="en-US" w:eastAsia="zh-CN"/>
        </w:rPr>
        <w:t>方式及获取议价文件方式</w:t>
      </w:r>
    </w:p>
    <w:p w14:paraId="1801F7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报名</w:t>
      </w:r>
      <w:r>
        <w:rPr>
          <w:rFonts w:hint="eastAsia" w:asciiTheme="minorEastAsia" w:hAnsiTheme="minorEastAsia" w:eastAsiaTheme="minorEastAsia" w:cstheme="minorEastAsia"/>
          <w:sz w:val="24"/>
          <w:szCs w:val="24"/>
          <w:lang w:eastAsia="zh-CN"/>
        </w:rPr>
        <w:t>时间：20</w:t>
      </w:r>
      <w:r>
        <w:rPr>
          <w:rFonts w:hint="eastAsia" w:asciiTheme="minorEastAsia" w:hAnsiTheme="minorEastAsia" w:eastAsiaTheme="minorEastAsia" w:cstheme="minorEastAsia"/>
          <w:sz w:val="24"/>
          <w:szCs w:val="24"/>
          <w:lang w:val="en-US" w:eastAsia="zh-CN"/>
        </w:rPr>
        <w:t>25</w:t>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lang w:eastAsia="zh-CN"/>
        </w:rPr>
        <w:t>日至</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lang w:eastAsia="zh-CN"/>
        </w:rPr>
        <w:t>日</w:t>
      </w:r>
      <w:r>
        <w:rPr>
          <w:rFonts w:hint="eastAsia" w:asciiTheme="minorEastAsia" w:hAnsiTheme="minorEastAsia" w:eastAsiaTheme="minorEastAsia" w:cstheme="minorEastAsia"/>
          <w:sz w:val="24"/>
          <w:szCs w:val="24"/>
          <w:lang w:val="en-US" w:eastAsia="zh-CN"/>
        </w:rPr>
        <w:t>17：00时止</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逾期报名无效。</w:t>
      </w:r>
    </w:p>
    <w:p w14:paraId="3CDE010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报名方式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网上报名。请潜在供应商自行下载附件《</w:t>
      </w:r>
      <w:r>
        <w:rPr>
          <w:rFonts w:hint="eastAsia" w:asciiTheme="minorEastAsia" w:hAnsiTheme="minorEastAsia" w:eastAsiaTheme="minorEastAsia" w:cstheme="minorEastAsia"/>
          <w:sz w:val="24"/>
          <w:szCs w:val="24"/>
          <w:lang w:eastAsia="zh-CN"/>
        </w:rPr>
        <w:t>报名表》，</w:t>
      </w:r>
      <w:r>
        <w:rPr>
          <w:rFonts w:hint="eastAsia" w:asciiTheme="minorEastAsia" w:hAnsiTheme="minorEastAsia" w:eastAsiaTheme="minorEastAsia" w:cstheme="minorEastAsia"/>
          <w:sz w:val="24"/>
          <w:szCs w:val="24"/>
          <w:lang w:val="en-US" w:eastAsia="zh-CN"/>
        </w:rPr>
        <w:t>并</w:t>
      </w:r>
      <w:r>
        <w:rPr>
          <w:rFonts w:hint="eastAsia" w:asciiTheme="minorEastAsia" w:hAnsiTheme="minorEastAsia" w:eastAsiaTheme="minorEastAsia" w:cstheme="minorEastAsia"/>
          <w:sz w:val="24"/>
          <w:szCs w:val="24"/>
          <w:lang w:eastAsia="zh-CN"/>
        </w:rPr>
        <w:t>按《</w:t>
      </w:r>
      <w:r>
        <w:rPr>
          <w:rFonts w:hint="eastAsia" w:asciiTheme="minorEastAsia" w:hAnsiTheme="minorEastAsia" w:eastAsiaTheme="minorEastAsia" w:cstheme="minorEastAsia"/>
          <w:sz w:val="24"/>
          <w:szCs w:val="24"/>
          <w:lang w:val="en-US" w:eastAsia="zh-CN"/>
        </w:rPr>
        <w:t>报名表》的格式内容</w:t>
      </w:r>
      <w:r>
        <w:rPr>
          <w:rFonts w:hint="eastAsia" w:asciiTheme="minorEastAsia" w:hAnsiTheme="minorEastAsia" w:eastAsiaTheme="minorEastAsia" w:cstheme="minorEastAsia"/>
          <w:sz w:val="24"/>
          <w:szCs w:val="24"/>
          <w:lang w:eastAsia="zh-CN"/>
        </w:rPr>
        <w:t>填写</w:t>
      </w:r>
      <w:r>
        <w:rPr>
          <w:rFonts w:hint="eastAsia" w:asciiTheme="minorEastAsia" w:hAnsiTheme="minorEastAsia" w:eastAsiaTheme="minorEastAsia" w:cstheme="minorEastAsia"/>
          <w:sz w:val="24"/>
          <w:szCs w:val="24"/>
          <w:lang w:val="en-US" w:eastAsia="zh-CN"/>
        </w:rPr>
        <w:t>相关信息，同时</w:t>
      </w:r>
      <w:r>
        <w:rPr>
          <w:rFonts w:hint="eastAsia" w:asciiTheme="minorEastAsia" w:hAnsiTheme="minorEastAsia" w:eastAsiaTheme="minorEastAsia" w:cstheme="minorEastAsia"/>
          <w:sz w:val="24"/>
          <w:szCs w:val="24"/>
          <w:lang w:eastAsia="zh-CN"/>
        </w:rPr>
        <w:t>附上“信用中国(www.creditchina.gov.cn)”</w:t>
      </w:r>
      <w:r>
        <w:rPr>
          <w:rFonts w:hint="eastAsia" w:asciiTheme="minorEastAsia" w:hAnsiTheme="minorEastAsia" w:eastAsiaTheme="minorEastAsia" w:cstheme="minorEastAsia"/>
          <w:sz w:val="24"/>
          <w:szCs w:val="24"/>
          <w:lang w:val="en-US" w:eastAsia="zh-CN"/>
        </w:rPr>
        <w:t>上打印的信用查询记录，</w:t>
      </w:r>
      <w:r>
        <w:rPr>
          <w:rFonts w:hint="eastAsia" w:asciiTheme="minorEastAsia" w:hAnsiTheme="minorEastAsia" w:eastAsiaTheme="minorEastAsia" w:cstheme="minorEastAsia"/>
          <w:sz w:val="24"/>
          <w:szCs w:val="24"/>
          <w:lang w:eastAsia="zh-CN"/>
        </w:rPr>
        <w:t>以及中国政府采购网(www.ccgp.gov.cn)相关信息。</w:t>
      </w:r>
      <w:r>
        <w:rPr>
          <w:rFonts w:hint="eastAsia" w:asciiTheme="minorEastAsia" w:hAnsiTheme="minorEastAsia" w:eastAsiaTheme="minorEastAsia" w:cstheme="minorEastAsia"/>
          <w:sz w:val="24"/>
          <w:szCs w:val="24"/>
          <w:lang w:val="en-US" w:eastAsia="zh-CN"/>
        </w:rPr>
        <w:t>供应商将上述材料填写准备好后</w:t>
      </w:r>
      <w:r>
        <w:rPr>
          <w:rFonts w:hint="eastAsia" w:asciiTheme="minorEastAsia" w:hAnsiTheme="minorEastAsia" w:eastAsiaTheme="minorEastAsia" w:cstheme="minorEastAsia"/>
          <w:sz w:val="24"/>
          <w:szCs w:val="24"/>
          <w:lang w:eastAsia="zh-CN"/>
        </w:rPr>
        <w:t>发</w:t>
      </w:r>
      <w:r>
        <w:rPr>
          <w:rFonts w:hint="eastAsia" w:asciiTheme="minorEastAsia" w:hAnsiTheme="minorEastAsia" w:eastAsiaTheme="minorEastAsia" w:cstheme="minorEastAsia"/>
          <w:sz w:val="24"/>
          <w:szCs w:val="24"/>
          <w:lang w:val="en-US" w:eastAsia="zh-CN"/>
        </w:rPr>
        <w:t>至</w:t>
      </w:r>
      <w:r>
        <w:rPr>
          <w:rFonts w:hint="eastAsia" w:asciiTheme="minorEastAsia" w:hAnsiTheme="minorEastAsia" w:eastAsiaTheme="minorEastAsia" w:cstheme="minorEastAsia"/>
          <w:sz w:val="24"/>
          <w:szCs w:val="24"/>
          <w:lang w:eastAsia="zh-CN"/>
        </w:rPr>
        <w:t>邮箱（</w:t>
      </w: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"mailto:glsrmyyzbb@163.com"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glsrmyyzbb</w:t>
      </w:r>
      <w:r>
        <w:rPr>
          <w:rFonts w:hint="eastAsia" w:asciiTheme="minorEastAsia" w:hAnsiTheme="minorEastAsia" w:eastAsiaTheme="minorEastAsia" w:cstheme="minorEastAsia"/>
          <w:sz w:val="24"/>
          <w:szCs w:val="24"/>
          <w:lang w:eastAsia="zh-CN"/>
        </w:rPr>
        <w:t>@163.com</w:t>
      </w:r>
      <w:r>
        <w:rPr>
          <w:rFonts w:hint="eastAsia" w:asciiTheme="minorEastAsia" w:hAnsiTheme="minorEastAsia" w:eastAsiaTheme="minorEastAsia" w:cstheme="minorEastAsia"/>
          <w:sz w:val="24"/>
          <w:szCs w:val="24"/>
          <w:lang w:val="en-US" w:eastAsia="zh-CN"/>
        </w:rPr>
        <w:fldChar w:fldCharType="end"/>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eastAsia="zh-CN"/>
        </w:rPr>
        <w:t>即完成报名，</w:t>
      </w:r>
      <w:r>
        <w:rPr>
          <w:rFonts w:hint="eastAsia" w:asciiTheme="minorEastAsia" w:hAnsiTheme="minorEastAsia" w:eastAsiaTheme="minorEastAsia" w:cstheme="minorEastAsia"/>
          <w:sz w:val="24"/>
          <w:szCs w:val="24"/>
          <w:lang w:val="en-US" w:eastAsia="zh-CN"/>
        </w:rPr>
        <w:t>否则将视为报名不成功。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报名表》要求WORD版，其他材料加盖公章后上传扫描件</w:t>
      </w:r>
      <w:r>
        <w:rPr>
          <w:rFonts w:hint="eastAsia" w:asciiTheme="minorEastAsia" w:hAnsiTheme="minorEastAsia" w:eastAsiaTheme="minorEastAsia" w:cstheme="minorEastAsia"/>
          <w:sz w:val="24"/>
          <w:szCs w:val="24"/>
          <w:lang w:eastAsia="zh-CN"/>
        </w:rPr>
        <w:t>。</w:t>
      </w:r>
    </w:p>
    <w:p w14:paraId="1F1FDF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获取议价文件方式：桂林市人民医院官网（www.glrmyy.com）</w:t>
      </w:r>
    </w:p>
    <w:p w14:paraId="6B31022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四、议价采购活动要求</w:t>
      </w:r>
    </w:p>
    <w:p w14:paraId="0479AA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议价时间：</w:t>
      </w:r>
      <w:r>
        <w:rPr>
          <w:rFonts w:hint="eastAsia" w:asciiTheme="minorEastAsia" w:hAnsiTheme="minorEastAsia" w:eastAsiaTheme="minorEastAsia" w:cstheme="minorEastAsia"/>
          <w:sz w:val="24"/>
          <w:szCs w:val="24"/>
          <w:lang w:val="en-US" w:eastAsia="zh-CN"/>
        </w:rPr>
        <w:t>议价</w:t>
      </w:r>
      <w:r>
        <w:rPr>
          <w:rFonts w:hint="eastAsia" w:asciiTheme="minorEastAsia" w:hAnsiTheme="minorEastAsia" w:eastAsiaTheme="minorEastAsia" w:cstheme="minorEastAsia"/>
          <w:sz w:val="24"/>
          <w:szCs w:val="24"/>
          <w:lang w:eastAsia="zh-CN"/>
        </w:rPr>
        <w:t>具体时间另行</w:t>
      </w:r>
      <w:r>
        <w:rPr>
          <w:rFonts w:hint="eastAsia" w:asciiTheme="minorEastAsia" w:hAnsiTheme="minorEastAsia" w:eastAsiaTheme="minorEastAsia" w:cstheme="minorEastAsia"/>
          <w:sz w:val="24"/>
          <w:szCs w:val="24"/>
          <w:lang w:val="en-US" w:eastAsia="zh-CN"/>
        </w:rPr>
        <w:t>通知</w:t>
      </w:r>
      <w:r>
        <w:rPr>
          <w:rFonts w:hint="eastAsia" w:ascii="宋体" w:hAnsi="宋体" w:cs="宋体"/>
          <w:color w:val="auto"/>
          <w:sz w:val="24"/>
          <w:szCs w:val="24"/>
          <w:lang w:val="en-US" w:eastAsia="zh-CN"/>
        </w:rPr>
        <w:t>（开标通告将会通过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"mailto:glsrmyyzbb@163.com" </w:instrText>
      </w:r>
      <w:r>
        <w:rPr>
          <w:rFonts w:hint="eastAsia" w:ascii="宋体" w:hAnsi="宋体" w:eastAsia="宋体" w:cs="宋体"/>
          <w:color w:val="auto"/>
          <w:sz w:val="24"/>
          <w:szCs w:val="24"/>
          <w:lang w:val="en-US" w:eastAsia="zh-CN"/>
        </w:rPr>
        <w:fldChar w:fldCharType="separate"/>
      </w:r>
      <w:r>
        <w:rPr>
          <w:rStyle w:val="20"/>
          <w:rFonts w:hint="eastAsia" w:ascii="宋体" w:hAnsi="宋体" w:eastAsia="宋体" w:cs="宋体"/>
          <w:color w:val="auto"/>
          <w:sz w:val="24"/>
          <w:szCs w:val="24"/>
          <w:lang w:val="en-US" w:eastAsia="zh-CN"/>
        </w:rPr>
        <w:t>glsrmyyzbb</w:t>
      </w:r>
      <w:r>
        <w:rPr>
          <w:rStyle w:val="20"/>
          <w:rFonts w:hint="eastAsia" w:ascii="宋体" w:hAnsi="宋体" w:eastAsia="宋体" w:cs="宋体"/>
          <w:color w:val="auto"/>
          <w:sz w:val="24"/>
          <w:szCs w:val="24"/>
          <w:lang w:eastAsia="zh-CN"/>
        </w:rPr>
        <w:t>@163.com</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发至报名邮箱，报名成功后请及时关注查收）</w:t>
      </w:r>
      <w:r>
        <w:rPr>
          <w:rFonts w:hint="eastAsia" w:asciiTheme="minorEastAsia" w:hAnsiTheme="minorEastAsia" w:eastAsiaTheme="minorEastAsia" w:cstheme="minorEastAsia"/>
          <w:sz w:val="24"/>
          <w:szCs w:val="24"/>
          <w:lang w:eastAsia="zh-CN"/>
        </w:rPr>
        <w:t>，请报名后</w:t>
      </w:r>
      <w:r>
        <w:rPr>
          <w:rFonts w:hint="eastAsia" w:asciiTheme="minorEastAsia" w:hAnsiTheme="minorEastAsia" w:eastAsiaTheme="minorEastAsia" w:cstheme="minorEastAsia"/>
          <w:sz w:val="24"/>
          <w:szCs w:val="24"/>
          <w:lang w:val="en-US" w:eastAsia="zh-CN"/>
        </w:rPr>
        <w:t>根据所获取的议价文件要求及时</w:t>
      </w:r>
      <w:r>
        <w:rPr>
          <w:rFonts w:hint="eastAsia" w:asciiTheme="minorEastAsia" w:hAnsiTheme="minorEastAsia" w:eastAsiaTheme="minorEastAsia" w:cstheme="minorEastAsia"/>
          <w:sz w:val="24"/>
          <w:szCs w:val="24"/>
          <w:lang w:eastAsia="zh-CN"/>
        </w:rPr>
        <w:t>准备正式</w:t>
      </w:r>
      <w:r>
        <w:rPr>
          <w:rFonts w:hint="eastAsia" w:asciiTheme="minorEastAsia" w:hAnsiTheme="minorEastAsia" w:eastAsiaTheme="minorEastAsia" w:cstheme="minorEastAsia"/>
          <w:sz w:val="24"/>
          <w:szCs w:val="24"/>
          <w:lang w:val="en-US" w:eastAsia="zh-CN"/>
        </w:rPr>
        <w:t>的报价文件</w:t>
      </w:r>
      <w:r>
        <w:rPr>
          <w:rFonts w:hint="eastAsia" w:asciiTheme="minorEastAsia" w:hAnsiTheme="minorEastAsia" w:eastAsiaTheme="minorEastAsia" w:cstheme="minorEastAsia"/>
          <w:sz w:val="24"/>
          <w:szCs w:val="24"/>
          <w:lang w:eastAsia="zh-CN"/>
        </w:rPr>
        <w:t>。</w:t>
      </w:r>
    </w:p>
    <w:p w14:paraId="54E2C50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议价地点：桂林市人民医院招标办公室（广西桂林市象山区文明路29号）</w:t>
      </w:r>
      <w:bookmarkStart w:id="0" w:name="_GoBack"/>
      <w:bookmarkEnd w:id="0"/>
    </w:p>
    <w:p w14:paraId="2EC1C1D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报价文件：</w:t>
      </w:r>
    </w:p>
    <w:p w14:paraId="795451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报价文件组成：必须含有但不限于响应函、营业执照复印件、法定代表人（负责人）身份证复印件、法定代表人授权书原件（委托代理时必须提供）、授权委托代理人身份证复印件、供应商参加政府采购活动前3年内在经营活动中没有重大违法记录的书面声明、供应商关于政府采购活动中信用信息记录的书面声明、信用中国(www.creditchina.gov.cn)上打印的信用查询记录，以及中国政府采购网(www.ccgp.gov.cn)相关信息、项目报价、</w:t>
      </w:r>
      <w:r>
        <w:rPr>
          <w:rFonts w:hint="eastAsia" w:asciiTheme="minorEastAsia" w:hAnsiTheme="minorEastAsia" w:eastAsiaTheme="minorEastAsia" w:cstheme="minorEastAsia"/>
          <w:color w:val="auto"/>
          <w:sz w:val="24"/>
          <w:szCs w:val="24"/>
          <w:highlight w:val="none"/>
        </w:rPr>
        <w:t>质量管理体系认证证书(ISO9000)</w:t>
      </w:r>
      <w:r>
        <w:rPr>
          <w:rFonts w:hint="eastAsia" w:asciiTheme="minorEastAsia" w:hAnsiTheme="minorEastAsia" w:eastAsiaTheme="minorEastAsia" w:cstheme="minorEastAsia"/>
          <w:color w:val="auto"/>
          <w:sz w:val="24"/>
          <w:szCs w:val="24"/>
          <w:highlight w:val="none"/>
          <w:lang w:val="en-US" w:eastAsia="zh-CN"/>
        </w:rPr>
        <w:t>(如有）</w:t>
      </w:r>
      <w:r>
        <w:rPr>
          <w:rFonts w:hint="eastAsia" w:asciiTheme="minorEastAsia" w:hAnsiTheme="minorEastAsia" w:cstheme="minorEastAsia"/>
          <w:sz w:val="24"/>
          <w:szCs w:val="24"/>
          <w:lang w:val="en-US" w:eastAsia="zh-CN"/>
        </w:rPr>
        <w:t>、信息技术服务管理体系认证证书(ISO20000)</w:t>
      </w:r>
      <w:r>
        <w:rPr>
          <w:rFonts w:hint="eastAsia" w:asciiTheme="minorEastAsia" w:hAnsiTheme="minorEastAsia" w:eastAsiaTheme="minorEastAsia" w:cstheme="minorEastAsia"/>
          <w:color w:val="auto"/>
          <w:sz w:val="24"/>
          <w:szCs w:val="24"/>
          <w:highlight w:val="none"/>
          <w:lang w:val="en-US" w:eastAsia="zh-CN"/>
        </w:rPr>
        <w:t>(如有）</w:t>
      </w:r>
      <w:r>
        <w:rPr>
          <w:rFonts w:hint="eastAsia" w:asciiTheme="minorEastAsia" w:hAnsiTheme="minorEastAsia" w:cstheme="minorEastAsia"/>
          <w:sz w:val="24"/>
          <w:szCs w:val="24"/>
          <w:lang w:val="en-US" w:eastAsia="zh-CN"/>
        </w:rPr>
        <w:t>、信息安全管理体系认证证书（ISO27001）</w:t>
      </w:r>
      <w:r>
        <w:rPr>
          <w:rFonts w:hint="eastAsia" w:asciiTheme="minorEastAsia" w:hAnsiTheme="minorEastAsia" w:eastAsiaTheme="minorEastAsia" w:cstheme="minorEastAsia"/>
          <w:color w:val="auto"/>
          <w:sz w:val="24"/>
          <w:szCs w:val="24"/>
          <w:highlight w:val="none"/>
          <w:lang w:val="en-US" w:eastAsia="zh-CN"/>
        </w:rPr>
        <w:t>(如有）、自2022年至今相关</w:t>
      </w:r>
      <w:r>
        <w:rPr>
          <w:rFonts w:hint="eastAsia" w:asciiTheme="minorEastAsia" w:hAnsiTheme="minorEastAsia" w:eastAsiaTheme="minorEastAsia" w:cstheme="minorEastAsia"/>
          <w:color w:val="auto"/>
          <w:sz w:val="24"/>
          <w:szCs w:val="24"/>
          <w:highlight w:val="none"/>
        </w:rPr>
        <w:t>类似业绩</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如有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具有基层医疗机构管理系统、电子病历管理系统、数据采集系统、基层公卫系统</w:t>
      </w:r>
      <w:r>
        <w:rPr>
          <w:rFonts w:hint="eastAsia" w:asciiTheme="minorEastAsia" w:hAnsiTheme="minorEastAsia" w:eastAsiaTheme="minorEastAsia" w:cstheme="minorEastAsia"/>
          <w:color w:val="auto"/>
          <w:sz w:val="24"/>
          <w:szCs w:val="24"/>
          <w:highlight w:val="none"/>
        </w:rPr>
        <w:t>相关产品</w:t>
      </w:r>
      <w:r>
        <w:rPr>
          <w:rFonts w:hint="eastAsia" w:asciiTheme="minorEastAsia" w:hAnsiTheme="minorEastAsia" w:eastAsiaTheme="minorEastAsia" w:cstheme="minorEastAsia"/>
          <w:color w:val="auto"/>
          <w:sz w:val="24"/>
          <w:szCs w:val="24"/>
          <w:highlight w:val="none"/>
          <w:lang w:val="en-US" w:eastAsia="zh-CN"/>
        </w:rPr>
        <w:t>软件著作权证书（如有）、</w:t>
      </w:r>
      <w:r>
        <w:rPr>
          <w:rFonts w:hint="eastAsia" w:asciiTheme="minorEastAsia" w:hAnsiTheme="minorEastAsia" w:eastAsiaTheme="minorEastAsia" w:cstheme="minorEastAsia"/>
          <w:sz w:val="24"/>
          <w:szCs w:val="24"/>
          <w:highlight w:val="none"/>
          <w:lang w:val="en-US" w:eastAsia="zh-CN"/>
        </w:rPr>
        <w:t>技术响应情况、</w:t>
      </w:r>
      <w:r>
        <w:rPr>
          <w:rFonts w:hint="eastAsia" w:asciiTheme="minorEastAsia" w:hAnsiTheme="minorEastAsia" w:eastAsiaTheme="minorEastAsia" w:cstheme="minorEastAsia"/>
          <w:sz w:val="24"/>
          <w:szCs w:val="24"/>
          <w:highlight w:val="none"/>
        </w:rPr>
        <w:t>实施方案</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服务实力、</w:t>
      </w:r>
      <w:r>
        <w:rPr>
          <w:rFonts w:hint="eastAsia" w:asciiTheme="minorEastAsia" w:hAnsiTheme="minorEastAsia" w:eastAsiaTheme="minorEastAsia" w:cstheme="minorEastAsia"/>
          <w:sz w:val="24"/>
          <w:szCs w:val="24"/>
          <w:highlight w:val="none"/>
        </w:rPr>
        <w:t>售后服务方案</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培训方案</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cstheme="minorEastAsia"/>
          <w:sz w:val="24"/>
          <w:szCs w:val="24"/>
          <w:lang w:val="en-US" w:eastAsia="zh-CN"/>
        </w:rPr>
        <w:t>联系人及电话等资料。供应商应完整准备上述报价文件的材料，否则由此引起的不利后果由供应商承担。</w:t>
      </w:r>
      <w:r>
        <w:rPr>
          <w:rFonts w:hint="eastAsia" w:asciiTheme="minorEastAsia" w:hAnsiTheme="minorEastAsia" w:cstheme="minorEastAsia"/>
          <w:b/>
          <w:bCs/>
          <w:sz w:val="24"/>
          <w:szCs w:val="24"/>
          <w:lang w:val="en-US" w:eastAsia="zh-CN"/>
        </w:rPr>
        <w:t>报价文件所提供的的证照及相关证明材料必须真实有效，一经发现造假，将取消本次议价资格并追究相关法律责任</w:t>
      </w:r>
      <w:r>
        <w:rPr>
          <w:rFonts w:hint="eastAsia" w:asciiTheme="minorEastAsia" w:hAnsiTheme="minorEastAsia" w:cstheme="minorEastAsia"/>
          <w:sz w:val="24"/>
          <w:szCs w:val="24"/>
          <w:lang w:val="en-US" w:eastAsia="zh-CN"/>
        </w:rPr>
        <w:t>！</w:t>
      </w:r>
    </w:p>
    <w:p w14:paraId="03D25D9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（2）报价文件份数：正本一份，副本六份。</w:t>
      </w:r>
    </w:p>
    <w:p w14:paraId="591B8624">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    4.</w:t>
      </w:r>
      <w:r>
        <w:rPr>
          <w:rFonts w:hint="eastAsia" w:asciiTheme="minorEastAsia" w:hAnsiTheme="minorEastAsia" w:eastAsiaTheme="minorEastAsia" w:cstheme="minorEastAsia"/>
          <w:sz w:val="24"/>
          <w:szCs w:val="24"/>
          <w:lang w:val="en-US" w:eastAsia="zh-CN"/>
        </w:rPr>
        <w:t>供应商应按规定的时间递交报价文件（报价文件应密封并加盖单位公章），报价文件一旦提交恕不退回，逾期不予受理。同时供应商委派参加本次议价采购活动的代表应当熟悉相关业务，否则由此引起的不利后果由供应商承担。</w:t>
      </w:r>
    </w:p>
    <w:p w14:paraId="3779A35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lang w:val="en-US" w:eastAsia="zh-CN"/>
        </w:rPr>
        <w:t>凡报名合格并获取了议价文件的供应商，视同响应承诺参与本次议价采购活动。若因故不能按期参加的，请至少于采购活动截止时间前两天以书面邮件形式（发送邮箱地址：</w:t>
      </w: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"mailto:glsrmyyzbb@163.com"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glsrmyyzbb@163.com</w:t>
      </w:r>
      <w:r>
        <w:rPr>
          <w:rFonts w:hint="eastAsia" w:asciiTheme="minorEastAsia" w:hAnsiTheme="minorEastAsia" w:eastAsiaTheme="minorEastAsia" w:cstheme="minorEastAsia"/>
          <w:sz w:val="24"/>
          <w:szCs w:val="24"/>
          <w:lang w:val="en-US" w:eastAsia="zh-CN"/>
        </w:rPr>
        <w:fldChar w:fldCharType="end"/>
      </w:r>
      <w:r>
        <w:rPr>
          <w:rFonts w:hint="eastAsia" w:asciiTheme="minorEastAsia" w:hAnsiTheme="minorEastAsia" w:eastAsiaTheme="minorEastAsia" w:cstheme="minorEastAsia"/>
          <w:sz w:val="24"/>
          <w:szCs w:val="24"/>
          <w:lang w:val="en-US" w:eastAsia="zh-CN"/>
        </w:rPr>
        <w:t>）告知我院招标办公室，否则，将被视为不诚信供应商，列入我院供应商黑名单，至少一年内不接受其参与我院院内的任何议价采购活动。</w:t>
      </w:r>
    </w:p>
    <w:p w14:paraId="2A8BD84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五、信息公告发布媒体</w:t>
      </w:r>
    </w:p>
    <w:p w14:paraId="5D0C59F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本次议价采购公告在桂林市人民医院官网（www.glrmyy.com）发布。</w:t>
      </w:r>
    </w:p>
    <w:p w14:paraId="3781D59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六、联系方式</w:t>
      </w:r>
    </w:p>
    <w:p w14:paraId="1F3AF03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1.联系人：罗老师、戴老师</w:t>
      </w:r>
    </w:p>
    <w:p w14:paraId="7837B75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2.联系电话：0773-2803316</w:t>
      </w:r>
    </w:p>
    <w:p w14:paraId="4D03253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p>
    <w:p w14:paraId="6B78C33B">
      <w:pPr>
        <w:keepNext w:val="0"/>
        <w:keepLines w:val="0"/>
        <w:pageBreakBefore w:val="0"/>
        <w:widowControl w:val="0"/>
        <w:tabs>
          <w:tab w:val="left" w:pos="6583"/>
        </w:tabs>
        <w:kinsoku/>
        <w:wordWrap/>
        <w:overflowPunct/>
        <w:topLinePunct w:val="0"/>
        <w:autoSpaceDE/>
        <w:autoSpaceDN/>
        <w:bidi w:val="0"/>
        <w:adjustRightInd/>
        <w:snapToGrid/>
        <w:spacing w:line="440" w:lineRule="exact"/>
        <w:ind w:firstLine="5760" w:firstLineChars="2400"/>
        <w:jc w:val="righ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桂林市人民医院</w:t>
      </w:r>
    </w:p>
    <w:p w14:paraId="5CDD2F8C">
      <w:pPr>
        <w:keepNext w:val="0"/>
        <w:keepLines w:val="0"/>
        <w:pageBreakBefore w:val="0"/>
        <w:widowControl w:val="0"/>
        <w:tabs>
          <w:tab w:val="left" w:pos="5623"/>
        </w:tabs>
        <w:kinsoku/>
        <w:wordWrap/>
        <w:overflowPunct/>
        <w:topLinePunct w:val="0"/>
        <w:autoSpaceDE/>
        <w:autoSpaceDN/>
        <w:bidi w:val="0"/>
        <w:adjustRightInd/>
        <w:snapToGrid/>
        <w:spacing w:line="440" w:lineRule="exact"/>
        <w:jc w:val="righ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2025年3月14日</w:t>
      </w:r>
    </w:p>
    <w:p w14:paraId="7B9F2C7C">
      <w:pPr>
        <w:rPr>
          <w:rFonts w:hint="eastAsia" w:asciiTheme="minorEastAsia" w:hAnsiTheme="minorEastAsia" w:eastAsiaTheme="minorEastAsia" w:cstheme="minorEastAsia"/>
          <w:b/>
          <w:bCs/>
          <w:w w:val="95"/>
          <w:sz w:val="32"/>
          <w:szCs w:val="32"/>
          <w:lang w:val="en-US" w:eastAsia="zh-CN"/>
        </w:rPr>
      </w:pPr>
      <w:r>
        <w:rPr>
          <w:rFonts w:hint="eastAsia" w:asciiTheme="minorEastAsia" w:hAnsiTheme="minorEastAsia" w:eastAsiaTheme="minorEastAsia" w:cstheme="minorEastAsia"/>
          <w:b/>
          <w:bCs/>
          <w:w w:val="95"/>
          <w:sz w:val="32"/>
          <w:szCs w:val="32"/>
          <w:lang w:val="en-US" w:eastAsia="zh-CN"/>
        </w:rPr>
        <w:br w:type="page"/>
      </w:r>
    </w:p>
    <w:p w14:paraId="3A4DCEEC">
      <w:pPr>
        <w:pStyle w:val="15"/>
        <w:keepNext w:val="0"/>
        <w:keepLines w:val="0"/>
        <w:pageBreakBefore w:val="0"/>
        <w:widowControl w:val="0"/>
        <w:kinsoku/>
        <w:wordWrap/>
        <w:overflowPunct/>
        <w:topLinePunct w:val="0"/>
        <w:bidi w:val="0"/>
        <w:adjustRightInd/>
        <w:spacing w:before="0" w:line="440" w:lineRule="exact"/>
        <w:ind w:left="0" w:right="0" w:rightChars="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w w:val="95"/>
          <w:sz w:val="32"/>
          <w:szCs w:val="32"/>
          <w:lang w:val="en-US" w:eastAsia="zh-CN"/>
        </w:rPr>
        <w:t>第二章  项目</w:t>
      </w:r>
      <w:r>
        <w:rPr>
          <w:rFonts w:hint="eastAsia" w:asciiTheme="minorEastAsia" w:hAnsiTheme="minorEastAsia" w:eastAsiaTheme="minorEastAsia" w:cstheme="minorEastAsia"/>
          <w:b/>
          <w:bCs/>
          <w:w w:val="95"/>
          <w:sz w:val="32"/>
          <w:szCs w:val="32"/>
        </w:rPr>
        <w:t>需求</w:t>
      </w:r>
      <w:r>
        <w:rPr>
          <w:rFonts w:hint="eastAsia" w:asciiTheme="minorEastAsia" w:hAnsiTheme="minorEastAsia" w:eastAsiaTheme="minorEastAsia" w:cstheme="minorEastAsia"/>
          <w:b/>
          <w:bCs/>
          <w:w w:val="95"/>
          <w:sz w:val="32"/>
          <w:szCs w:val="32"/>
          <w:lang w:val="en-US" w:eastAsia="zh-CN"/>
        </w:rPr>
        <w:t>和说明</w:t>
      </w:r>
      <w:r>
        <w:rPr>
          <w:rFonts w:hint="eastAsia" w:asciiTheme="minorEastAsia" w:hAnsiTheme="minorEastAsia" w:eastAsiaTheme="minorEastAsia" w:cstheme="minorEastAsia"/>
          <w:b/>
          <w:bCs/>
          <w:w w:val="95"/>
          <w:sz w:val="32"/>
          <w:szCs w:val="32"/>
        </w:rPr>
        <w:t xml:space="preserve"> </w:t>
      </w:r>
    </w:p>
    <w:p w14:paraId="3560336C">
      <w:pPr>
        <w:pStyle w:val="26"/>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一、项目名称：</w:t>
      </w:r>
      <w:r>
        <w:rPr>
          <w:rFonts w:hint="eastAsia" w:asciiTheme="minorEastAsia" w:hAnsiTheme="minorEastAsia" w:eastAsiaTheme="minorEastAsia" w:cstheme="minorEastAsia"/>
          <w:kern w:val="0"/>
          <w:sz w:val="24"/>
          <w:szCs w:val="24"/>
          <w:lang w:val="en-US" w:eastAsia="zh-CN"/>
        </w:rPr>
        <w:t>桂林市人民医院</w:t>
      </w:r>
      <w:r>
        <w:rPr>
          <w:rFonts w:hint="eastAsia" w:asciiTheme="minorEastAsia" w:hAnsiTheme="minorEastAsia" w:eastAsiaTheme="minorEastAsia" w:cstheme="minorEastAsia"/>
          <w:sz w:val="24"/>
          <w:szCs w:val="24"/>
        </w:rPr>
        <w:t>北门社区基层一体化信息系统</w:t>
      </w:r>
    </w:p>
    <w:p w14:paraId="55E96D13">
      <w:pPr>
        <w:pStyle w:val="26"/>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二、项目编号：</w:t>
      </w:r>
      <w:r>
        <w:rPr>
          <w:rFonts w:hint="eastAsia" w:asciiTheme="minorEastAsia" w:hAnsiTheme="minorEastAsia" w:eastAsiaTheme="minorEastAsia" w:cstheme="minorEastAsia"/>
          <w:b w:val="0"/>
          <w:bCs w:val="0"/>
          <w:kern w:val="0"/>
          <w:sz w:val="24"/>
          <w:szCs w:val="24"/>
          <w:lang w:val="en-US" w:eastAsia="zh-CN"/>
        </w:rPr>
        <w:t>XXK-2025-002</w:t>
      </w:r>
    </w:p>
    <w:p w14:paraId="1C28923C">
      <w:pPr>
        <w:pStyle w:val="26"/>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三、采购需求：</w:t>
      </w:r>
    </w:p>
    <w:p w14:paraId="58E8E992">
      <w:pPr>
        <w:rPr>
          <w:lang w:val="en-US"/>
        </w:rPr>
      </w:pPr>
      <w:r>
        <w:rPr>
          <w:rFonts w:hint="eastAsia" w:ascii="宋体" w:hAnsi="宋体" w:cs="宋体"/>
          <w:b/>
          <w:bCs w:val="0"/>
          <w:sz w:val="24"/>
          <w:szCs w:val="24"/>
          <w:lang w:val="en-US" w:eastAsia="zh-CN"/>
        </w:rPr>
        <w:t>1、技术要求</w:t>
      </w:r>
      <w:r>
        <w:rPr>
          <w:rFonts w:hint="eastAsia" w:eastAsia="方正大标宋简体"/>
          <w:b w:val="0"/>
          <w:sz w:val="30"/>
          <w:szCs w:val="30"/>
          <w:lang w:val="en-US" w:eastAsia="zh-CN"/>
        </w:rPr>
        <w:t xml:space="preserve">                   </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27"/>
        <w:gridCol w:w="1056"/>
        <w:gridCol w:w="6996"/>
        <w:gridCol w:w="427"/>
        <w:gridCol w:w="431"/>
      </w:tblGrid>
      <w:tr w14:paraId="4D59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7" w:hRule="atLeast"/>
        </w:trPr>
        <w:tc>
          <w:tcPr>
            <w:tcW w:w="228" w:type="pct"/>
            <w:shd w:val="clear" w:color="auto" w:fill="auto"/>
            <w:vAlign w:val="center"/>
          </w:tcPr>
          <w:p w14:paraId="79ADEFD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565" w:type="pct"/>
            <w:shd w:val="clear" w:color="auto" w:fill="auto"/>
            <w:vAlign w:val="center"/>
          </w:tcPr>
          <w:p w14:paraId="26C3DDD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功能需求</w:t>
            </w:r>
          </w:p>
        </w:tc>
        <w:tc>
          <w:tcPr>
            <w:tcW w:w="3747" w:type="pct"/>
            <w:shd w:val="clear" w:color="auto" w:fill="auto"/>
            <w:vAlign w:val="center"/>
          </w:tcPr>
          <w:p w14:paraId="07CC98C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需求内容</w:t>
            </w:r>
          </w:p>
        </w:tc>
        <w:tc>
          <w:tcPr>
            <w:tcW w:w="229" w:type="pct"/>
            <w:shd w:val="clear" w:color="auto" w:fill="auto"/>
            <w:vAlign w:val="center"/>
          </w:tcPr>
          <w:p w14:paraId="1F9AD52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229" w:type="pct"/>
            <w:shd w:val="clear" w:color="auto" w:fill="auto"/>
            <w:vAlign w:val="center"/>
          </w:tcPr>
          <w:p w14:paraId="49DDA25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r>
      <w:tr w14:paraId="0093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85" w:hRule="atLeast"/>
        </w:trPr>
        <w:tc>
          <w:tcPr>
            <w:tcW w:w="228" w:type="pct"/>
            <w:shd w:val="clear" w:color="auto" w:fill="auto"/>
            <w:vAlign w:val="center"/>
          </w:tcPr>
          <w:p w14:paraId="5A3E8F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5" w:type="pct"/>
            <w:shd w:val="clear" w:color="auto" w:fill="auto"/>
            <w:vAlign w:val="center"/>
          </w:tcPr>
          <w:p w14:paraId="2B02D4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基层医院信息管理系统（HIS）</w:t>
            </w:r>
          </w:p>
        </w:tc>
        <w:tc>
          <w:tcPr>
            <w:tcW w:w="3747" w:type="pct"/>
            <w:shd w:val="clear" w:color="auto" w:fill="auto"/>
            <w:vAlign w:val="center"/>
          </w:tcPr>
          <w:p w14:paraId="774378C7">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层医院信息管理系统（HIS）具有门急诊、住院、药房等基本业务管理功能。系统需嵌入《国家基本药物处方集》和《国家基本药物临床应用指南》等资料，以协助医务人员的诊疗工作。系统需满足门诊、住院、药房药库、物资管理、财务等实际业务需要，从而进一步规范基层医务人员诊疗行为，改善医疗服务质量。</w:t>
            </w:r>
          </w:p>
          <w:p w14:paraId="02BE3D47">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color w:val="auto"/>
                <w:sz w:val="24"/>
              </w:rPr>
              <w:t>★</w:t>
            </w:r>
            <w:r>
              <w:rPr>
                <w:rFonts w:hint="eastAsia" w:ascii="宋体" w:hAnsi="宋体" w:cs="宋体"/>
                <w:color w:val="auto"/>
                <w:kern w:val="0"/>
                <w:sz w:val="21"/>
                <w:szCs w:val="21"/>
                <w:u w:val="none"/>
                <w:lang w:val="en-US" w:eastAsia="zh-CN" w:bidi="ar"/>
              </w:rPr>
              <w:t>系统</w:t>
            </w:r>
            <w:r>
              <w:rPr>
                <w:rFonts w:hint="eastAsia" w:ascii="宋体" w:hAnsi="宋体" w:cs="宋体"/>
                <w:i w:val="0"/>
                <w:iCs w:val="0"/>
                <w:color w:val="auto"/>
                <w:kern w:val="0"/>
                <w:sz w:val="21"/>
                <w:szCs w:val="21"/>
                <w:u w:val="none"/>
                <w:lang w:val="en-US" w:eastAsia="zh-CN" w:bidi="ar"/>
              </w:rPr>
              <w:t>与我院现有信息集成平台实现数据对接，包括但不限于病人信息，诊疗信息，检验检查结果等信息。</w:t>
            </w:r>
          </w:p>
          <w:p w14:paraId="594F323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▲系统需支持与电子病历、基本公共卫生服务系统、家庭医生签约服务系统</w:t>
            </w:r>
            <w:r>
              <w:rPr>
                <w:rFonts w:hint="eastAsia" w:ascii="宋体" w:hAnsi="宋体" w:cs="宋体"/>
                <w:i w:val="0"/>
                <w:iCs w:val="0"/>
                <w:color w:val="auto"/>
                <w:kern w:val="0"/>
                <w:sz w:val="21"/>
                <w:szCs w:val="21"/>
                <w:u w:val="none"/>
                <w:lang w:val="en-US" w:eastAsia="zh-CN" w:bidi="ar"/>
              </w:rPr>
              <w:t>、传染病前置软件、飞图影像、飞图检验检查互认、全民健康平台</w:t>
            </w:r>
            <w:r>
              <w:rPr>
                <w:rFonts w:hint="eastAsia" w:ascii="宋体" w:hAnsi="宋体" w:eastAsia="宋体" w:cs="宋体"/>
                <w:i w:val="0"/>
                <w:iCs w:val="0"/>
                <w:color w:val="000000"/>
                <w:kern w:val="0"/>
                <w:sz w:val="21"/>
                <w:szCs w:val="21"/>
                <w:u w:val="none"/>
                <w:lang w:val="en-US" w:eastAsia="zh-CN" w:bidi="ar"/>
              </w:rPr>
              <w:t>互联互通，并提供成熟度应用效果截图。系统需具备以下功能：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1.门诊业务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提供基于SOAP格式电子病历或全科诊疗记录服务。包括诊疗登记、书写SOAP、门诊病历、电子处方、治疗处置、收费管理等功能。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2.住院业务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提供住院业务的综合管理。主要包括住院病人入出转业务、住院医生站业务、住院护士站业务等。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3.门诊收费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门急诊挂号管理及收费功能。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4.药房管理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实现对药品的科室入库、发退领、盘点、报损、对账等进行管理。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5.药库管理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用于管理药品从入库、储存到出库、药品盘点、药品调价等过程的管理。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6.基本药物管理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对基本药物的信息、价格进行管理。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7.物资（耗材）管理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为开展业务活动及其他活动而储存的卫生材料、低值易耗品、其他材料、专项物资等低值易耗品的管理。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8.设备管理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针对设备固定资产的管理。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9.财务管理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对机构中资金的收入、支出以及国有资产进行管理和监督。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10.综合管理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统计分析与综合查询主要用于基层机构各部门及管理者对机构的业务收支、基本医疗服务、基本公共卫生服务情况等业务数据进行统计分析，提供各类统计图表，并可进一步查询获取详细的信息列表。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11.乡村一体化管理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对辖区内村</w:t>
            </w:r>
            <w:r>
              <w:rPr>
                <w:rFonts w:hint="eastAsia" w:ascii="宋体" w:hAnsi="宋体" w:cs="宋体"/>
                <w:i w:val="0"/>
                <w:iCs w:val="0"/>
                <w:color w:val="auto"/>
                <w:kern w:val="0"/>
                <w:sz w:val="21"/>
                <w:szCs w:val="21"/>
                <w:u w:val="none"/>
                <w:lang w:val="en-US" w:eastAsia="zh-CN" w:bidi="ar"/>
              </w:rPr>
              <w:t>卫生</w:t>
            </w:r>
            <w:r>
              <w:rPr>
                <w:rFonts w:hint="eastAsia" w:ascii="宋体" w:hAnsi="宋体" w:eastAsia="宋体" w:cs="宋体"/>
                <w:i w:val="0"/>
                <w:iCs w:val="0"/>
                <w:color w:val="auto"/>
                <w:kern w:val="0"/>
                <w:sz w:val="21"/>
                <w:szCs w:val="21"/>
                <w:u w:val="none"/>
                <w:lang w:val="en-US" w:eastAsia="zh-CN" w:bidi="ar"/>
              </w:rPr>
              <w:t>室</w:t>
            </w:r>
            <w:r>
              <w:rPr>
                <w:rFonts w:hint="eastAsia" w:ascii="宋体" w:hAnsi="宋体" w:eastAsia="宋体" w:cs="宋体"/>
                <w:i w:val="0"/>
                <w:iCs w:val="0"/>
                <w:color w:val="000000"/>
                <w:kern w:val="0"/>
                <w:sz w:val="21"/>
                <w:szCs w:val="21"/>
                <w:u w:val="none"/>
                <w:lang w:val="en-US" w:eastAsia="zh-CN" w:bidi="ar"/>
              </w:rPr>
              <w:t>开展工作监督、业务指导、药品配送等工作，主要包括门急诊收费管理、物资管理、设备管理、财务管理。以及统计、分析及查询和咨询等综合管理模块。以实现管理的规范化，标准化。</w:t>
            </w:r>
          </w:p>
        </w:tc>
        <w:tc>
          <w:tcPr>
            <w:tcW w:w="229" w:type="pct"/>
            <w:shd w:val="clear" w:color="auto" w:fill="auto"/>
            <w:vAlign w:val="center"/>
          </w:tcPr>
          <w:p w14:paraId="2ECAF6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9" w:type="pct"/>
            <w:shd w:val="clear" w:color="auto" w:fill="auto"/>
            <w:vAlign w:val="center"/>
          </w:tcPr>
          <w:p w14:paraId="002200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359F4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0" w:hRule="atLeast"/>
        </w:trPr>
        <w:tc>
          <w:tcPr>
            <w:tcW w:w="228" w:type="pct"/>
            <w:shd w:val="clear" w:color="auto" w:fill="auto"/>
            <w:vAlign w:val="center"/>
          </w:tcPr>
          <w:p w14:paraId="2E51F1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65" w:type="pct"/>
            <w:shd w:val="clear" w:color="auto" w:fill="auto"/>
            <w:vAlign w:val="center"/>
          </w:tcPr>
          <w:p w14:paraId="7C0A1A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基层电子病历系统（EMR）</w:t>
            </w:r>
          </w:p>
        </w:tc>
        <w:tc>
          <w:tcPr>
            <w:tcW w:w="3747" w:type="pct"/>
            <w:shd w:val="clear" w:color="auto" w:fill="auto"/>
            <w:vAlign w:val="center"/>
          </w:tcPr>
          <w:p w14:paraId="74DCB4E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▲实现与HIS系统的无缝对接，提供截图证明。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主要包括病历管理、病历模板、内容管理、病历模板等基本内容。系统功能包括不限于：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1.病历管理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1）患者信息管理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主要是对患者信息的统一管理，患者办理入院后，通过与HIS系统对接，同步患者住院信息。HIS系统中患者信息不准确时，完善并修改患者基本信息。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2）病案首页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支持填写电子病历的患者基础信息。包含患者身份信息、入院诊断、其他诊断等患者基本信息的功能。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3）入院记录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记录患者的住院基本情况，基本体征信息、主诉、既往史、现病史、体格检查等体征信息。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4）住院医嘱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显示HIS中开立的长期医嘱、临时医嘱，医嘱病历只能查看、打印，不能进行编辑保存操作。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5）出院记录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记录患者的出院记录，包含入院时间、入院诊断、出院时间、出院诊断、出院医嘱、出院情况等信息。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6）死亡记录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记录患者入院后死亡的病历记录，包括入院基本情况、死亡时间、死亡原因、死亡讨论等信息。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7）病程记录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记录</w:t>
            </w:r>
            <w:r>
              <w:rPr>
                <w:rFonts w:hint="eastAsia" w:ascii="宋体" w:hAnsi="宋体" w:eastAsia="宋体" w:cs="宋体"/>
                <w:i w:val="0"/>
                <w:iCs w:val="0"/>
                <w:color w:val="000000"/>
                <w:kern w:val="0"/>
                <w:sz w:val="21"/>
                <w:szCs w:val="21"/>
                <w:u w:val="none"/>
                <w:lang w:val="en-US" w:eastAsia="zh-CN" w:bidi="ar"/>
              </w:rPr>
              <w:t>患者在院期间的病程详细记录，包括首次病程记录、日常病程记录、查房记录，主任医师查房记录等记录信息。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8）产科文书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记录的产科患者生产过程中的病历文书，包括分娩记录、产程图等文书。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9）手术记录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记录住院患者在院期间手术、麻醉的病历记录。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10）其他文书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记录患者的传染病，健康指导等病历文书。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11）护理文书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住院患者护理相关的文书，包括：体温单、护理记录、重症护理记录。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12）检查、检验报告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检查、检验报告调用的基层医疗系统中的检查、检验结果报告。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13）知情文书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记录患者</w:t>
            </w:r>
            <w:r>
              <w:rPr>
                <w:rFonts w:hint="eastAsia" w:ascii="宋体" w:hAnsi="宋体" w:cs="宋体"/>
                <w:i w:val="0"/>
                <w:iCs w:val="0"/>
                <w:color w:val="000000"/>
                <w:kern w:val="0"/>
                <w:sz w:val="21"/>
                <w:szCs w:val="21"/>
                <w:u w:val="none"/>
                <w:lang w:val="en-US" w:eastAsia="zh-CN" w:bidi="ar"/>
              </w:rPr>
              <w:t>在医</w:t>
            </w:r>
            <w:r>
              <w:rPr>
                <w:rFonts w:hint="eastAsia" w:ascii="宋体" w:hAnsi="宋体" w:eastAsia="宋体" w:cs="宋体"/>
                <w:i w:val="0"/>
                <w:iCs w:val="0"/>
                <w:color w:val="000000"/>
                <w:kern w:val="0"/>
                <w:sz w:val="21"/>
                <w:szCs w:val="21"/>
                <w:u w:val="none"/>
                <w:lang w:val="en-US" w:eastAsia="zh-CN" w:bidi="ar"/>
              </w:rPr>
              <w:t>院开立的知情文书。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14）病历质控查询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进行病历质控流程及质控记录查询，同时可以查看上级反馈的点评信息，便于对</w:t>
            </w:r>
            <w:r>
              <w:rPr>
                <w:rFonts w:hint="eastAsia" w:ascii="宋体" w:hAnsi="宋体" w:cs="宋体"/>
                <w:i w:val="0"/>
                <w:iCs w:val="0"/>
                <w:color w:val="000000"/>
                <w:kern w:val="0"/>
                <w:sz w:val="21"/>
                <w:szCs w:val="21"/>
                <w:u w:val="none"/>
                <w:lang w:val="en-US" w:eastAsia="zh-CN" w:bidi="ar"/>
              </w:rPr>
              <w:t>病历</w:t>
            </w:r>
            <w:r>
              <w:rPr>
                <w:rFonts w:hint="eastAsia" w:ascii="宋体" w:hAnsi="宋体" w:eastAsia="宋体" w:cs="宋体"/>
                <w:i w:val="0"/>
                <w:iCs w:val="0"/>
                <w:color w:val="000000"/>
                <w:kern w:val="0"/>
                <w:sz w:val="21"/>
                <w:szCs w:val="21"/>
                <w:u w:val="none"/>
                <w:lang w:val="en-US" w:eastAsia="zh-CN" w:bidi="ar"/>
              </w:rPr>
              <w:t>进行调整。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15）病历借阅申请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实现已归档病历的借阅管理，不可进行修改，病历查看完成后进行归还病历操作。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2.病历模板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1）病历模板列表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基于系统标准模板维护本院内私有模板、科室模板、个人模板。提供复制、编辑、删除、预览等模板的常用操作。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2）科室模板设置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基于系统标准模板维护本院内私有模板、科室模板、个人模板提供启用和停用操作。科室可以控制只使用符合本科室的母版模板。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3.内容模板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内容模板方便医生书写电子病历过程中将固定的书写内容，文本编辑为特定的模板，在书写过程中调用方便书写，包括词条管理和元素维护。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4.病案管理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1）病案归档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可以查看住院医生提交的电子病历，可以对提交的病历进行退回和归档、评分操作。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2）已归档病案管理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可以查看病案室提交的电子病历，可以对提交的病历进行保存和回退归档。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3）病历借阅审批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可对他人申请借阅的病历进行批准借阅或者拒绝借阅。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4.质控管理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1）时间质控设置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可以对本机构书写病历的分类进行时间的质控设置；以便监管各科室医生病历的书写时限。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2）质控流程设置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可以设置多级质控，可以对每级质控添加评分设置，进行拓展，通过科室、角色与权限来控制不同人员的质控内容和评分权限，主要是根据科室给相应人员分配对应的质控等级和打分权限。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3）病历质控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各级质控医生可以根据自己权限对病历内容进行审查或评分，可以对病历进行审查、提交、评分和驳回操作。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4）评分项目设置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主要是维护机构的评分项目及评分内容，可以自定义维护，也可以使用初始化的评分项目。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5）回退病案审核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病案室已归档病历可以操作回退申请，该模块可以对病案室发起的回退申请进行审核，可以操作同意或驳回。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6）质控病历查询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展示各个科室超时未书写的病历，质控室可以对超时的病历进行锁定。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7）质控病历解锁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对超时病历进行手动锁定或系统自动锁定后，科室医生可以对锁定的病历申请解锁。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5.统计分析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实现对患者病历信息统计分析的功能。</w:t>
            </w:r>
          </w:p>
        </w:tc>
        <w:tc>
          <w:tcPr>
            <w:tcW w:w="229" w:type="pct"/>
            <w:shd w:val="clear" w:color="auto" w:fill="auto"/>
            <w:vAlign w:val="center"/>
          </w:tcPr>
          <w:p w14:paraId="24B40B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9" w:type="pct"/>
            <w:shd w:val="clear" w:color="auto" w:fill="auto"/>
            <w:vAlign w:val="center"/>
          </w:tcPr>
          <w:p w14:paraId="21077E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3C4B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30" w:hRule="atLeast"/>
        </w:trPr>
        <w:tc>
          <w:tcPr>
            <w:tcW w:w="228" w:type="pct"/>
            <w:shd w:val="clear" w:color="auto" w:fill="auto"/>
            <w:vAlign w:val="center"/>
          </w:tcPr>
          <w:p w14:paraId="595C8F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65" w:type="pct"/>
            <w:shd w:val="clear" w:color="auto" w:fill="auto"/>
            <w:vAlign w:val="center"/>
          </w:tcPr>
          <w:p w14:paraId="574454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基层医学检验信息系统（LIS）</w:t>
            </w:r>
          </w:p>
        </w:tc>
        <w:tc>
          <w:tcPr>
            <w:tcW w:w="3747" w:type="pct"/>
            <w:shd w:val="clear" w:color="auto" w:fill="auto"/>
            <w:vAlign w:val="center"/>
          </w:tcPr>
          <w:p w14:paraId="0756AEE0">
            <w:pPr>
              <w:keepNext w:val="0"/>
              <w:keepLines w:val="0"/>
              <w:widowControl/>
              <w:suppressLineNumbers w:val="0"/>
              <w:ind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实现医院检验室自动化、智能化检验仪器设备联机通讯；集中存储、管理和分析检验报告与数据；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1.检验申请模块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1）提供专业化检验申请模块，支持独立终端部署、嵌入式调用多种应用场景。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2）针对门诊、住院等多种应用场景，提供个性化应用页面，支持对接HIS系统快捷调取患者信息。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▲3）对检验医嘱分类管理，支持多条件医嘱检索，支持医嘱模板。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▲4）支持跟踪查询历史检验申请信息及状态，提供检验报告查询查阅。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5）提供特殊检验申请单录入模板。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2.标本备管-住院条码打印模块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1）提供在未打印标本条码的院患者列表，支持患者ID索引精准检索。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▲2）自动对检验申请项目分组共管，支持手动自定义编辑共管分管。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3）支持对已打印标本条码进行检索查询，支持补打及重编。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3.标本备管-门诊条码打印模块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1）支持患者ID索引快捷检索。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▲2）支持预设标本采集分组，自动过滤非本工作岗位采集标本。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3）提供当前打印标本条码记录缓存，减少误操作带来的冗余操作。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4.标本采集模块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1）支持标本条码扫描操作，快捷提取标本信息。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2）针对临床住院，提供已打印标本条码的患者列表。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▲3）提供退签拒签标本提醒，支持快捷检索待重采集标本。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4）提供标本重采集快捷操作入口，完成标本补打及重采登记。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5.标本转运模块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1）提供标本转运送检双签认证，登记记录标本交接人与转运人。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▲2）自动对转运标本产生送检批次，可在交接操作过程中自动对送检批次打印清单，便于标本交接核对。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6.标本签收模块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1）提供标本送检签收双签认证，登记记录标本转运人与签收人。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2）支持批次标本签收，提供签收标本信息核对。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▲3）自动对批次签收标本产生签收批次，可在签收操作过程中自动对签收批次打印清单，便于核对。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▲4）提供标本自动拆分，根据实际检测情况自动打印实验室内标本条码。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7.标本退签模块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1）根据实际应用需求提供多种功能：不合格标本退签重采、不合格标本登记、项目退费退签。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2）不合格标本登记仅对标本不合格情况进行登记，不做标本退签。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▲3）不合格标本退签重采在的登记标本不合格情况的同时记录退签通知信息，并对临床发出提醒。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4）项目退费是检验项目申请的取消退费或项目退费申请确认。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5）标本退签过程中，自动判断标本是否登记上机检测，提示是否作废报告。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8.标本管理模块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1）支持查询追踪标本信息，提供标本全流程记录查阅。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▲2）实现对标本周转过程的全流程监管与记录，对标本TAT进行实时监控，自动分析计算标本周转时间。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3）支持自定义分组分类对标本检测项目周转时间进行配置，并依据设置对标本TAT数据进行超时分析和百分位数计算。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9.常规检测模块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1）提供多种登记上机方式：依据标本条码、病人ID等多种关键索引登记上机，检索在院患者或已签收标本信息登记上机，纯手工录入信息登记上机等。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2）提供报告列表多条件筛选查询，支持报告流程状态快速筛选及汇总数量，提供多种标识标记标本报告的特殊信息。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3）支持自定义配置参考值及适用对象，自动获取检验项目的参考值，自动对结果分析判读。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▲4）提供历史结果对比、特定项目检验结果对比、历史报告追踪等多种检测数据分析检索工具。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5）提供常用结果枚举、自动计算、科学计数法换算、报告剪切复制、结果批量修改等报告结果编辑工具。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6）支持图片文件上传编辑。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▲7）支持同标本复检、跨仪器复检等多种复检方式。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8）提供标本及报告过程记录、项目结果修改记录查询。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9）提供检验项目临床试验含义知识库，解析检测结果的生理、病理表现，提高检测报告可读性，</w:t>
            </w:r>
            <w:r>
              <w:rPr>
                <w:rFonts w:hint="eastAsia" w:ascii="宋体" w:hAnsi="宋体" w:cs="宋体"/>
                <w:i w:val="0"/>
                <w:iCs w:val="0"/>
                <w:color w:val="000000"/>
                <w:kern w:val="0"/>
                <w:sz w:val="21"/>
                <w:szCs w:val="21"/>
                <w:u w:val="none"/>
                <w:lang w:val="en-US" w:eastAsia="zh-CN" w:bidi="ar"/>
              </w:rPr>
              <w:t>适</w:t>
            </w:r>
            <w:r>
              <w:rPr>
                <w:rFonts w:hint="eastAsia" w:ascii="宋体" w:hAnsi="宋体" w:eastAsia="宋体" w:cs="宋体"/>
                <w:i w:val="0"/>
                <w:iCs w:val="0"/>
                <w:color w:val="000000"/>
                <w:kern w:val="0"/>
                <w:sz w:val="21"/>
                <w:szCs w:val="21"/>
                <w:u w:val="none"/>
                <w:lang w:val="en-US" w:eastAsia="zh-CN" w:bidi="ar"/>
              </w:rPr>
              <w:t>用于检验科室的标本检测与临床申请科室的报告查阅。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10.报告审核管理模块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1）报告审核支持多级审核制度、CA认证与电子签名。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2）提供报告完整性、合理性分析，对不符合审核规则的报告进行提醒。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3）提供实验室检测报告集中审核及发布，支持对报告依据结果进行分类过滤筛选。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4）支持特殊报告模板维护。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11.报告查阅模块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1）支持独立终端部署与嵌入式调用。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2）支持根据使用者进行查询权限控制。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3）支持查阅项目试验含义知识库。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▲4）支持对检测项目历史结果对比。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▲5）支持查询标本流转过程。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6）支持下载检测报告PDF。</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12.数据统计分析模块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1）整合数据，统计分析。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▲2）支持标本量、报告量、危急报告、不合格标本、检验项目结果、微生物细菌药敏、WHONET、传染病等多类数据统计分析。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3）支持各类统计数据的图表分析，如饼状图、变化曲线图、柱状图等。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4）支持统计数据形成数据报表或导出电子表格。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5）支持根据实验室的具体要求和特色化管理需求自定义统计分析报表。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13.排班与交接班模块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支持排班交班分班管理。</w:t>
            </w:r>
          </w:p>
        </w:tc>
        <w:tc>
          <w:tcPr>
            <w:tcW w:w="229" w:type="pct"/>
            <w:shd w:val="clear" w:color="auto" w:fill="auto"/>
            <w:vAlign w:val="center"/>
          </w:tcPr>
          <w:p w14:paraId="0BDCA2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9" w:type="pct"/>
            <w:shd w:val="clear" w:color="auto" w:fill="auto"/>
            <w:vAlign w:val="center"/>
          </w:tcPr>
          <w:p w14:paraId="4896FB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5F6E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28" w:type="pct"/>
            <w:shd w:val="clear" w:color="auto" w:fill="auto"/>
            <w:vAlign w:val="center"/>
          </w:tcPr>
          <w:p w14:paraId="287B9F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65" w:type="pct"/>
            <w:shd w:val="clear" w:color="auto" w:fill="auto"/>
            <w:vAlign w:val="center"/>
          </w:tcPr>
          <w:p w14:paraId="3FACBC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基层影像信息系统（PACS）</w:t>
            </w:r>
          </w:p>
        </w:tc>
        <w:tc>
          <w:tcPr>
            <w:tcW w:w="3747" w:type="pct"/>
            <w:shd w:val="clear" w:color="auto" w:fill="auto"/>
            <w:vAlign w:val="center"/>
          </w:tcPr>
          <w:p w14:paraId="251B32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实现放射科、超声科、内镜科设备接入，图像存储，报告编辑以及数据的共享。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1.PACS服务器模块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提供DICOM遵从性声明，包含基本的DICOM服务：ECHOSCU/SCP、StoreSCU/SCP、Query/RetrieveSCU/SCP、StorageCommitmentSCU/SCP、StorageSCU/SCP、ModalityWorklistSCU/SCP、ModalityPerformedProcedureStepManagementSCU/SCP、PrintSCU/SCP、VerificationSCU/SCP、StructuredReporting、DICOMGrayscaleSoftcopyPresentationState、HangingProtocol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2）遵循DICOM3.0,IHE-C,HL7等标准和协议。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3）提供完善的数据加密与解密浏览。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4）数据库支持一体化设计，同时满足放射、超声、内镜、心电等科室系统管理。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5）系统提供统一接口，实现PACS系统与第三方系统融合。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6）支持集群体系架构，支持双机热备。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7）支持将归档数据上传到云平台，作为异地容灾备份。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8）可针对各种非DICOM标准影像，进行单帧或者多帧采集，并转换为标准DICOM格式，能够对非DICOM标准影像采集实时显示，调节图像对比度、亮度、饱和度、色度等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9）拥有登记、预约、检查、报告、审核、发布等完整的影像科工作流程功能。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10）支持用户管理功能，提供包括用户添加、修改、删除、权限管理、工作组管理等。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11）有完整的影像状态日志记录系统，对图像、报告等信息及系统的修改、增加、删除均有日志记录。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12）全中文操作界面，并提供全中文说明书。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13）可进行客户端版本管理，发布客户端升级程序，可让客户端自动更新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14）对从设备接收</w:t>
            </w:r>
            <w:r>
              <w:rPr>
                <w:rFonts w:hint="eastAsia" w:ascii="宋体" w:hAnsi="宋体" w:cs="宋体"/>
                <w:i w:val="0"/>
                <w:iCs w:val="0"/>
                <w:color w:val="000000"/>
                <w:kern w:val="0"/>
                <w:sz w:val="21"/>
                <w:szCs w:val="21"/>
                <w:u w:val="none"/>
                <w:lang w:val="en-US" w:eastAsia="zh-CN" w:bidi="ar"/>
              </w:rPr>
              <w:t>到</w:t>
            </w:r>
            <w:r>
              <w:rPr>
                <w:rFonts w:hint="eastAsia" w:ascii="宋体" w:hAnsi="宋体" w:eastAsia="宋体" w:cs="宋体"/>
                <w:i w:val="0"/>
                <w:iCs w:val="0"/>
                <w:color w:val="000000"/>
                <w:kern w:val="0"/>
                <w:sz w:val="21"/>
                <w:szCs w:val="21"/>
                <w:u w:val="none"/>
                <w:lang w:val="en-US" w:eastAsia="zh-CN" w:bidi="ar"/>
              </w:rPr>
              <w:t>的图像进行归档，并支持自动登记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15）支持用户管理和用户权限管理。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16）支持系统日志管理，提供系统DICOM图像传输日志，系统设置修改日志等；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17）支持客户端同步服务器时间，当客户端和服务器时间不一致情况下，客户端自动同步服务器时间。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18）支持接口回传程序异常中断后重连。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19）支持危急值设置和流程管理，医生根据危急值设置选择患者是否</w:t>
            </w:r>
            <w:r>
              <w:rPr>
                <w:rFonts w:hint="eastAsia" w:ascii="宋体" w:hAnsi="宋体" w:cs="宋体"/>
                <w:i w:val="0"/>
                <w:iCs w:val="0"/>
                <w:color w:val="000000"/>
                <w:kern w:val="0"/>
                <w:sz w:val="21"/>
                <w:szCs w:val="21"/>
                <w:u w:val="none"/>
                <w:lang w:val="en-US" w:eastAsia="zh-CN" w:bidi="ar"/>
              </w:rPr>
              <w:t>危急</w:t>
            </w:r>
            <w:r>
              <w:rPr>
                <w:rFonts w:hint="eastAsia" w:ascii="宋体" w:hAnsi="宋体" w:eastAsia="宋体" w:cs="宋体"/>
                <w:i w:val="0"/>
                <w:iCs w:val="0"/>
                <w:color w:val="000000"/>
                <w:kern w:val="0"/>
                <w:sz w:val="21"/>
                <w:szCs w:val="21"/>
                <w:u w:val="none"/>
                <w:lang w:val="en-US" w:eastAsia="zh-CN" w:bidi="ar"/>
              </w:rPr>
              <w:t>，发送</w:t>
            </w:r>
            <w:r>
              <w:rPr>
                <w:rFonts w:hint="eastAsia" w:ascii="宋体" w:hAnsi="宋体" w:cs="宋体"/>
                <w:i w:val="0"/>
                <w:iCs w:val="0"/>
                <w:color w:val="000000"/>
                <w:kern w:val="0"/>
                <w:sz w:val="21"/>
                <w:szCs w:val="21"/>
                <w:u w:val="none"/>
                <w:lang w:val="en-US" w:eastAsia="zh-CN" w:bidi="ar"/>
              </w:rPr>
              <w:t>危急</w:t>
            </w:r>
            <w:r>
              <w:rPr>
                <w:rFonts w:hint="eastAsia" w:ascii="宋体" w:hAnsi="宋体" w:eastAsia="宋体" w:cs="宋体"/>
                <w:i w:val="0"/>
                <w:iCs w:val="0"/>
                <w:color w:val="000000"/>
                <w:kern w:val="0"/>
                <w:sz w:val="21"/>
                <w:szCs w:val="21"/>
                <w:u w:val="none"/>
                <w:lang w:val="en-US" w:eastAsia="zh-CN" w:bidi="ar"/>
              </w:rPr>
              <w:t>值给</w:t>
            </w:r>
            <w:r>
              <w:rPr>
                <w:rFonts w:hint="eastAsia" w:ascii="宋体" w:hAnsi="宋体" w:cs="宋体"/>
                <w:i w:val="0"/>
                <w:iCs w:val="0"/>
                <w:color w:val="000000"/>
                <w:kern w:val="0"/>
                <w:sz w:val="21"/>
                <w:szCs w:val="21"/>
                <w:u w:val="none"/>
                <w:lang w:val="en-US" w:eastAsia="zh-CN" w:bidi="ar"/>
              </w:rPr>
              <w:t>危急</w:t>
            </w:r>
            <w:r>
              <w:rPr>
                <w:rFonts w:hint="eastAsia" w:ascii="宋体" w:hAnsi="宋体" w:eastAsia="宋体" w:cs="宋体"/>
                <w:i w:val="0"/>
                <w:iCs w:val="0"/>
                <w:color w:val="000000"/>
                <w:kern w:val="0"/>
                <w:sz w:val="21"/>
                <w:szCs w:val="21"/>
                <w:u w:val="none"/>
                <w:lang w:val="en-US" w:eastAsia="zh-CN" w:bidi="ar"/>
              </w:rPr>
              <w:t>值系统。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20）支持DICOM3.0相关存储标准。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21）支持DICOM3.0数据压缩算法，支持Jpeg、Jpeg-Lossless、Jpeg2000、Jpeg-LS、Deflate等有损及无损压缩模式。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22）系统支持在线、近线和离线三种存储状态，支持影像数据的短期存储管理和长期存储管理。采用冗余存储技术和镜像存储方式。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23）采用数据库与影像数据分离存储方式，用优化的算法进行数据库管理，保障海量数据存储与检索。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24）具有影像数据存储状态提示功能。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25）数据离线又需要诊断时，可随时通过PACS系统读取病人数据。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26）具有严格的用户分级数据访问安全管理机制。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27）具有优秀的可升级性与扩展性，存档图像进行自动管理，可以对存储空间进行自动控制，具有自动备份及手动备份功能，有完善的系统监控及警示功能，并有详细的日志记录。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2.登记预约模块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1）支持患者基本信息的新建、保存、修改、删除。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）支</w:t>
            </w:r>
            <w:r>
              <w:rPr>
                <w:rFonts w:hint="eastAsia" w:ascii="宋体" w:hAnsi="宋体" w:eastAsia="宋体" w:cs="宋体"/>
                <w:i w:val="0"/>
                <w:iCs w:val="0"/>
                <w:color w:val="000000"/>
                <w:kern w:val="0"/>
                <w:sz w:val="21"/>
                <w:szCs w:val="21"/>
                <w:u w:val="none"/>
                <w:lang w:val="en-US" w:eastAsia="zh-CN" w:bidi="ar"/>
              </w:rPr>
              <w:t>持多种病人信息录入方式(包括病人的基本信息及申请单信息)：包括手工录入、条形码识别、HIS获取、磁卡读取等。同时支持通过扫描仪、数码相机等方式将申请单输入到计算机,保存临床申请信息，并与患者信息、影像对应存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不同数据来源登记，分为普通登记、体检登记、HIS登记三种等级数据来源，编辑患者的基本信息、住院信息、检查项目等，进行患者登记或者预约操作，其中体检登记和HIS登记可通过扫码获取患者信息进行登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4）支持快速批量登记。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5）支持急诊、门诊、住院、体检等各种病人类型的登记，并支持优先级设置。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6）支持复诊功能，非首次诊断可直接转为复诊，或者就诊中需要增加检查项目。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7）支持患者信息的多条件查询（姓名、编号、设备类型、检查时间等）。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8）支持数据字典的维护（患者来源、检查号设置、费用类别、检查部位、申请科室管理、医院名称、检查医师、设备管理、胶片尺寸维护等）。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9）支持调取重复检查的老患者信息（根据检查号、姓名自动调取）。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10）支持患者申请单的扫描、DICOM方式保存、删除。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11）支持ModalityWorklist，支持中文转拼音，中文转拼音转中文等多种传送模式。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12）支持预约登记功能，可根据需要预约未来任意日期，任意时间，并提供预约单打印功能。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13）提供全面的系统设置界面，包括条码打印设置、输入法设置、流水号设置、输入项目设置等多项参数设置。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14）支持预约列表查看，提供患者姓名、门诊号、送诊科室、查询时间等多条件综合检索。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15）支持病人姓名、性别、检查时间、住院信息、报告/送诊/审核医师、诊断结论等多条件检索功能。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16）支持申请单查看。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17）支持有权限的用户进行报告查看、删除、病人信息修改等功能。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18）支持图像查看、病人检查状态等信息查看。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19）支持登记分打印机打印功能，可以同时设置分诊单、报告、条码等多个默认打印机。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20）支持自定义生成检查号，可按照医院的要求对检查号进行自定义设置。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3.排队叫号模块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1）排队叫号支持动态排序、固定排序方式。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2）排队叫号分组规则支持按照设备类型、按科室分组。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3）排队叫号登记时间支持1天，2天，3天，1周并且支持不限制时间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4）排队叫号显示界面支持患者姓名加密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5）排队叫号显示界面支持播放语速、播放次数、滚动速度、滚动</w:t>
            </w:r>
            <w:r>
              <w:rPr>
                <w:rFonts w:hint="eastAsia" w:ascii="宋体" w:hAnsi="宋体" w:cs="宋体"/>
                <w:i w:val="0"/>
                <w:iCs w:val="0"/>
                <w:color w:val="000000"/>
                <w:kern w:val="0"/>
                <w:sz w:val="21"/>
                <w:szCs w:val="21"/>
                <w:u w:val="none"/>
                <w:lang w:val="en-US" w:eastAsia="zh-CN" w:bidi="ar"/>
              </w:rPr>
              <w:t>方向</w:t>
            </w:r>
            <w:r>
              <w:rPr>
                <w:rFonts w:hint="eastAsia" w:ascii="宋体" w:hAnsi="宋体" w:eastAsia="宋体" w:cs="宋体"/>
                <w:i w:val="0"/>
                <w:iCs w:val="0"/>
                <w:color w:val="000000"/>
                <w:kern w:val="0"/>
                <w:sz w:val="21"/>
                <w:szCs w:val="21"/>
                <w:u w:val="none"/>
                <w:lang w:val="en-US" w:eastAsia="zh-CN" w:bidi="ar"/>
              </w:rPr>
              <w:t>等多种方式的调整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6）排队叫号支持自定义文本呼叫，支持多种语音切换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7）排队叫号呼叫端与技师工作站在同一界面，方便技师操作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8）呼叫段支持检测完成标记，支持过号功能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9）排队叫号护士工作站支持患者队列排序，支持置顶，转移等操作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4.放射诊断报告模块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1）支持报告的诊断、审核、打印、浏览、对比等完善的报告诊断流程功能。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2）支持检查状态的自动变更（已预约、已登记、已检查、已诊断、已审核等）且为不同检查状态赋予不同颜色提醒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3）支持报告签名与CA电子签名对接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4）支持自定义条件查询，可通过自定义条件快速查找病人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5）支持结构化报告功能，且可根据结构化报告相应字段进行统计分析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6）报告格式的任意自定义、历史报告自动查询、浏览、引入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7）报告模板的自动切换功能，可根据不同设备类型或用户习惯自动切换报告模板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8）保留患者报告的所有修改痕迹，且可以对进行修改的痕迹进行对比、追踪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9）图文报告模块（可在报告中添加图片）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10）ICD10编码归类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11）对患者可进行标记，通过标记教学、典型作为病例收藏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12）收藏病理的查询和管理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13）可对影像质量、报告质量</w:t>
            </w:r>
            <w:r>
              <w:rPr>
                <w:rFonts w:hint="eastAsia" w:ascii="宋体" w:hAnsi="宋体" w:cs="宋体"/>
                <w:i w:val="0"/>
                <w:iCs w:val="0"/>
                <w:color w:val="000000"/>
                <w:kern w:val="0"/>
                <w:sz w:val="21"/>
                <w:szCs w:val="21"/>
                <w:u w:val="none"/>
                <w:lang w:val="en-US" w:eastAsia="zh-CN" w:bidi="ar"/>
              </w:rPr>
              <w:t>进行</w:t>
            </w:r>
            <w:r>
              <w:rPr>
                <w:rFonts w:hint="eastAsia" w:ascii="宋体" w:hAnsi="宋体" w:eastAsia="宋体" w:cs="宋体"/>
                <w:i w:val="0"/>
                <w:iCs w:val="0"/>
                <w:color w:val="000000"/>
                <w:kern w:val="0"/>
                <w:sz w:val="21"/>
                <w:szCs w:val="21"/>
                <w:u w:val="none"/>
                <w:lang w:val="en-US" w:eastAsia="zh-CN" w:bidi="ar"/>
              </w:rPr>
              <w:t>质量评价（评级、评分等）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14）通过配置不同权限，用户可在报告列表刷新、修改患者信息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15）可以按检查状态，如已预约、已登记、已检查、已诊断、已审核、已打印进行快速查询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16）可以按检查类型，如超声、内镜、病理、CR、DR、体检、数字胃肠、CT、MR、DSA等进行快速查询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17）可按起止日期查询患者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18）可按照急诊、普通、未知等优先级分类患者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19）可通过患者关键字检索查询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20）患者补打条形码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21）支持报告锁定与解锁功能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22）支持报告退回功能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23）对已审核、已打印状态的患者报告的特殊处理渠道，对应需要权限控制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24）可随时调阅患者病历数据、既往报告和影像或其他影像检查数据（超声、心电、内镜等）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25）支持危急值手动、自动上报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26）支持对已诊断（已完成图像采集）的信息发起会诊，会诊类型包括视频会诊和报告会诊，发起后可取消会诊。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5.放射影像工作站模块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1）提供灵活的影像预览布局；提供多序列格布局、序列联动、多序列联动、关键影像/复选联动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2）提供完善的调窗设置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3）支持水平镜像、垂直镜像、左、右、任意旋转；增强；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4）提供丰富的图像对比功能，浏览不同平面的系列图像时，自动显示交叉定位线可更好地展示相互间的关系；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5）支持DICOM打印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6）支持直线、矩形、多边形、椭圆、圆等多种长度、面积测量方式。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7）支持文字、箭头等多种标注方式。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8）支持测量标注的添加和删除。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9）支持标记文字的自由移动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10）支持显示全部定位线、单一定位线、首尾定位线、当前序列定位线。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11）支持胶片打印，对打印图像进行调窗、缩放、平移、反白、旋转等操作。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12）提供丰富的三维后处理模块，MPR多平面重建(支持任意旋转)；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13）提供CPR任意曲线切面重建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14）支持MIP最大密度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15）支持SSD表面重建；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6.超声诊断工作站模块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1）支持调阅患者申请单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2）编辑患者影像所见、影像意见等报告内容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3）可通过各种筛选条件对报告信息进行检索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4）查询患者所有历史检查报告信息（包括放射、心电等其他影像科室影像和报告）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5）患者历史报告对比，包括影像调阅对比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6）对患者报告质量、影像质量进行评价操作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7）提供报告所有修改操作记录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8）调阅患者第三方系统中对应申请单数据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9）提供报告应急处理，已审核已打印的患者重新修改报告，属于特殊权限流程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10）支持各种高清、标清采集卡采集图像、支持DICOM传输影像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11）支持对已诊断（已完成图像采集）的信息发起会诊，会诊类型包括“视频会诊”和“报告会诊”，发起后可取消会诊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12）支持实时叫号功能，可直接通过诊断工作站进行叫号，并通过登记列表自动调入患者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13）支持在诊断页面中添加检查项目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14）提供手动采集图像、实时影像查看、导入本地图像、采集录制视频、缓存采集到的图像功能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15）支持危急值手动、自动上报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超声影像处理，支持平移、缩放、调整窗宽窗位、序列切换、复位、放大镜、四角信息、影像排列、左右标记、测量、标注、清除、保存、播放、翻页、定位线、排序、拼接、拆分、打印、视窗、显示调节、反色、伪彩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17）对超声进行质量评价打分，并输入质量评价报告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7.内镜诊断工作站模块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1）支持调阅患者申请单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2）编辑患者影像所见、影像意见等报告内容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3）可通过各种筛选条件对报告信息进行检索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4）查询患者所有历史检查报告信息（包括放射、心电等其他影像科室影像和报告）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5）患者历史报告对比，包括影像调阅对比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6）对患者报告质量、影像质量进行评价操作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7）提供报告所有修改操作记录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8）调阅患者第三方系统中对应申请单数据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9）提供报告应急处理，已审核已打印的患者重新修改报告，属于特殊权限流程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10）支持各种高清、标清采集卡采集图像、支持DICOM传输影像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11）支持对已诊断（已完成图像采集）的信息发起会诊，会诊类型包括“视频会诊”和“报告会诊”，发起后可取消会诊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12）支持实时叫号功能，可直接通过诊断工作站进行叫号，并通过登记列表自动调入患者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13）支持在诊断页面中添加检查项目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14）提供手动采集图像、实时影像查看、导入本地图像、采集录制视频、缓存采集到的图像功能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15）支持危急值手动、自动上报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内镜影像处理，支持平移、缩放、调整窗宽窗位、序列切换、复位、放大镜、四角信息、影像排列、左右标记、测量、标注、清除、保存、播放、翻页、定位线、排序、拼接、拆分、打印、视窗、显示调节、反色、伪彩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17）对内镜进行质量评价打分，并输入质量评价报告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8.统计分析模块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1）登记医生工作量统计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2）送诊医师送诊人数和收入统计。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3）检查医师检查人数统计。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4）报告医师工作量和收入统计。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5）审核医师工作量统计。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6）送诊科室送诊人数和收入统计。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7）按病区进行人数统计和收入统计。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8）按每类设备进行检查人数和收入统计。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9）按每台设备进行检查人数和收入统计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10）病人来源人数和收入统计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11）按疾病编码ICD10统计人数和收入。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12）按疾病编码ACR统计人数和收入。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13）胶片使用情况统计分析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14）按检查项目统计人数和收入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15）按检查部位统计人数和收入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16）图像质量统计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17）报告评分工作量统计。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18）曝光次数统计。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19）影像诊断和入院诊断符合率统计。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20）影像诊断和出院诊断符合率统计。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21）影像诊断和病理诊断符合率统计。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22）报告医师、审核医师、检查医师工作量的年度对比分析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23）检查设备检查人数的年度对比分析。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24）检查项目收入分类统计。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25）送诊科室、送诊医生收入统计。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26）检查设备收入统计。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27）支持可以通过配置快速实现用户自定义统计需求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9.临床调阅模块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1）支持通过查询条件查询检查信息，支持姓名、检查编号、门诊号、住院号、身份证号等方式的查询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2）支持患者当前报告，历史报告的调阅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3）支持患者当前检查影像数据，历史影像数据的调阅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4）支持查看申请单及数据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5）支持查看危机值信息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6）支持影像数据的导出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7）支持报告的打印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影像处理，支持平移、缩放、调整窗宽窗位、序列切换、复位、放大镜、四角信息、影像排列、左右标记、测量、标注、清除、保存、播放、翻页、定位线、排序、拼接、拆分、打印、视窗、显示调节、反色、伪彩色。</w:t>
            </w:r>
          </w:p>
        </w:tc>
        <w:tc>
          <w:tcPr>
            <w:tcW w:w="229" w:type="pct"/>
            <w:shd w:val="clear" w:color="auto" w:fill="auto"/>
            <w:vAlign w:val="center"/>
          </w:tcPr>
          <w:p w14:paraId="5257CE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9" w:type="pct"/>
            <w:shd w:val="clear" w:color="auto" w:fill="auto"/>
            <w:vAlign w:val="center"/>
          </w:tcPr>
          <w:p w14:paraId="1C6B4B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6D8D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228" w:type="pct"/>
            <w:shd w:val="clear" w:color="auto" w:fill="auto"/>
            <w:vAlign w:val="center"/>
          </w:tcPr>
          <w:p w14:paraId="2C5B0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w:t>
            </w:r>
          </w:p>
        </w:tc>
        <w:tc>
          <w:tcPr>
            <w:tcW w:w="565" w:type="pct"/>
            <w:shd w:val="clear" w:color="auto" w:fill="auto"/>
            <w:vAlign w:val="center"/>
          </w:tcPr>
          <w:p w14:paraId="2C30F3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移动公卫系统（含两卡制</w:t>
            </w:r>
            <w:r>
              <w:rPr>
                <w:rFonts w:hint="eastAsia" w:ascii="宋体" w:hAnsi="宋体" w:cs="宋体"/>
                <w:i w:val="0"/>
                <w:iCs w:val="0"/>
                <w:color w:val="000000"/>
                <w:kern w:val="0"/>
                <w:sz w:val="21"/>
                <w:szCs w:val="21"/>
                <w:u w:val="none"/>
                <w:lang w:val="en-US" w:eastAsia="zh-CN" w:bidi="ar"/>
              </w:rPr>
              <w:t>管理系统及</w:t>
            </w:r>
            <w:r>
              <w:rPr>
                <w:rFonts w:hint="eastAsia" w:ascii="宋体" w:hAnsi="宋体" w:eastAsia="宋体" w:cs="宋体"/>
                <w:i w:val="0"/>
                <w:iCs w:val="0"/>
                <w:color w:val="000000"/>
                <w:kern w:val="0"/>
                <w:sz w:val="21"/>
                <w:szCs w:val="21"/>
                <w:u w:val="none"/>
                <w:lang w:val="en-US" w:eastAsia="zh-CN" w:bidi="ar"/>
              </w:rPr>
              <w:t>人脸识别）</w:t>
            </w:r>
          </w:p>
        </w:tc>
        <w:tc>
          <w:tcPr>
            <w:tcW w:w="3747" w:type="pct"/>
            <w:shd w:val="clear" w:color="auto" w:fill="auto"/>
            <w:vAlign w:val="center"/>
          </w:tcPr>
          <w:p w14:paraId="75DE14A9">
            <w:pPr>
              <w:keepNext w:val="0"/>
              <w:keepLines w:val="0"/>
              <w:widowControl/>
              <w:suppressLineNumbers w:val="0"/>
              <w:ind w:firstLineChars="2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公卫系统主要是为村医/家庭医生做基本公共卫生服务时提供基本公卫服务数据的录入软件。乡镇卫生院和村卫生室的医生手持移动端进行公共卫生服务时，可实时在线调阅居民健康档案、记录随访数据，随访数据在PAD录入后将同步上传到基本公卫系统，保证公卫数据采集的实时性、一致性</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系统需具备以下功能：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1.新增家庭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管理家庭信息，包含查询家庭、新增家庭电子档案录入家庭基本信息、编辑家庭基本信息、以及新增家庭成员。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2.新增成员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添加及维护居民档案信息，包括基本信息、各类人群专项档案信息以及体检信息。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3.高血压随访管理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新增、编辑、修改、删除高血压患者随访记录。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4.二型糖尿病随访管理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新增、编辑、修改、删除糖尿病患者随访记录。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5.肺结核管理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新增、编辑、修改、删除肺结核患者随访记录。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6.冠心病管理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新增、编辑、修改、删除冠心病患者随访记录。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7.脑卒中管理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新增、编辑、修改、删除脑卒中患者随访记录。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8.残疾人管理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新增、编辑、修改、删除残疾人随访记录。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9.老年人管理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通过老年人管理功能，实现老年人自理能力评估、老人抑郁调查、老人认知调查等。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10.严重精神障碍患者管理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新增、编辑、修改、删除严重精神障碍患者随访记录。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11.儿童管理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新增、编辑、修改、删除0~6岁儿童随访记录。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12.孕产妇管理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通过妇女健康管理功能，实现孕产妇登记、第一次产前随访、第2~5次产前随访、分娩登记、产后访视、产后42天随访管理。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13.体检管理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新增、编辑、修改、删除残体检记录。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14.老年人中医药健康管理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通过老年人中医保健管理功能，实现老年人中医药健康管理服务内容的新增，对老年人中医保健随访等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15.查询统计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可按时间段，查询统计各类人群服务数量。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16.数据上传管理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通过上传功能将数据上传到冠新公卫系统中。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17.两卡制人脸识别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通过移动终端进行活体检测，并提交采集的身份信息及人脸照片到中心，实现人脸识别；用于基本公共卫生服务的真实性确认环节</w:t>
            </w:r>
            <w:r>
              <w:rPr>
                <w:rFonts w:hint="eastAsia" w:ascii="宋体" w:hAnsi="宋体" w:cs="宋体"/>
                <w:i w:val="0"/>
                <w:iCs w:val="0"/>
                <w:color w:val="000000"/>
                <w:kern w:val="0"/>
                <w:sz w:val="21"/>
                <w:szCs w:val="21"/>
                <w:u w:val="none"/>
                <w:lang w:val="en-US" w:eastAsia="zh-CN" w:bidi="ar"/>
              </w:rPr>
              <w:t>。</w:t>
            </w:r>
          </w:p>
        </w:tc>
        <w:tc>
          <w:tcPr>
            <w:tcW w:w="229" w:type="pct"/>
            <w:shd w:val="clear" w:color="auto" w:fill="auto"/>
            <w:vAlign w:val="center"/>
          </w:tcPr>
          <w:p w14:paraId="1CF8AC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29" w:type="pct"/>
            <w:shd w:val="clear" w:color="auto" w:fill="auto"/>
            <w:vAlign w:val="center"/>
          </w:tcPr>
          <w:p w14:paraId="2286D3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31E4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228" w:type="pct"/>
            <w:shd w:val="clear" w:color="auto" w:fill="auto"/>
            <w:vAlign w:val="center"/>
          </w:tcPr>
          <w:p w14:paraId="5D1C0A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6</w:t>
            </w:r>
          </w:p>
        </w:tc>
        <w:tc>
          <w:tcPr>
            <w:tcW w:w="565" w:type="pct"/>
            <w:shd w:val="clear" w:color="auto" w:fill="auto"/>
            <w:vAlign w:val="center"/>
          </w:tcPr>
          <w:p w14:paraId="4BB624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基层数据智能采集系统</w:t>
            </w:r>
          </w:p>
        </w:tc>
        <w:tc>
          <w:tcPr>
            <w:tcW w:w="3747" w:type="pct"/>
            <w:shd w:val="clear" w:color="auto" w:fill="auto"/>
            <w:vAlign w:val="center"/>
          </w:tcPr>
          <w:p w14:paraId="7D3033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系统需支持通过接口对接的方式与LIS和PACS系统进行对接，实现检查检验的结构化数据的自动上传。</w:t>
            </w:r>
          </w:p>
        </w:tc>
        <w:tc>
          <w:tcPr>
            <w:tcW w:w="229" w:type="pct"/>
            <w:shd w:val="clear" w:color="auto" w:fill="auto"/>
            <w:vAlign w:val="center"/>
          </w:tcPr>
          <w:p w14:paraId="7ECDC3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9" w:type="pct"/>
            <w:shd w:val="clear" w:color="auto" w:fill="auto"/>
            <w:vAlign w:val="center"/>
          </w:tcPr>
          <w:p w14:paraId="60EDBF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470D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228" w:type="pct"/>
            <w:shd w:val="clear" w:color="auto" w:fill="auto"/>
            <w:vAlign w:val="center"/>
          </w:tcPr>
          <w:p w14:paraId="6A235A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7</w:t>
            </w:r>
          </w:p>
        </w:tc>
        <w:tc>
          <w:tcPr>
            <w:tcW w:w="565" w:type="pct"/>
            <w:shd w:val="clear" w:color="auto" w:fill="auto"/>
            <w:vAlign w:val="center"/>
          </w:tcPr>
          <w:p w14:paraId="1A2206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平板电脑</w:t>
            </w:r>
          </w:p>
        </w:tc>
        <w:tc>
          <w:tcPr>
            <w:tcW w:w="3747" w:type="pct"/>
            <w:shd w:val="clear" w:color="auto" w:fill="auto"/>
            <w:vAlign w:val="center"/>
          </w:tcPr>
          <w:p w14:paraId="0C9B23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CPU型号：高通骁龙™888：八核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屏幕尺寸：11英寸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屏幕类型：IPS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屏幕色彩：1670万色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分辨率：2800×1840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屏幕像素密度：WQXGA2560x1600像素，275PPI</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对比度：1000:1（典型值）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亮度：300nits（典型值）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电池：8300mAh（典型值）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多点触控：10点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传输功能：支持WLAN、USB、蓝牙、无线投屏、数据流量等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机身内存（ROM）：128GB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运行内存（RAM）：8GB</w:t>
            </w:r>
          </w:p>
        </w:tc>
        <w:tc>
          <w:tcPr>
            <w:tcW w:w="229" w:type="pct"/>
            <w:shd w:val="clear" w:color="auto" w:fill="auto"/>
            <w:vAlign w:val="center"/>
          </w:tcPr>
          <w:p w14:paraId="533BEB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29" w:type="pct"/>
            <w:shd w:val="clear" w:color="auto" w:fill="auto"/>
            <w:vAlign w:val="center"/>
          </w:tcPr>
          <w:p w14:paraId="0B925F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0483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0" w:hRule="atLeast"/>
        </w:trPr>
        <w:tc>
          <w:tcPr>
            <w:tcW w:w="228" w:type="pct"/>
            <w:shd w:val="clear" w:color="auto" w:fill="auto"/>
            <w:vAlign w:val="center"/>
          </w:tcPr>
          <w:p w14:paraId="5175BB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8</w:t>
            </w:r>
          </w:p>
        </w:tc>
        <w:tc>
          <w:tcPr>
            <w:tcW w:w="565" w:type="pct"/>
            <w:shd w:val="clear" w:color="auto" w:fill="auto"/>
            <w:vAlign w:val="center"/>
          </w:tcPr>
          <w:p w14:paraId="5E0298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蓝牙指纹身份证读卡器</w:t>
            </w:r>
          </w:p>
        </w:tc>
        <w:tc>
          <w:tcPr>
            <w:tcW w:w="3747" w:type="pct"/>
            <w:shd w:val="clear" w:color="auto" w:fill="auto"/>
            <w:vAlign w:val="center"/>
          </w:tcPr>
          <w:p w14:paraId="6BE7975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连接方式：USB2.0接口有线连接和蓝牙无线传输二合一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1.读取证件类型：居民身份证、港澳台居住证、外国人永久居住证；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2.读卡距离：0-3cm；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3.阅读时间：&lt;1.0s（带指纹信息证件&lt;1.5s）；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4.天线能量输出：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（1）天线表面磁场强度（Hmax）≤7.5A/mrms；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（2）天线表面法线方向5cm处电磁场强度（Hmin）≥1.5A/mrms；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5.工作频率(fc)13.56MHz±7kHz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6.蓝牙接口：遵循BluetoothV2.0、V4.0双模+EDR蓝牙规范，Class2功率级别。内置2.4GPCB蓝牙射频天线空旷、无遮挡地带，收发距离可达20米，具备加密与安全验证功能；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7.指纹采集器参数（采集器选配内置或外接）。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（1）传感器类型：半导体电容式；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（2）采集模式：按压式；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（3）传感器大小：23.0*35.0mm；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（3）有效图像尺寸：12.8*18.0mm；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（4）图像大小：256*360pixel；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（5）图像分辨率：508dpi；</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（6）比对方式：1：1；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（7）比对时间：≤0.1s；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8.USB接口：USB2.0接口规范；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9．适用平台：Android/IOS/WindowsXP、Windows7、Windows10等常见操作系统/Linux/UNIX；</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10.充电器：DC5V/2.0A；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11.充电接口：typec采用PC-USB或5V/2A电源适配器充电器，电流不能超过2.0A；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12.电池：4000mAh锂电池；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13.工作温度：0℃～50℃；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14.工作相对湿度：20%～90%RH；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15.贮运温度及相对湿度：-10℃～55℃；20%～93%；</w:t>
            </w:r>
          </w:p>
        </w:tc>
        <w:tc>
          <w:tcPr>
            <w:tcW w:w="229" w:type="pct"/>
            <w:shd w:val="clear" w:color="auto" w:fill="auto"/>
            <w:vAlign w:val="center"/>
          </w:tcPr>
          <w:p w14:paraId="4513BE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29" w:type="pct"/>
            <w:shd w:val="clear" w:color="auto" w:fill="auto"/>
            <w:vAlign w:val="center"/>
          </w:tcPr>
          <w:p w14:paraId="6701B1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363C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28" w:type="pct"/>
            <w:shd w:val="clear" w:color="auto" w:fill="auto"/>
            <w:vAlign w:val="center"/>
          </w:tcPr>
          <w:p w14:paraId="636EB65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9</w:t>
            </w:r>
          </w:p>
        </w:tc>
        <w:tc>
          <w:tcPr>
            <w:tcW w:w="565" w:type="pct"/>
            <w:shd w:val="clear" w:color="auto" w:fill="auto"/>
            <w:vAlign w:val="center"/>
          </w:tcPr>
          <w:p w14:paraId="69FA05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蓝牙条码打印机</w:t>
            </w:r>
          </w:p>
        </w:tc>
        <w:tc>
          <w:tcPr>
            <w:tcW w:w="3747" w:type="pct"/>
            <w:shd w:val="clear" w:color="auto" w:fill="auto"/>
            <w:vAlign w:val="center"/>
          </w:tcPr>
          <w:p w14:paraId="021BCE8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1.分辨率：8点/毫米(203DPI)；</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2.打印模式：热感式；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3.最大打印速度：50.8毫米(2")/秒；最大打印宽度：72毫米(2.83")；最大打印长度：2,794毫米(110”)；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5.内存：16MBFlashmemory，64MBSDRAM；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6.接口：USB2.0，内接式蓝牙4.2；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7.电池：充电式电池(7.4VDC,2000mAh锂电池)；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8.电源规格：交流输入AC100-240V,2.0A,50-60Hz；直流输出DC5V,2.0A；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9.传感器：纸张间距传感器、黑线标记传感器、印字头抬起传感器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10.内建字型：八种位图字体、可透过软件下载Windows字型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11.使用环境条件：操作环境:0~40°C,湿度(非凝结)10~85%，储存环境:-20~60°C湿度(非凝结)5~90%</w:t>
            </w:r>
          </w:p>
        </w:tc>
        <w:tc>
          <w:tcPr>
            <w:tcW w:w="229" w:type="pct"/>
            <w:shd w:val="clear" w:color="auto" w:fill="auto"/>
            <w:vAlign w:val="center"/>
          </w:tcPr>
          <w:p w14:paraId="505494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29" w:type="pct"/>
            <w:shd w:val="clear" w:color="auto" w:fill="auto"/>
            <w:vAlign w:val="center"/>
          </w:tcPr>
          <w:p w14:paraId="6DC2C5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601D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06" w:hRule="atLeast"/>
        </w:trPr>
        <w:tc>
          <w:tcPr>
            <w:tcW w:w="5000" w:type="pct"/>
            <w:gridSpan w:val="5"/>
            <w:shd w:val="clear" w:color="auto" w:fill="auto"/>
            <w:vAlign w:val="center"/>
          </w:tcPr>
          <w:p w14:paraId="73F2BA9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b w:val="0"/>
                <w:bCs w:val="0"/>
                <w:color w:val="auto"/>
                <w:sz w:val="24"/>
                <w:szCs w:val="24"/>
              </w:rPr>
              <w:t>注：</w:t>
            </w:r>
            <w:r>
              <w:rPr>
                <w:rFonts w:hint="eastAsia" w:ascii="宋体" w:hAnsi="宋体" w:cs="宋体"/>
                <w:color w:val="auto"/>
                <w:sz w:val="24"/>
              </w:rPr>
              <w:t>投标公司请认真评估本项目所有技术要求表</w:t>
            </w:r>
            <w:r>
              <w:rPr>
                <w:rFonts w:hint="eastAsia" w:ascii="宋体" w:hAnsi="宋体" w:cs="宋体"/>
                <w:color w:val="auto"/>
                <w:sz w:val="24"/>
                <w:lang w:eastAsia="zh-CN"/>
              </w:rPr>
              <w:t>，</w:t>
            </w:r>
            <w:r>
              <w:rPr>
                <w:rFonts w:hint="eastAsia" w:ascii="宋体" w:hAnsi="宋体" w:cs="宋体"/>
                <w:color w:val="auto"/>
                <w:sz w:val="24"/>
              </w:rPr>
              <w:t>“▲”均要求投标供应商提供截图证明等文件，否则被视为不响应</w:t>
            </w:r>
            <w:r>
              <w:rPr>
                <w:rFonts w:hint="eastAsia" w:ascii="宋体" w:hAnsi="宋体" w:cs="宋体"/>
                <w:color w:val="auto"/>
                <w:sz w:val="24"/>
                <w:lang w:val="en-US" w:eastAsia="zh-CN"/>
              </w:rPr>
              <w:t>该条款</w:t>
            </w:r>
            <w:r>
              <w:rPr>
                <w:rFonts w:hint="eastAsia" w:ascii="宋体" w:hAnsi="宋体" w:cs="宋体"/>
                <w:color w:val="auto"/>
                <w:sz w:val="24"/>
                <w:lang w:eastAsia="zh-CN"/>
              </w:rPr>
              <w:t>。</w:t>
            </w:r>
            <w:r>
              <w:rPr>
                <w:rFonts w:hint="eastAsia" w:ascii="宋体" w:hAnsi="宋体" w:cs="宋体"/>
                <w:color w:val="auto"/>
                <w:sz w:val="24"/>
              </w:rPr>
              <w:t>“★”均为实际响应要求，需按要求响应</w:t>
            </w:r>
            <w:r>
              <w:rPr>
                <w:rFonts w:hint="eastAsia" w:ascii="宋体" w:hAnsi="宋体" w:cs="宋体"/>
                <w:color w:val="auto"/>
                <w:sz w:val="24"/>
                <w:lang w:val="en-US" w:eastAsia="zh-CN"/>
              </w:rPr>
              <w:t>并</w:t>
            </w:r>
            <w:r>
              <w:rPr>
                <w:rFonts w:hint="eastAsia" w:ascii="宋体" w:hAnsi="宋体" w:cs="宋体"/>
                <w:color w:val="auto"/>
                <w:sz w:val="24"/>
              </w:rPr>
              <w:t>提供截图证明等文件，若有任意一项偏离，投标文件作否决投标处理。</w:t>
            </w:r>
          </w:p>
        </w:tc>
      </w:tr>
    </w:tbl>
    <w:p w14:paraId="49F12456">
      <w:pPr>
        <w:pStyle w:val="12"/>
        <w:rPr>
          <w:rFonts w:hint="eastAsia" w:ascii="宋体" w:hAnsi="宋体" w:eastAsia="宋体" w:cs="宋体"/>
          <w:b w:val="0"/>
          <w:bCs w:val="0"/>
          <w:color w:val="000000"/>
          <w:sz w:val="24"/>
          <w:szCs w:val="24"/>
          <w:lang w:val="en-US" w:eastAsia="zh-CN"/>
        </w:rPr>
      </w:pPr>
    </w:p>
    <w:p w14:paraId="20F3C129">
      <w:pPr>
        <w:pStyle w:val="12"/>
        <w:rPr>
          <w:rFonts w:hint="eastAsia" w:ascii="宋体" w:hAnsi="宋体" w:eastAsia="宋体" w:cs="宋体"/>
          <w:b/>
          <w:bCs w:val="0"/>
          <w:kern w:val="2"/>
          <w:sz w:val="24"/>
          <w:szCs w:val="24"/>
          <w:lang w:val="en-US" w:eastAsia="zh-CN" w:bidi="ar-SA"/>
        </w:rPr>
      </w:pPr>
      <w:r>
        <w:rPr>
          <w:rFonts w:hint="eastAsia" w:ascii="宋体" w:hAnsi="宋体" w:cs="宋体"/>
          <w:b/>
          <w:bCs w:val="0"/>
          <w:kern w:val="2"/>
          <w:sz w:val="24"/>
          <w:szCs w:val="24"/>
          <w:lang w:val="en-US" w:eastAsia="zh-CN" w:bidi="ar-SA"/>
        </w:rPr>
        <w:t>2</w:t>
      </w:r>
      <w:r>
        <w:rPr>
          <w:rFonts w:hint="eastAsia" w:ascii="宋体" w:hAnsi="宋体" w:eastAsia="宋体" w:cs="宋体"/>
          <w:b/>
          <w:bCs w:val="0"/>
          <w:kern w:val="2"/>
          <w:sz w:val="24"/>
          <w:szCs w:val="24"/>
          <w:lang w:val="en-US" w:eastAsia="zh-CN" w:bidi="ar-SA"/>
        </w:rPr>
        <w:t>、商务要求</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7800"/>
      </w:tblGrid>
      <w:tr w14:paraId="648F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1839" w:type="dxa"/>
            <w:shd w:val="clear" w:color="auto" w:fill="auto"/>
            <w:vAlign w:val="center"/>
          </w:tcPr>
          <w:p w14:paraId="60133E2B">
            <w:pPr>
              <w:snapToGrid w:val="0"/>
              <w:spacing w:line="336" w:lineRule="exact"/>
              <w:rPr>
                <w:rFonts w:hint="default" w:ascii="宋体" w:hAnsi="宋体" w:eastAsia="宋体" w:cs="宋体"/>
                <w:b w:val="0"/>
                <w:bCs/>
                <w:color w:val="FF0000"/>
                <w:sz w:val="21"/>
                <w:szCs w:val="21"/>
                <w:lang w:val="en-US" w:eastAsia="zh-CN"/>
              </w:rPr>
            </w:pPr>
            <w:r>
              <w:rPr>
                <w:rFonts w:hint="eastAsia" w:ascii="宋体" w:hAnsi="宋体" w:eastAsia="宋体" w:cs="宋体"/>
                <w:b w:val="0"/>
                <w:bCs/>
                <w:color w:val="auto"/>
                <w:sz w:val="21"/>
                <w:szCs w:val="21"/>
                <w:lang w:val="en-US" w:eastAsia="zh-CN"/>
              </w:rPr>
              <w:t>（一）供应商资质</w:t>
            </w:r>
          </w:p>
        </w:tc>
        <w:tc>
          <w:tcPr>
            <w:tcW w:w="7800" w:type="dxa"/>
            <w:shd w:val="clear" w:color="auto" w:fill="auto"/>
            <w:vAlign w:val="center"/>
          </w:tcPr>
          <w:p w14:paraId="3954397B">
            <w:pPr>
              <w:snapToGrid w:val="0"/>
              <w:spacing w:line="336" w:lineRule="exact"/>
              <w:rPr>
                <w:rFonts w:hint="eastAsia" w:ascii="宋体" w:hAnsi="宋体" w:eastAsia="宋体" w:cs="宋体"/>
                <w:b w:val="0"/>
                <w:bCs/>
                <w:color w:val="FF0000"/>
                <w:sz w:val="21"/>
                <w:szCs w:val="21"/>
                <w:lang w:val="en-US"/>
              </w:rPr>
            </w:pPr>
            <w:r>
              <w:rPr>
                <w:rFonts w:hint="eastAsia" w:ascii="宋体" w:hAnsi="宋体" w:eastAsia="宋体" w:cs="宋体"/>
                <w:sz w:val="24"/>
                <w:szCs w:val="24"/>
              </w:rPr>
              <w:t>国内注册【依法在市场监督管理部门（或行政审批部门）登记注册】的，具</w:t>
            </w:r>
            <w:r>
              <w:rPr>
                <w:rFonts w:hint="eastAsia" w:ascii="宋体" w:hAnsi="宋体" w:eastAsia="宋体" w:cs="宋体"/>
                <w:sz w:val="24"/>
                <w:szCs w:val="24"/>
                <w:lang w:val="en-US" w:eastAsia="zh-CN"/>
              </w:rPr>
              <w:t>备合法</w:t>
            </w:r>
            <w:r>
              <w:rPr>
                <w:rFonts w:hint="eastAsia" w:ascii="宋体" w:hAnsi="宋体" w:eastAsia="宋体" w:cs="宋体"/>
                <w:sz w:val="24"/>
                <w:szCs w:val="24"/>
              </w:rPr>
              <w:t>资格的供应商</w:t>
            </w:r>
            <w:r>
              <w:rPr>
                <w:rFonts w:hint="eastAsia" w:ascii="宋体" w:hAnsi="宋体" w:cs="宋体"/>
                <w:sz w:val="24"/>
                <w:szCs w:val="24"/>
                <w:lang w:eastAsia="zh-CN"/>
              </w:rPr>
              <w:t>。</w:t>
            </w:r>
          </w:p>
        </w:tc>
      </w:tr>
      <w:tr w14:paraId="02AF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1839" w:type="dxa"/>
            <w:shd w:val="clear" w:color="auto" w:fill="auto"/>
            <w:vAlign w:val="center"/>
          </w:tcPr>
          <w:p w14:paraId="2A7CC117">
            <w:pPr>
              <w:snapToGrid w:val="0"/>
              <w:spacing w:line="336" w:lineRule="exact"/>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二</w:t>
            </w:r>
            <w:r>
              <w:rPr>
                <w:rFonts w:hint="eastAsia" w:ascii="宋体" w:hAnsi="宋体" w:eastAsia="宋体" w:cs="宋体"/>
                <w:sz w:val="24"/>
                <w:szCs w:val="24"/>
                <w:lang w:val="en-US" w:eastAsia="zh-CN"/>
              </w:rPr>
              <w:t>）</w:t>
            </w:r>
            <w:r>
              <w:rPr>
                <w:rFonts w:hint="eastAsia" w:ascii="宋体" w:hAnsi="宋体" w:eastAsia="宋体" w:cs="宋体"/>
                <w:sz w:val="24"/>
                <w:szCs w:val="24"/>
                <w:lang w:val="zh-CN"/>
              </w:rPr>
              <w:t>提供免费技术培训</w:t>
            </w:r>
          </w:p>
          <w:p w14:paraId="2F957187">
            <w:pPr>
              <w:jc w:val="center"/>
              <w:rPr>
                <w:rFonts w:hint="eastAsia" w:ascii="宋体" w:hAnsi="宋体" w:eastAsia="宋体" w:cs="宋体"/>
                <w:b w:val="0"/>
                <w:bCs/>
                <w:color w:val="000000"/>
                <w:kern w:val="2"/>
                <w:sz w:val="24"/>
                <w:szCs w:val="24"/>
                <w:lang w:val="en-US" w:eastAsia="zh-CN" w:bidi="ar-SA"/>
              </w:rPr>
            </w:pPr>
          </w:p>
        </w:tc>
        <w:tc>
          <w:tcPr>
            <w:tcW w:w="7800" w:type="dxa"/>
            <w:shd w:val="clear" w:color="auto" w:fill="auto"/>
            <w:vAlign w:val="center"/>
          </w:tcPr>
          <w:p w14:paraId="6BC2C8E1">
            <w:pPr>
              <w:snapToGrid w:val="0"/>
              <w:spacing w:line="336" w:lineRule="exact"/>
              <w:rPr>
                <w:rFonts w:hint="eastAsia" w:ascii="宋体" w:hAnsi="宋体" w:eastAsia="宋体" w:cs="宋体"/>
                <w:b w:val="0"/>
                <w:bCs/>
                <w:kern w:val="0"/>
                <w:sz w:val="24"/>
                <w:szCs w:val="24"/>
                <w:lang w:val="en-US" w:eastAsia="zh-CN" w:bidi="ar-SA"/>
              </w:rPr>
            </w:pPr>
            <w:r>
              <w:rPr>
                <w:rFonts w:hint="eastAsia" w:ascii="宋体" w:hAnsi="宋体" w:eastAsia="宋体" w:cs="宋体"/>
                <w:sz w:val="24"/>
                <w:szCs w:val="24"/>
              </w:rPr>
              <w:t>须提供详细的项目培训计划；对系统使用人员、系统运行维护管理人员等不同对象的培训计划；培训课程安排、培训方式及时间；地点场所由采购人提供；提供系统操作培训：主要面向医院医务人员及相关管理部门等使用系统的人员，提供操作培训；提供系统日常维护系统培训：主要面向医院信息管理技术人员进行培训，使其具备独立进行系统日常维护、故障的诊断与处理等方面的培训。</w:t>
            </w:r>
          </w:p>
        </w:tc>
      </w:tr>
      <w:tr w14:paraId="2B93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839" w:type="dxa"/>
            <w:shd w:val="clear" w:color="auto" w:fill="auto"/>
            <w:vAlign w:val="center"/>
          </w:tcPr>
          <w:p w14:paraId="59FDE80F">
            <w:pPr>
              <w:snapToGrid w:val="0"/>
              <w:spacing w:line="336" w:lineRule="exact"/>
              <w:rPr>
                <w:rFonts w:hint="eastAsia" w:ascii="宋体" w:hAnsi="宋体" w:eastAsia="宋体" w:cs="宋体"/>
                <w:b w:val="0"/>
                <w:bCs/>
                <w:color w:val="000000"/>
                <w:sz w:val="24"/>
                <w:szCs w:val="24"/>
              </w:rPr>
            </w:pPr>
            <w:r>
              <w:rPr>
                <w:rFonts w:hint="eastAsia" w:ascii="宋体" w:hAnsi="宋体" w:eastAsia="宋体" w:cs="宋体"/>
                <w:sz w:val="24"/>
                <w:szCs w:val="24"/>
                <w:lang w:val="zh-CN"/>
              </w:rPr>
              <w:t>（</w:t>
            </w:r>
            <w:r>
              <w:rPr>
                <w:rFonts w:hint="eastAsia" w:ascii="宋体" w:hAnsi="宋体" w:cs="宋体"/>
                <w:sz w:val="24"/>
                <w:szCs w:val="24"/>
                <w:lang w:val="en-US" w:eastAsia="zh-CN"/>
              </w:rPr>
              <w:t>三</w:t>
            </w:r>
            <w:r>
              <w:rPr>
                <w:rFonts w:hint="eastAsia" w:ascii="宋体" w:hAnsi="宋体" w:eastAsia="宋体" w:cs="宋体"/>
                <w:sz w:val="24"/>
                <w:szCs w:val="24"/>
                <w:lang w:val="zh-CN"/>
              </w:rPr>
              <w:t>）</w:t>
            </w:r>
            <w:r>
              <w:rPr>
                <w:rFonts w:hint="eastAsia" w:ascii="宋体" w:hAnsi="宋体" w:eastAsia="宋体" w:cs="宋体"/>
                <w:sz w:val="24"/>
                <w:szCs w:val="24"/>
              </w:rPr>
              <w:t>交付地点</w:t>
            </w:r>
          </w:p>
        </w:tc>
        <w:tc>
          <w:tcPr>
            <w:tcW w:w="7800" w:type="dxa"/>
            <w:shd w:val="clear" w:color="auto" w:fill="auto"/>
            <w:vAlign w:val="center"/>
          </w:tcPr>
          <w:p w14:paraId="5F0D145C">
            <w:pPr>
              <w:snapToGrid w:val="0"/>
              <w:spacing w:line="336" w:lineRule="exact"/>
              <w:rPr>
                <w:rFonts w:hint="eastAsia" w:ascii="宋体" w:hAnsi="宋体" w:eastAsia="宋体" w:cs="宋体"/>
                <w:sz w:val="24"/>
                <w:szCs w:val="24"/>
              </w:rPr>
            </w:pPr>
            <w:r>
              <w:rPr>
                <w:rFonts w:hint="eastAsia" w:ascii="宋体" w:hAnsi="宋体" w:eastAsia="宋体" w:cs="宋体"/>
                <w:sz w:val="24"/>
                <w:szCs w:val="24"/>
              </w:rPr>
              <w:t>1.交付期：自签订合同之日起</w:t>
            </w:r>
            <w:r>
              <w:rPr>
                <w:rFonts w:hint="eastAsia" w:ascii="宋体" w:hAnsi="宋体" w:eastAsia="宋体" w:cs="宋体"/>
                <w:sz w:val="24"/>
                <w:szCs w:val="24"/>
                <w:lang w:val="en-US" w:eastAsia="zh-CN"/>
              </w:rPr>
              <w:t>60</w:t>
            </w:r>
            <w:r>
              <w:rPr>
                <w:rFonts w:hint="eastAsia" w:ascii="宋体" w:hAnsi="宋体" w:eastAsia="宋体" w:cs="宋体"/>
                <w:sz w:val="24"/>
                <w:szCs w:val="24"/>
              </w:rPr>
              <w:t>日历日内验收合格并交付采购人使用。</w:t>
            </w:r>
          </w:p>
          <w:p w14:paraId="4558604E">
            <w:pPr>
              <w:widowControl/>
              <w:jc w:val="left"/>
              <w:rPr>
                <w:rFonts w:hint="eastAsia" w:ascii="宋体" w:hAnsi="宋体" w:eastAsia="宋体" w:cs="宋体"/>
                <w:b w:val="0"/>
                <w:bCs/>
                <w:kern w:val="0"/>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招标人指定地点。</w:t>
            </w:r>
          </w:p>
        </w:tc>
      </w:tr>
      <w:tr w14:paraId="09E1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9" w:type="dxa"/>
            <w:shd w:val="clear" w:color="auto" w:fill="auto"/>
            <w:vAlign w:val="center"/>
          </w:tcPr>
          <w:p w14:paraId="14358007">
            <w:pPr>
              <w:jc w:val="both"/>
              <w:rPr>
                <w:rFonts w:hint="eastAsia" w:ascii="宋体" w:hAnsi="宋体" w:eastAsia="宋体" w:cs="宋体"/>
                <w:b w:val="0"/>
                <w:bCs/>
                <w:color w:val="000000"/>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四</w:t>
            </w:r>
            <w:r>
              <w:rPr>
                <w:rFonts w:hint="eastAsia" w:ascii="宋体" w:hAnsi="宋体" w:eastAsia="宋体" w:cs="宋体"/>
                <w:sz w:val="24"/>
                <w:szCs w:val="24"/>
              </w:rPr>
              <w:t>）付款方式</w:t>
            </w:r>
          </w:p>
        </w:tc>
        <w:tc>
          <w:tcPr>
            <w:tcW w:w="7800" w:type="dxa"/>
            <w:shd w:val="clear" w:color="auto" w:fill="auto"/>
            <w:vAlign w:val="center"/>
          </w:tcPr>
          <w:p w14:paraId="0AA83085">
            <w:pPr>
              <w:spacing w:line="360" w:lineRule="exact"/>
              <w:ind w:right="-55" w:rightChars="-26"/>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cs="宋体"/>
                <w:bCs/>
                <w:sz w:val="24"/>
                <w:szCs w:val="24"/>
                <w:lang w:val="en-US" w:eastAsia="zh-CN"/>
              </w:rPr>
              <w:t>.</w:t>
            </w:r>
            <w:r>
              <w:rPr>
                <w:rFonts w:hint="eastAsia" w:ascii="宋体" w:hAnsi="宋体"/>
                <w:sz w:val="24"/>
              </w:rPr>
              <w:t>付款方式：合同签订之后，乙方将尽快安排入场安装，在软件上线并验收合格后，乙方开具对应金额的有效发票，甲方在收到发票</w:t>
            </w:r>
            <w:r>
              <w:rPr>
                <w:rFonts w:hint="eastAsia" w:ascii="宋体" w:hAnsi="宋体"/>
                <w:color w:val="000000" w:themeColor="text1"/>
                <w:sz w:val="24"/>
                <w:u w:val="none"/>
                <w:lang w:val="en-US" w:eastAsia="zh-CN"/>
                <w14:textFill>
                  <w14:solidFill>
                    <w14:schemeClr w14:val="tx1"/>
                  </w14:solidFill>
                </w14:textFill>
              </w:rPr>
              <w:t>后</w:t>
            </w:r>
            <w:r>
              <w:rPr>
                <w:rFonts w:hint="eastAsia" w:ascii="宋体" w:hAnsi="宋体"/>
                <w:sz w:val="24"/>
              </w:rPr>
              <w:t>，</w:t>
            </w:r>
            <w:r>
              <w:rPr>
                <w:rFonts w:hint="eastAsia" w:ascii="宋体" w:hAnsi="宋体"/>
                <w:sz w:val="24"/>
                <w:lang w:val="en-US" w:eastAsia="zh-CN"/>
              </w:rPr>
              <w:t>60</w:t>
            </w:r>
            <w:r>
              <w:rPr>
                <w:rFonts w:hint="eastAsia" w:ascii="宋体" w:hAnsi="宋体"/>
                <w:sz w:val="24"/>
              </w:rPr>
              <w:t>个工作</w:t>
            </w:r>
            <w:r>
              <w:rPr>
                <w:rFonts w:hint="eastAsia" w:ascii="宋体" w:hAnsi="宋体"/>
                <w:sz w:val="24"/>
                <w:lang w:val="en-US" w:eastAsia="zh-CN"/>
              </w:rPr>
              <w:t>日后</w:t>
            </w:r>
            <w:r>
              <w:rPr>
                <w:rFonts w:hint="eastAsia" w:ascii="宋体" w:hAnsi="宋体"/>
                <w:sz w:val="24"/>
              </w:rPr>
              <w:t>将终验款（合同金额9</w:t>
            </w:r>
            <w:r>
              <w:rPr>
                <w:rFonts w:hint="eastAsia" w:ascii="宋体" w:hAnsi="宋体"/>
                <w:sz w:val="24"/>
                <w:lang w:val="en-US" w:eastAsia="zh-CN"/>
              </w:rPr>
              <w:t>5</w:t>
            </w:r>
            <w:r>
              <w:rPr>
                <w:rFonts w:ascii="宋体" w:hAnsi="宋体"/>
                <w:sz w:val="24"/>
              </w:rPr>
              <w:t>%</w:t>
            </w:r>
            <w:r>
              <w:rPr>
                <w:rFonts w:hint="eastAsia" w:ascii="宋体" w:hAnsi="宋体"/>
                <w:sz w:val="24"/>
              </w:rPr>
              <w:t>），一次性支付给乙方；合同总额中包含</w:t>
            </w:r>
            <w:r>
              <w:rPr>
                <w:rFonts w:hint="eastAsia" w:ascii="宋体" w:hAnsi="宋体"/>
                <w:sz w:val="24"/>
                <w:lang w:val="en-US" w:eastAsia="zh-CN"/>
              </w:rPr>
              <w:t>不少于</w:t>
            </w:r>
            <w:r>
              <w:rPr>
                <w:rFonts w:ascii="宋体" w:hAnsi="宋体"/>
                <w:sz w:val="24"/>
                <w:u w:val="single"/>
              </w:rPr>
              <w:t xml:space="preserve"> </w:t>
            </w:r>
            <w:r>
              <w:rPr>
                <w:rFonts w:hint="eastAsia" w:ascii="宋体" w:hAnsi="宋体"/>
                <w:sz w:val="24"/>
                <w:u w:val="single"/>
                <w:lang w:val="en-US" w:eastAsia="zh-CN"/>
              </w:rPr>
              <w:t>1</w:t>
            </w:r>
            <w:r>
              <w:rPr>
                <w:rFonts w:ascii="宋体" w:hAnsi="宋体"/>
                <w:sz w:val="24"/>
                <w:u w:val="single"/>
              </w:rPr>
              <w:t xml:space="preserve"> </w:t>
            </w:r>
            <w:r>
              <w:rPr>
                <w:rFonts w:hint="eastAsia" w:ascii="宋体" w:hAnsi="宋体"/>
                <w:sz w:val="24"/>
              </w:rPr>
              <w:t>年的维保，维保到期后乙方提出履约保证金付款申请，甲方收到申请</w:t>
            </w:r>
            <w:r>
              <w:rPr>
                <w:rFonts w:hint="eastAsia" w:ascii="宋体" w:hAnsi="宋体"/>
                <w:sz w:val="24"/>
                <w:lang w:val="en-US" w:eastAsia="zh-CN"/>
              </w:rPr>
              <w:t>30</w:t>
            </w:r>
            <w:r>
              <w:rPr>
                <w:rFonts w:hint="eastAsia" w:ascii="宋体" w:hAnsi="宋体"/>
                <w:sz w:val="24"/>
              </w:rPr>
              <w:t>个工作日</w:t>
            </w:r>
            <w:r>
              <w:rPr>
                <w:rFonts w:hint="eastAsia" w:ascii="宋体" w:hAnsi="宋体"/>
                <w:sz w:val="24"/>
                <w:lang w:val="en-US" w:eastAsia="zh-CN"/>
              </w:rPr>
              <w:t>后</w:t>
            </w:r>
            <w:r>
              <w:rPr>
                <w:rFonts w:hint="eastAsia" w:ascii="宋体" w:hAnsi="宋体"/>
                <w:sz w:val="24"/>
              </w:rPr>
              <w:t>将履约保证金（合同金额</w:t>
            </w:r>
            <w:r>
              <w:rPr>
                <w:rFonts w:hint="eastAsia" w:ascii="宋体" w:hAnsi="宋体"/>
                <w:sz w:val="24"/>
                <w:lang w:val="en-US" w:eastAsia="zh-CN"/>
              </w:rPr>
              <w:t>5</w:t>
            </w:r>
            <w:r>
              <w:rPr>
                <w:rFonts w:ascii="宋体" w:hAnsi="宋体"/>
                <w:sz w:val="24"/>
              </w:rPr>
              <w:t>%</w:t>
            </w:r>
            <w:r>
              <w:rPr>
                <w:rFonts w:hint="eastAsia" w:ascii="宋体" w:hAnsi="宋体"/>
                <w:sz w:val="24"/>
              </w:rPr>
              <w:t>）一次性支付给乙方。合同维保到期以后每年的维保费用不超过合同总额的</w:t>
            </w:r>
            <w:r>
              <w:rPr>
                <w:rFonts w:ascii="宋体" w:hAnsi="宋体"/>
                <w:sz w:val="24"/>
                <w:u w:val="single"/>
              </w:rPr>
              <w:t xml:space="preserve"> </w:t>
            </w:r>
            <w:r>
              <w:rPr>
                <w:rFonts w:hint="eastAsia" w:ascii="宋体" w:hAnsi="宋体"/>
                <w:sz w:val="24"/>
                <w:u w:val="single"/>
                <w:lang w:val="en-US" w:eastAsia="zh-CN"/>
              </w:rPr>
              <w:t>10</w:t>
            </w:r>
            <w:r>
              <w:rPr>
                <w:rFonts w:ascii="宋体" w:hAnsi="宋体"/>
                <w:sz w:val="24"/>
                <w:u w:val="single"/>
              </w:rPr>
              <w:t xml:space="preserve"> </w:t>
            </w:r>
            <w:r>
              <w:rPr>
                <w:rFonts w:ascii="宋体" w:hAnsi="宋体"/>
                <w:sz w:val="24"/>
              </w:rPr>
              <w:t>%</w:t>
            </w:r>
            <w:r>
              <w:rPr>
                <w:rFonts w:hint="eastAsia" w:ascii="宋体" w:hAnsi="宋体"/>
                <w:sz w:val="24"/>
              </w:rPr>
              <w:t>，维保协议双方另行签订。</w:t>
            </w:r>
          </w:p>
          <w:p w14:paraId="7EDFC2AF">
            <w:pPr>
              <w:snapToGrid w:val="0"/>
              <w:spacing w:line="336" w:lineRule="exact"/>
              <w:rPr>
                <w:rFonts w:hint="eastAsia" w:ascii="宋体" w:hAnsi="宋体" w:eastAsia="宋体" w:cs="宋体"/>
                <w:b w:val="0"/>
                <w:bCs/>
                <w:kern w:val="0"/>
                <w:sz w:val="24"/>
                <w:szCs w:val="24"/>
              </w:rPr>
            </w:pPr>
            <w:r>
              <w:rPr>
                <w:rFonts w:hint="eastAsia" w:ascii="宋体" w:hAnsi="宋体" w:eastAsia="宋体" w:cs="宋体"/>
                <w:bCs/>
                <w:sz w:val="24"/>
                <w:szCs w:val="24"/>
              </w:rPr>
              <w:t>2</w:t>
            </w:r>
            <w:r>
              <w:rPr>
                <w:rFonts w:hint="eastAsia" w:ascii="宋体" w:hAnsi="宋体" w:cs="宋体"/>
                <w:bCs/>
                <w:sz w:val="24"/>
                <w:szCs w:val="24"/>
                <w:lang w:val="en-US" w:eastAsia="zh-CN"/>
              </w:rPr>
              <w:t>.</w:t>
            </w:r>
            <w:r>
              <w:rPr>
                <w:rFonts w:hint="eastAsia" w:ascii="宋体" w:hAnsi="宋体" w:cs="宋体"/>
                <w:bCs/>
                <w:color w:val="auto"/>
                <w:sz w:val="24"/>
                <w:szCs w:val="24"/>
                <w:lang w:val="en-US" w:eastAsia="zh-CN"/>
              </w:rPr>
              <w:t>供应商</w:t>
            </w:r>
            <w:r>
              <w:rPr>
                <w:rFonts w:hint="eastAsia" w:ascii="宋体" w:hAnsi="宋体" w:eastAsia="宋体" w:cs="宋体"/>
                <w:bCs/>
                <w:color w:val="auto"/>
                <w:sz w:val="24"/>
                <w:szCs w:val="24"/>
              </w:rPr>
              <w:t>申请款项时需同时开具正式足额发票给</w:t>
            </w:r>
            <w:r>
              <w:rPr>
                <w:rFonts w:hint="eastAsia" w:ascii="宋体" w:hAnsi="宋体" w:cs="宋体"/>
                <w:bCs/>
                <w:color w:val="auto"/>
                <w:sz w:val="24"/>
                <w:szCs w:val="24"/>
                <w:lang w:val="en-US" w:eastAsia="zh-CN"/>
              </w:rPr>
              <w:t>采购</w:t>
            </w:r>
            <w:r>
              <w:rPr>
                <w:rFonts w:hint="eastAsia" w:ascii="宋体" w:hAnsi="宋体" w:eastAsia="宋体" w:cs="宋体"/>
                <w:bCs/>
                <w:color w:val="auto"/>
                <w:sz w:val="24"/>
                <w:szCs w:val="24"/>
              </w:rPr>
              <w:t>人，否则</w:t>
            </w:r>
            <w:r>
              <w:rPr>
                <w:rFonts w:hint="eastAsia" w:ascii="宋体" w:hAnsi="宋体" w:cs="宋体"/>
                <w:bCs/>
                <w:color w:val="auto"/>
                <w:sz w:val="24"/>
                <w:szCs w:val="24"/>
                <w:lang w:val="en-US" w:eastAsia="zh-CN"/>
              </w:rPr>
              <w:t>采购</w:t>
            </w:r>
            <w:r>
              <w:rPr>
                <w:rFonts w:hint="eastAsia" w:ascii="宋体" w:hAnsi="宋体" w:eastAsia="宋体" w:cs="宋体"/>
                <w:bCs/>
                <w:color w:val="auto"/>
                <w:sz w:val="24"/>
                <w:szCs w:val="24"/>
              </w:rPr>
              <w:t>人可以拒绝付款。</w:t>
            </w:r>
          </w:p>
        </w:tc>
      </w:tr>
      <w:tr w14:paraId="76E2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9" w:type="dxa"/>
            <w:shd w:val="clear" w:color="auto" w:fill="auto"/>
            <w:vAlign w:val="center"/>
          </w:tcPr>
          <w:p w14:paraId="5A00F4EB">
            <w:pPr>
              <w:snapToGrid w:val="0"/>
              <w:spacing w:line="336" w:lineRule="exact"/>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cs="宋体"/>
                <w:sz w:val="24"/>
                <w:szCs w:val="24"/>
                <w:lang w:val="en-US" w:eastAsia="zh-CN"/>
              </w:rPr>
              <w:t>五</w:t>
            </w:r>
            <w:r>
              <w:rPr>
                <w:rFonts w:hint="eastAsia" w:ascii="宋体" w:hAnsi="宋体" w:eastAsia="宋体" w:cs="宋体"/>
                <w:sz w:val="24"/>
                <w:szCs w:val="24"/>
                <w:lang w:val="zh-CN"/>
              </w:rPr>
              <w:t>）</w:t>
            </w:r>
            <w:r>
              <w:rPr>
                <w:rFonts w:hint="eastAsia" w:ascii="宋体" w:hAnsi="宋体" w:eastAsia="宋体" w:cs="宋体"/>
                <w:sz w:val="24"/>
                <w:szCs w:val="24"/>
              </w:rPr>
              <w:t>验收标准</w:t>
            </w:r>
          </w:p>
          <w:p w14:paraId="43726854">
            <w:pPr>
              <w:jc w:val="center"/>
              <w:rPr>
                <w:rFonts w:hint="eastAsia" w:ascii="宋体" w:hAnsi="宋体" w:eastAsia="宋体" w:cs="宋体"/>
                <w:b w:val="0"/>
                <w:bCs/>
                <w:color w:val="000000"/>
                <w:sz w:val="24"/>
                <w:szCs w:val="24"/>
              </w:rPr>
            </w:pPr>
          </w:p>
        </w:tc>
        <w:tc>
          <w:tcPr>
            <w:tcW w:w="7800" w:type="dxa"/>
            <w:shd w:val="clear" w:color="auto" w:fill="auto"/>
            <w:vAlign w:val="center"/>
          </w:tcPr>
          <w:p w14:paraId="550C8BFF">
            <w:pPr>
              <w:adjustRightInd w:val="0"/>
              <w:snapToGrid w:val="0"/>
              <w:spacing w:line="360" w:lineRule="exact"/>
              <w:rPr>
                <w:rFonts w:hint="eastAsia" w:ascii="宋体" w:hAnsi="宋体" w:eastAsia="宋体" w:cs="宋体"/>
                <w:spacing w:val="-2"/>
                <w:sz w:val="24"/>
                <w:szCs w:val="24"/>
              </w:rPr>
            </w:pPr>
            <w:r>
              <w:rPr>
                <w:rFonts w:hint="eastAsia" w:ascii="宋体" w:hAnsi="宋体" w:eastAsia="宋体" w:cs="宋体"/>
                <w:spacing w:val="-2"/>
                <w:sz w:val="24"/>
                <w:szCs w:val="24"/>
              </w:rPr>
              <w:t>1.依据询价文件要求的采购需求、供应商报价响应文件承诺以及国家现行相关标准、规范履行合同。</w:t>
            </w:r>
          </w:p>
          <w:p w14:paraId="760B6B7C">
            <w:pPr>
              <w:snapToGrid w:val="0"/>
              <w:spacing w:line="336" w:lineRule="exact"/>
              <w:rPr>
                <w:rFonts w:hint="eastAsia" w:ascii="宋体" w:hAnsi="宋体" w:eastAsia="宋体" w:cs="宋体"/>
                <w:b w:val="0"/>
                <w:bCs/>
                <w:kern w:val="0"/>
                <w:sz w:val="24"/>
                <w:szCs w:val="24"/>
              </w:rPr>
            </w:pPr>
            <w:r>
              <w:rPr>
                <w:rFonts w:hint="eastAsia" w:ascii="宋体" w:hAnsi="宋体" w:eastAsia="宋体" w:cs="宋体"/>
                <w:spacing w:val="-2"/>
                <w:sz w:val="24"/>
                <w:szCs w:val="24"/>
              </w:rPr>
              <w:t>2.采购人依照国家相关法律法规及行业规定及询价文件要求、供应商报价响应文件承诺进行验收。</w:t>
            </w:r>
          </w:p>
        </w:tc>
      </w:tr>
      <w:tr w14:paraId="7384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9" w:type="dxa"/>
            <w:shd w:val="clear" w:color="auto" w:fill="auto"/>
            <w:vAlign w:val="center"/>
          </w:tcPr>
          <w:p w14:paraId="1AF9F7FE">
            <w:pPr>
              <w:jc w:val="both"/>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w:t>
            </w:r>
            <w:r>
              <w:rPr>
                <w:rFonts w:hint="eastAsia" w:ascii="宋体" w:hAnsi="宋体" w:cs="宋体"/>
                <w:b w:val="0"/>
                <w:bCs/>
                <w:color w:val="000000"/>
                <w:sz w:val="24"/>
                <w:szCs w:val="24"/>
                <w:lang w:val="en-US" w:eastAsia="zh-CN"/>
              </w:rPr>
              <w:t>六</w:t>
            </w:r>
            <w:r>
              <w:rPr>
                <w:rFonts w:hint="eastAsia" w:ascii="宋体" w:hAnsi="宋体" w:eastAsia="宋体" w:cs="宋体"/>
                <w:b w:val="0"/>
                <w:bCs/>
                <w:color w:val="000000"/>
                <w:sz w:val="24"/>
                <w:szCs w:val="24"/>
                <w:lang w:val="en-US" w:eastAsia="zh-CN"/>
              </w:rPr>
              <w:t>）报价要求</w:t>
            </w:r>
          </w:p>
        </w:tc>
        <w:tc>
          <w:tcPr>
            <w:tcW w:w="7800" w:type="dxa"/>
            <w:shd w:val="clear" w:color="auto" w:fill="auto"/>
            <w:vAlign w:val="center"/>
          </w:tcPr>
          <w:p w14:paraId="28F1B5A5">
            <w:pPr>
              <w:widowControl/>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本项目采用一般用固定总价方式报价，价格中应包含软硬件安装、调试、系统集成、试运行、测试和其他相关服务及全套技术资料、附件、辅材等正常使用所必需的组件，以及与之相关发生的所有税费的总价。在合同实施时，采购人将不予支付完成本项目必须的但成交人没有列入的费用，并认为此费用已包括在报价中。</w:t>
            </w:r>
          </w:p>
        </w:tc>
      </w:tr>
      <w:tr w14:paraId="4971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9" w:type="dxa"/>
            <w:shd w:val="clear" w:color="auto" w:fill="auto"/>
            <w:vAlign w:val="center"/>
          </w:tcPr>
          <w:p w14:paraId="127B986E">
            <w:pPr>
              <w:jc w:val="both"/>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w:t>
            </w:r>
            <w:r>
              <w:rPr>
                <w:rFonts w:hint="eastAsia" w:ascii="宋体" w:hAnsi="宋体" w:cs="宋体"/>
                <w:b w:val="0"/>
                <w:bCs/>
                <w:color w:val="000000"/>
                <w:sz w:val="24"/>
                <w:szCs w:val="24"/>
                <w:lang w:val="en-US" w:eastAsia="zh-CN"/>
              </w:rPr>
              <w:t>七</w:t>
            </w:r>
            <w:r>
              <w:rPr>
                <w:rFonts w:hint="eastAsia" w:ascii="宋体" w:hAnsi="宋体" w:eastAsia="宋体" w:cs="宋体"/>
                <w:b w:val="0"/>
                <w:bCs/>
                <w:color w:val="000000"/>
                <w:sz w:val="24"/>
                <w:szCs w:val="24"/>
                <w:lang w:val="en-US" w:eastAsia="zh-CN"/>
              </w:rPr>
              <w:t>）最高限价</w:t>
            </w:r>
          </w:p>
        </w:tc>
        <w:tc>
          <w:tcPr>
            <w:tcW w:w="7800" w:type="dxa"/>
            <w:shd w:val="clear" w:color="auto" w:fill="auto"/>
            <w:vAlign w:val="center"/>
          </w:tcPr>
          <w:p w14:paraId="368C8CED">
            <w:pPr>
              <w:widowControl/>
              <w:jc w:val="left"/>
              <w:rPr>
                <w:rFonts w:hint="eastAsia" w:ascii="宋体" w:hAnsi="宋体" w:eastAsia="宋体" w:cs="宋体"/>
                <w:b w:val="0"/>
                <w:bCs/>
                <w:kern w:val="0"/>
                <w:sz w:val="24"/>
                <w:szCs w:val="24"/>
              </w:rPr>
            </w:pPr>
            <w:r>
              <w:rPr>
                <w:rFonts w:hint="eastAsia" w:ascii="宋体" w:hAnsi="宋体" w:eastAsia="宋体" w:cs="宋体"/>
                <w:spacing w:val="-2"/>
                <w:sz w:val="24"/>
                <w:szCs w:val="24"/>
              </w:rPr>
              <w:t>本项目预算金额为</w:t>
            </w:r>
            <w:r>
              <w:rPr>
                <w:rFonts w:hint="eastAsia" w:ascii="宋体" w:hAnsi="宋体" w:eastAsia="宋体" w:cs="宋体"/>
                <w:sz w:val="24"/>
                <w:szCs w:val="24"/>
              </w:rPr>
              <w:t>人民币</w:t>
            </w:r>
            <w:r>
              <w:rPr>
                <w:rFonts w:hint="eastAsia" w:ascii="宋体" w:hAnsi="宋体" w:cs="宋体"/>
                <w:sz w:val="24"/>
                <w:szCs w:val="24"/>
                <w:lang w:val="en-US" w:eastAsia="zh-CN"/>
              </w:rPr>
              <w:t>肆拾肆万伍仟</w:t>
            </w:r>
            <w:r>
              <w:rPr>
                <w:rFonts w:hint="eastAsia" w:ascii="宋体" w:hAnsi="宋体" w:eastAsia="宋体" w:cs="宋体"/>
                <w:sz w:val="24"/>
                <w:szCs w:val="24"/>
                <w:lang w:val="en-US" w:eastAsia="zh-CN"/>
              </w:rPr>
              <w:t>元</w:t>
            </w:r>
            <w:r>
              <w:rPr>
                <w:rFonts w:hint="eastAsia" w:ascii="宋体" w:hAnsi="宋体" w:eastAsia="宋体" w:cs="宋体"/>
                <w:sz w:val="24"/>
                <w:szCs w:val="24"/>
              </w:rPr>
              <w:t>整（¥</w:t>
            </w:r>
            <w:r>
              <w:rPr>
                <w:rFonts w:hint="eastAsia" w:ascii="宋体" w:hAnsi="宋体" w:cs="宋体"/>
                <w:sz w:val="24"/>
                <w:szCs w:val="24"/>
                <w:lang w:val="en-US" w:eastAsia="zh-CN"/>
              </w:rPr>
              <w:t>445000</w:t>
            </w:r>
            <w:r>
              <w:rPr>
                <w:rFonts w:hint="eastAsia" w:ascii="宋体" w:hAnsi="宋体" w:eastAsia="宋体" w:cs="宋体"/>
                <w:sz w:val="24"/>
                <w:szCs w:val="24"/>
              </w:rPr>
              <w:t>）</w:t>
            </w:r>
            <w:r>
              <w:rPr>
                <w:rFonts w:hint="eastAsia" w:ascii="宋体" w:hAnsi="宋体" w:eastAsia="宋体" w:cs="宋体"/>
                <w:spacing w:val="-2"/>
                <w:sz w:val="24"/>
                <w:szCs w:val="24"/>
              </w:rPr>
              <w:t>，供应商报价超出参考预算金额的，按无效处理。</w:t>
            </w:r>
          </w:p>
        </w:tc>
      </w:tr>
      <w:tr w14:paraId="629D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839" w:type="dxa"/>
            <w:shd w:val="clear" w:color="auto" w:fill="auto"/>
            <w:vAlign w:val="center"/>
          </w:tcPr>
          <w:p w14:paraId="4C02CDB2">
            <w:pPr>
              <w:jc w:val="both"/>
              <w:rPr>
                <w:rFonts w:hint="eastAsia" w:ascii="宋体" w:hAnsi="宋体" w:eastAsia="宋体" w:cs="宋体"/>
                <w:b w:val="0"/>
                <w:bCs/>
                <w:color w:val="000000"/>
                <w:sz w:val="24"/>
                <w:szCs w:val="24"/>
                <w:lang w:eastAsia="zh-CN"/>
              </w:rPr>
            </w:pPr>
            <w:r>
              <w:rPr>
                <w:rFonts w:hint="eastAsia" w:ascii="宋体" w:hAnsi="宋体" w:eastAsia="宋体" w:cs="宋体"/>
                <w:sz w:val="24"/>
                <w:szCs w:val="24"/>
              </w:rPr>
              <w:t>（</w:t>
            </w:r>
            <w:r>
              <w:rPr>
                <w:rFonts w:hint="eastAsia" w:ascii="宋体" w:hAnsi="宋体" w:cs="宋体"/>
                <w:sz w:val="24"/>
                <w:szCs w:val="24"/>
                <w:lang w:val="en-US" w:eastAsia="zh-CN"/>
              </w:rPr>
              <w:t>八</w:t>
            </w:r>
            <w:r>
              <w:rPr>
                <w:rFonts w:hint="eastAsia" w:ascii="宋体" w:hAnsi="宋体" w:eastAsia="宋体" w:cs="宋体"/>
                <w:sz w:val="24"/>
                <w:szCs w:val="24"/>
              </w:rPr>
              <w:t>）</w:t>
            </w:r>
            <w:r>
              <w:rPr>
                <w:rFonts w:hint="eastAsia" w:ascii="宋体" w:hAnsi="宋体" w:eastAsia="宋体" w:cs="宋体"/>
                <w:sz w:val="24"/>
                <w:szCs w:val="24"/>
                <w:lang w:val="zh-CN"/>
              </w:rPr>
              <w:t>其他要求</w:t>
            </w:r>
          </w:p>
        </w:tc>
        <w:tc>
          <w:tcPr>
            <w:tcW w:w="7800" w:type="dxa"/>
            <w:shd w:val="clear" w:color="auto" w:fill="auto"/>
            <w:vAlign w:val="center"/>
          </w:tcPr>
          <w:p w14:paraId="2B82B182">
            <w:pPr>
              <w:snapToGrid w:val="0"/>
              <w:spacing w:line="336" w:lineRule="exact"/>
              <w:rPr>
                <w:rFonts w:hint="eastAsia" w:ascii="宋体" w:hAnsi="宋体" w:eastAsia="宋体" w:cs="宋体"/>
                <w:b w:val="0"/>
                <w:bCs/>
                <w:kern w:val="0"/>
                <w:sz w:val="24"/>
                <w:szCs w:val="24"/>
              </w:rPr>
            </w:pPr>
            <w:r>
              <w:rPr>
                <w:rFonts w:hint="eastAsia" w:ascii="宋体" w:hAnsi="宋体" w:eastAsia="宋体" w:cs="宋体"/>
                <w:sz w:val="24"/>
                <w:szCs w:val="24"/>
              </w:rPr>
              <w:t>本项目所提供的软件必须具有合法的版权或使用权，如在本项目范围内使用过程中出现版权或使用权纠纷，应由中标人负责</w:t>
            </w:r>
            <w:r>
              <w:rPr>
                <w:rFonts w:hint="eastAsia" w:ascii="宋体" w:hAnsi="宋体" w:eastAsia="宋体" w:cs="宋体"/>
                <w:sz w:val="24"/>
                <w:szCs w:val="24"/>
                <w:lang w:eastAsia="zh-CN"/>
              </w:rPr>
              <w:t>。</w:t>
            </w:r>
          </w:p>
        </w:tc>
      </w:tr>
    </w:tbl>
    <w:p w14:paraId="1F453E5D">
      <w:pPr>
        <w:adjustRightInd/>
        <w:snapToGrid/>
        <w:spacing w:line="240" w:lineRule="auto"/>
        <w:rPr>
          <w:rFonts w:hint="eastAsia" w:ascii="宋体" w:hAnsi="宋体" w:cs="宋体"/>
          <w:b/>
          <w:bCs/>
          <w:sz w:val="24"/>
        </w:rPr>
      </w:pPr>
    </w:p>
    <w:p w14:paraId="1174E33E">
      <w:pPr>
        <w:adjustRightInd/>
        <w:snapToGrid/>
        <w:spacing w:line="240" w:lineRule="auto"/>
        <w:rPr>
          <w:rFonts w:hint="eastAsia" w:ascii="宋体" w:hAnsi="宋体" w:cs="宋体"/>
          <w:b/>
          <w:bCs/>
          <w:sz w:val="24"/>
        </w:rPr>
      </w:pPr>
      <w:r>
        <w:rPr>
          <w:rFonts w:hint="eastAsia" w:ascii="宋体" w:hAnsi="宋体" w:cs="宋体"/>
          <w:b/>
          <w:bCs/>
          <w:sz w:val="24"/>
        </w:rPr>
        <w:t>三、合同主要条款</w:t>
      </w:r>
    </w:p>
    <w:p w14:paraId="63EF5DF0">
      <w:pPr>
        <w:snapToGrid w:val="0"/>
        <w:spacing w:line="360" w:lineRule="auto"/>
        <w:rPr>
          <w:rFonts w:ascii="宋体"/>
          <w:sz w:val="24"/>
          <w:u w:val="single"/>
        </w:rPr>
      </w:pPr>
      <w:r>
        <w:rPr>
          <w:rFonts w:hint="eastAsia" w:ascii="宋体" w:hAnsi="宋体"/>
          <w:sz w:val="24"/>
        </w:rPr>
        <w:t>甲方：</w:t>
      </w:r>
      <w:r>
        <w:rPr>
          <w:rFonts w:hint="eastAsia" w:ascii="宋体" w:hAnsi="宋体"/>
          <w:sz w:val="24"/>
          <w:u w:val="single"/>
        </w:rPr>
        <w:t>桂林市人民医院</w:t>
      </w:r>
      <w:r>
        <w:rPr>
          <w:rFonts w:ascii="宋体" w:hAnsi="宋体"/>
          <w:sz w:val="24"/>
          <w:u w:val="single"/>
        </w:rPr>
        <w:t xml:space="preserve">  </w:t>
      </w:r>
    </w:p>
    <w:p w14:paraId="70F3A93C">
      <w:pPr>
        <w:snapToGrid w:val="0"/>
        <w:spacing w:line="360" w:lineRule="auto"/>
        <w:rPr>
          <w:rFonts w:ascii="宋体"/>
          <w:sz w:val="24"/>
        </w:rPr>
      </w:pPr>
      <w:r>
        <w:rPr>
          <w:rFonts w:hint="eastAsia" w:ascii="宋体" w:hAnsi="宋体"/>
          <w:sz w:val="24"/>
        </w:rPr>
        <w:t>注册地址：广西桂林市象山区文明路</w:t>
      </w:r>
      <w:r>
        <w:rPr>
          <w:rFonts w:ascii="宋体" w:hAnsi="宋体"/>
          <w:sz w:val="24"/>
        </w:rPr>
        <w:t>12</w:t>
      </w:r>
      <w:r>
        <w:rPr>
          <w:rFonts w:hint="eastAsia" w:ascii="宋体" w:hAnsi="宋体"/>
          <w:sz w:val="24"/>
        </w:rPr>
        <w:t>号</w:t>
      </w:r>
    </w:p>
    <w:p w14:paraId="4EB055F6">
      <w:pPr>
        <w:snapToGrid w:val="0"/>
        <w:spacing w:line="360" w:lineRule="auto"/>
        <w:rPr>
          <w:rFonts w:ascii="宋体"/>
          <w:sz w:val="24"/>
        </w:rPr>
      </w:pPr>
      <w:r>
        <w:rPr>
          <w:rFonts w:hint="eastAsia" w:ascii="宋体" w:hAnsi="宋体"/>
          <w:sz w:val="24"/>
        </w:rPr>
        <w:t>法定代表人：</w:t>
      </w:r>
      <w:r>
        <w:rPr>
          <w:rFonts w:ascii="宋体" w:hAnsi="宋体"/>
          <w:sz w:val="24"/>
          <w:u w:val="single"/>
        </w:rPr>
        <w:t xml:space="preserve">          </w:t>
      </w:r>
    </w:p>
    <w:p w14:paraId="5DDE9F3F">
      <w:pPr>
        <w:snapToGrid w:val="0"/>
        <w:spacing w:line="360" w:lineRule="auto"/>
        <w:rPr>
          <w:rFonts w:ascii="宋体"/>
          <w:sz w:val="24"/>
        </w:rPr>
      </w:pPr>
      <w:r>
        <w:rPr>
          <w:rFonts w:hint="eastAsia" w:ascii="宋体" w:hAnsi="宋体"/>
          <w:sz w:val="24"/>
        </w:rPr>
        <w:t>联系人：</w:t>
      </w:r>
      <w:r>
        <w:rPr>
          <w:rFonts w:ascii="宋体" w:hAnsi="宋体"/>
          <w:sz w:val="24"/>
          <w:u w:val="single"/>
        </w:rPr>
        <w:t xml:space="preserve">             </w:t>
      </w:r>
    </w:p>
    <w:p w14:paraId="40902EC5">
      <w:pPr>
        <w:snapToGrid w:val="0"/>
        <w:spacing w:line="360" w:lineRule="auto"/>
        <w:rPr>
          <w:rFonts w:ascii="宋体"/>
          <w:sz w:val="24"/>
          <w:u w:val="single"/>
        </w:rPr>
      </w:pPr>
      <w:r>
        <w:rPr>
          <w:rFonts w:hint="eastAsia" w:ascii="宋体" w:hAnsi="宋体"/>
          <w:sz w:val="24"/>
        </w:rPr>
        <w:t>联系电话：</w:t>
      </w:r>
      <w:r>
        <w:rPr>
          <w:rFonts w:ascii="宋体" w:hAnsi="宋体"/>
          <w:sz w:val="24"/>
          <w:u w:val="single"/>
        </w:rPr>
        <w:t xml:space="preserve">              </w:t>
      </w:r>
    </w:p>
    <w:p w14:paraId="765F1135">
      <w:pPr>
        <w:snapToGrid w:val="0"/>
        <w:spacing w:line="360" w:lineRule="auto"/>
        <w:rPr>
          <w:rFonts w:ascii="宋体"/>
          <w:sz w:val="24"/>
          <w:u w:val="single"/>
        </w:rPr>
      </w:pPr>
      <w:r>
        <w:rPr>
          <w:rFonts w:hint="eastAsia" w:ascii="宋体" w:hAnsi="宋体"/>
          <w:sz w:val="24"/>
        </w:rPr>
        <w:t>通讯地址：广西桂林市象山区文明路</w:t>
      </w:r>
      <w:r>
        <w:rPr>
          <w:rFonts w:ascii="宋体" w:hAnsi="宋体"/>
          <w:sz w:val="24"/>
        </w:rPr>
        <w:t>12</w:t>
      </w:r>
      <w:r>
        <w:rPr>
          <w:rFonts w:hint="eastAsia" w:ascii="宋体" w:hAnsi="宋体"/>
          <w:sz w:val="24"/>
        </w:rPr>
        <w:t>号桂林市人民医院</w:t>
      </w:r>
    </w:p>
    <w:p w14:paraId="38240FB2">
      <w:pPr>
        <w:snapToGrid w:val="0"/>
        <w:spacing w:line="360" w:lineRule="auto"/>
        <w:rPr>
          <w:rFonts w:ascii="宋体"/>
          <w:sz w:val="24"/>
        </w:rPr>
      </w:pPr>
    </w:p>
    <w:p w14:paraId="5A7AF9CD">
      <w:pPr>
        <w:snapToGrid w:val="0"/>
        <w:spacing w:line="360" w:lineRule="auto"/>
        <w:rPr>
          <w:rFonts w:ascii="宋体" w:cs="宋体"/>
          <w:sz w:val="24"/>
          <w:u w:val="single"/>
        </w:rPr>
      </w:pPr>
      <w:r>
        <w:rPr>
          <w:rFonts w:hint="eastAsia" w:ascii="宋体" w:hAnsi="宋体"/>
          <w:sz w:val="24"/>
        </w:rPr>
        <w:t>乙</w:t>
      </w:r>
      <w:r>
        <w:rPr>
          <w:rFonts w:hint="eastAsia" w:ascii="宋体" w:hAnsi="宋体" w:cs="宋体"/>
          <w:sz w:val="24"/>
        </w:rPr>
        <w:t>方：</w:t>
      </w:r>
      <w:r>
        <w:rPr>
          <w:rFonts w:ascii="宋体" w:hAnsi="宋体" w:cs="宋体"/>
          <w:sz w:val="24"/>
          <w:u w:val="single"/>
        </w:rPr>
        <w:t xml:space="preserve">                 </w:t>
      </w:r>
    </w:p>
    <w:p w14:paraId="3ACE1B05">
      <w:pPr>
        <w:snapToGrid w:val="0"/>
        <w:spacing w:line="360" w:lineRule="auto"/>
        <w:rPr>
          <w:rFonts w:ascii="宋体" w:cs="宋体"/>
          <w:sz w:val="24"/>
        </w:rPr>
      </w:pPr>
      <w:r>
        <w:rPr>
          <w:rFonts w:hint="eastAsia" w:ascii="宋体" w:hAnsi="宋体" w:cs="宋体"/>
          <w:sz w:val="24"/>
        </w:rPr>
        <w:t>注册地址：</w:t>
      </w:r>
      <w:r>
        <w:rPr>
          <w:rFonts w:ascii="宋体" w:hAnsi="宋体" w:cs="宋体"/>
          <w:sz w:val="24"/>
          <w:u w:val="single"/>
        </w:rPr>
        <w:t xml:space="preserve">                                       </w:t>
      </w:r>
    </w:p>
    <w:p w14:paraId="0FEF57BA">
      <w:pPr>
        <w:snapToGrid w:val="0"/>
        <w:spacing w:line="360" w:lineRule="auto"/>
        <w:rPr>
          <w:rFonts w:ascii="宋体" w:cs="宋体"/>
          <w:sz w:val="24"/>
        </w:rPr>
      </w:pPr>
      <w:r>
        <w:rPr>
          <w:rFonts w:hint="eastAsia" w:ascii="宋体" w:hAnsi="宋体" w:cs="宋体"/>
          <w:sz w:val="24"/>
        </w:rPr>
        <w:t>法定代表人：</w:t>
      </w:r>
      <w:r>
        <w:rPr>
          <w:rFonts w:ascii="宋体" w:hAnsi="宋体" w:cs="宋体"/>
          <w:sz w:val="24"/>
          <w:u w:val="single"/>
        </w:rPr>
        <w:t xml:space="preserve">              </w:t>
      </w:r>
    </w:p>
    <w:p w14:paraId="6C0523EE">
      <w:pPr>
        <w:snapToGrid w:val="0"/>
        <w:spacing w:line="360" w:lineRule="auto"/>
        <w:rPr>
          <w:rFonts w:ascii="宋体" w:cs="宋体"/>
          <w:sz w:val="24"/>
        </w:rPr>
      </w:pPr>
      <w:r>
        <w:rPr>
          <w:rFonts w:hint="eastAsia" w:ascii="宋体" w:hAnsi="宋体" w:cs="宋体"/>
          <w:sz w:val="24"/>
        </w:rPr>
        <w:t>联系人：</w:t>
      </w:r>
      <w:r>
        <w:rPr>
          <w:rFonts w:ascii="宋体" w:hAnsi="宋体" w:cs="宋体"/>
          <w:sz w:val="24"/>
          <w:u w:val="single"/>
        </w:rPr>
        <w:t xml:space="preserve">           </w:t>
      </w:r>
    </w:p>
    <w:p w14:paraId="1C40457E">
      <w:pPr>
        <w:snapToGrid w:val="0"/>
        <w:spacing w:line="360" w:lineRule="auto"/>
        <w:rPr>
          <w:rFonts w:ascii="宋体" w:cs="宋体"/>
          <w:sz w:val="24"/>
          <w:u w:val="single"/>
        </w:rPr>
      </w:pPr>
      <w:r>
        <w:rPr>
          <w:rFonts w:hint="eastAsia" w:ascii="宋体" w:hAnsi="宋体" w:cs="宋体"/>
          <w:sz w:val="24"/>
        </w:rPr>
        <w:t>联系电话：</w:t>
      </w:r>
      <w:r>
        <w:rPr>
          <w:rFonts w:ascii="宋体" w:hAnsi="宋体" w:cs="宋体"/>
          <w:sz w:val="24"/>
        </w:rPr>
        <w:t xml:space="preserve"> </w:t>
      </w:r>
      <w:r>
        <w:rPr>
          <w:rFonts w:ascii="宋体" w:hAnsi="宋体" w:cs="宋体"/>
          <w:sz w:val="24"/>
          <w:u w:val="single"/>
        </w:rPr>
        <w:t xml:space="preserve">             </w:t>
      </w:r>
    </w:p>
    <w:p w14:paraId="68B6B921">
      <w:pPr>
        <w:snapToGrid w:val="0"/>
        <w:spacing w:before="156" w:after="156" w:line="360" w:lineRule="auto"/>
        <w:rPr>
          <w:rFonts w:ascii="宋体" w:cs="宋体"/>
          <w:sz w:val="24"/>
          <w:u w:val="single"/>
        </w:rPr>
      </w:pPr>
      <w:r>
        <w:rPr>
          <w:rFonts w:hint="eastAsia" w:ascii="宋体" w:hAnsi="宋体" w:cs="宋体"/>
          <w:sz w:val="24"/>
        </w:rPr>
        <w:t>通讯地址：</w:t>
      </w:r>
      <w:r>
        <w:rPr>
          <w:rFonts w:ascii="宋体" w:hAnsi="宋体" w:cs="宋体"/>
          <w:sz w:val="24"/>
        </w:rPr>
        <w:t xml:space="preserve"> </w:t>
      </w:r>
      <w:r>
        <w:rPr>
          <w:rFonts w:ascii="宋体" w:hAnsi="宋体" w:cs="宋体"/>
          <w:sz w:val="24"/>
          <w:u w:val="single"/>
          <w:shd w:val="clear" w:color="auto" w:fill="FFFFFF"/>
        </w:rPr>
        <w:t xml:space="preserve">                                         </w:t>
      </w:r>
    </w:p>
    <w:p w14:paraId="44E91655">
      <w:pPr>
        <w:adjustRightInd w:val="0"/>
        <w:snapToGrid w:val="0"/>
        <w:spacing w:before="156" w:beforeLines="50" w:after="156" w:afterLines="50" w:line="380" w:lineRule="exact"/>
        <w:ind w:firstLine="420"/>
        <w:rPr>
          <w:rFonts w:ascii="宋体" w:cs="宋体"/>
          <w:sz w:val="24"/>
        </w:rPr>
      </w:pPr>
      <w:r>
        <w:rPr>
          <w:rFonts w:hint="eastAsia" w:ascii="宋体" w:hAnsi="宋体" w:cs="宋体"/>
          <w:sz w:val="24"/>
        </w:rPr>
        <w:t>根据《中华人民共和国民法典》及其他有关法律、法规，经甲、乙双方协商一致，就乙方向甲方提供以下软件产品一事签署本合同如下：</w:t>
      </w:r>
    </w:p>
    <w:p w14:paraId="3D0A9192">
      <w:pPr>
        <w:adjustRightInd w:val="0"/>
        <w:snapToGrid w:val="0"/>
        <w:spacing w:before="156" w:beforeLines="50" w:after="156" w:afterLines="50" w:line="380" w:lineRule="exact"/>
        <w:rPr>
          <w:rFonts w:ascii="宋体"/>
          <w:b/>
          <w:sz w:val="24"/>
        </w:rPr>
      </w:pPr>
      <w:r>
        <w:rPr>
          <w:rFonts w:hint="eastAsia" w:ascii="宋体" w:hAnsi="宋体"/>
          <w:b/>
          <w:sz w:val="24"/>
        </w:rPr>
        <w:t>第一条　合同标的</w:t>
      </w:r>
    </w:p>
    <w:p w14:paraId="597F6DF2">
      <w:pPr>
        <w:adjustRightInd w:val="0"/>
        <w:snapToGrid w:val="0"/>
        <w:spacing w:before="156" w:beforeLines="50" w:after="156" w:afterLines="50" w:line="380" w:lineRule="exact"/>
        <w:rPr>
          <w:rFonts w:ascii="宋体"/>
          <w:sz w:val="24"/>
        </w:rPr>
      </w:pPr>
      <w:r>
        <w:rPr>
          <w:rFonts w:hint="eastAsia" w:ascii="宋体" w:hAnsi="宋体"/>
          <w:sz w:val="24"/>
        </w:rPr>
        <w:t>项目名称为：</w:t>
      </w:r>
      <w:r>
        <w:rPr>
          <w:rFonts w:ascii="宋体" w:hAnsi="宋体"/>
          <w:sz w:val="24"/>
          <w:u w:val="single"/>
        </w:rPr>
        <w:t xml:space="preserve">                                           </w:t>
      </w:r>
      <w:r>
        <w:rPr>
          <w:rFonts w:hint="eastAsia" w:ascii="宋体" w:hAnsi="宋体"/>
          <w:sz w:val="24"/>
        </w:rPr>
        <w:t>。</w:t>
      </w:r>
    </w:p>
    <w:p w14:paraId="08A9C9F0">
      <w:pPr>
        <w:adjustRightInd w:val="0"/>
        <w:snapToGrid w:val="0"/>
        <w:spacing w:before="156" w:beforeLines="50" w:after="156" w:afterLines="50" w:line="380" w:lineRule="exact"/>
        <w:rPr>
          <w:rFonts w:ascii="宋体"/>
          <w:sz w:val="24"/>
        </w:rPr>
      </w:pPr>
      <w:r>
        <w:rPr>
          <w:rFonts w:hint="eastAsia" w:ascii="宋体" w:hAnsi="宋体"/>
          <w:sz w:val="24"/>
        </w:rPr>
        <w:t>软件总价：</w:t>
      </w:r>
      <w:r>
        <w:rPr>
          <w:rFonts w:ascii="宋体" w:hAnsi="宋体"/>
          <w:sz w:val="24"/>
          <w:u w:val="single"/>
        </w:rPr>
        <w:t xml:space="preserve">            </w:t>
      </w:r>
      <w:r>
        <w:rPr>
          <w:rFonts w:hint="eastAsia" w:ascii="宋体" w:hAnsi="宋体"/>
          <w:sz w:val="24"/>
        </w:rPr>
        <w:t>元</w:t>
      </w:r>
      <w:r>
        <w:rPr>
          <w:rFonts w:ascii="宋体" w:hAnsi="宋体"/>
          <w:sz w:val="24"/>
        </w:rPr>
        <w:t xml:space="preserve">   </w:t>
      </w:r>
      <w:r>
        <w:rPr>
          <w:rFonts w:hint="eastAsia" w:ascii="宋体" w:hAnsi="宋体"/>
          <w:sz w:val="24"/>
        </w:rPr>
        <w:t>（大写人民币</w:t>
      </w:r>
      <w:r>
        <w:rPr>
          <w:rFonts w:ascii="宋体" w:hAnsi="宋体"/>
          <w:sz w:val="24"/>
          <w:u w:val="single"/>
        </w:rPr>
        <w:t xml:space="preserve">         </w:t>
      </w:r>
      <w:r>
        <w:rPr>
          <w:rFonts w:hint="eastAsia" w:ascii="宋体" w:hAnsi="宋体"/>
          <w:sz w:val="24"/>
        </w:rPr>
        <w:t>元整）</w:t>
      </w:r>
    </w:p>
    <w:p w14:paraId="74B4BAAD">
      <w:pPr>
        <w:adjustRightInd w:val="0"/>
        <w:snapToGrid w:val="0"/>
        <w:spacing w:before="156" w:beforeLines="50" w:after="156" w:afterLines="50" w:line="380" w:lineRule="exact"/>
        <w:rPr>
          <w:rFonts w:ascii="宋体"/>
          <w:sz w:val="24"/>
        </w:rPr>
      </w:pPr>
      <w:r>
        <w:rPr>
          <w:rFonts w:hint="eastAsia" w:ascii="宋体" w:hAnsi="宋体"/>
          <w:sz w:val="24"/>
        </w:rPr>
        <w:t>全部软件功能模块及价格清单详见本协议附件一。</w:t>
      </w:r>
    </w:p>
    <w:p w14:paraId="546A6B6B">
      <w:pPr>
        <w:adjustRightInd w:val="0"/>
        <w:snapToGrid w:val="0"/>
        <w:spacing w:before="156" w:beforeLines="50" w:after="156" w:afterLines="50" w:line="380" w:lineRule="exact"/>
        <w:rPr>
          <w:rFonts w:ascii="宋体"/>
          <w:b/>
          <w:sz w:val="24"/>
        </w:rPr>
      </w:pPr>
      <w:r>
        <w:rPr>
          <w:rFonts w:hint="eastAsia" w:ascii="宋体" w:hAnsi="宋体"/>
          <w:b/>
          <w:sz w:val="24"/>
        </w:rPr>
        <w:t>第二条　产品使用范围</w:t>
      </w:r>
    </w:p>
    <w:p w14:paraId="11A7C95B">
      <w:pPr>
        <w:adjustRightInd w:val="0"/>
        <w:snapToGrid w:val="0"/>
        <w:spacing w:before="156" w:beforeLines="50" w:after="156" w:afterLines="50" w:line="380" w:lineRule="exact"/>
        <w:rPr>
          <w:rFonts w:ascii="宋体"/>
          <w:sz w:val="24"/>
        </w:rPr>
      </w:pPr>
      <w:r>
        <w:rPr>
          <w:rFonts w:ascii="宋体" w:hAnsi="宋体"/>
          <w:sz w:val="24"/>
        </w:rPr>
        <w:t>1</w:t>
      </w:r>
      <w:r>
        <w:rPr>
          <w:rFonts w:hint="eastAsia" w:ascii="宋体" w:hAnsi="宋体"/>
          <w:sz w:val="24"/>
        </w:rPr>
        <w:t>、甲方采购乙方软件产品的用途为</w:t>
      </w:r>
      <w:r>
        <w:rPr>
          <w:rFonts w:ascii="宋体" w:hAnsi="宋体"/>
          <w:sz w:val="24"/>
          <w:u w:val="single"/>
        </w:rPr>
        <w:t xml:space="preserve">                            </w:t>
      </w:r>
      <w:r>
        <w:rPr>
          <w:rFonts w:hint="eastAsia" w:ascii="宋体" w:hAnsi="宋体"/>
          <w:sz w:val="24"/>
        </w:rPr>
        <w:t>。</w:t>
      </w:r>
    </w:p>
    <w:p w14:paraId="6CE46798">
      <w:pPr>
        <w:adjustRightInd w:val="0"/>
        <w:snapToGrid w:val="0"/>
        <w:spacing w:before="156" w:beforeLines="50" w:after="156" w:afterLines="50" w:line="380" w:lineRule="exact"/>
        <w:rPr>
          <w:rFonts w:ascii="宋体"/>
          <w:sz w:val="24"/>
        </w:rPr>
      </w:pPr>
      <w:r>
        <w:rPr>
          <w:rFonts w:ascii="宋体" w:hAnsi="宋体"/>
          <w:sz w:val="24"/>
        </w:rPr>
        <w:t>2</w:t>
      </w:r>
      <w:r>
        <w:rPr>
          <w:rFonts w:hint="eastAsia" w:ascii="宋体" w:hAnsi="宋体"/>
          <w:sz w:val="24"/>
        </w:rPr>
        <w:t>、甲方仅可以在本院范围内使用乙方产品。如果甲方需要在超出本合同规定的使用范围以外使用乙方产品，应向乙方提出书面申请，并由双方另行签署合同或补充协议。</w:t>
      </w:r>
    </w:p>
    <w:p w14:paraId="116733A0">
      <w:pPr>
        <w:adjustRightInd w:val="0"/>
        <w:snapToGrid w:val="0"/>
        <w:spacing w:before="156" w:beforeLines="50" w:after="156" w:afterLines="50" w:line="380" w:lineRule="exact"/>
        <w:rPr>
          <w:rFonts w:ascii="宋体"/>
          <w:b/>
          <w:sz w:val="24"/>
        </w:rPr>
      </w:pPr>
      <w:r>
        <w:rPr>
          <w:rFonts w:hint="eastAsia" w:ascii="宋体" w:hAnsi="宋体"/>
          <w:b/>
          <w:sz w:val="24"/>
        </w:rPr>
        <w:t>第三条</w:t>
      </w:r>
      <w:r>
        <w:rPr>
          <w:rFonts w:ascii="宋体" w:hAnsi="宋体"/>
          <w:b/>
          <w:sz w:val="24"/>
        </w:rPr>
        <w:t xml:space="preserve">  </w:t>
      </w:r>
      <w:r>
        <w:rPr>
          <w:rFonts w:hint="eastAsia" w:ascii="宋体" w:hAnsi="宋体"/>
          <w:b/>
          <w:sz w:val="24"/>
        </w:rPr>
        <w:t>甲方权利义务</w:t>
      </w:r>
    </w:p>
    <w:p w14:paraId="3F3428EA">
      <w:pPr>
        <w:adjustRightInd w:val="0"/>
        <w:snapToGrid w:val="0"/>
        <w:spacing w:before="156" w:beforeLines="50" w:after="156" w:afterLines="50" w:line="380" w:lineRule="exact"/>
        <w:rPr>
          <w:rFonts w:ascii="宋体"/>
          <w:sz w:val="24"/>
        </w:rPr>
      </w:pPr>
      <w:r>
        <w:rPr>
          <w:rFonts w:ascii="宋体" w:hAnsi="宋体"/>
          <w:sz w:val="24"/>
        </w:rPr>
        <w:t>1</w:t>
      </w:r>
      <w:r>
        <w:rPr>
          <w:rFonts w:hint="eastAsia" w:ascii="宋体" w:hAnsi="宋体"/>
          <w:sz w:val="24"/>
        </w:rPr>
        <w:t>、甲方应按乙方要求提供合同所规定的软件产品所需的硬件设备及硬件、网络环境，并有责任为乙方安装、调试及培训提供便利的工作条件。</w:t>
      </w:r>
    </w:p>
    <w:p w14:paraId="4F125DCB">
      <w:pPr>
        <w:adjustRightInd w:val="0"/>
        <w:snapToGrid w:val="0"/>
        <w:spacing w:before="156" w:beforeLines="50" w:after="156" w:afterLines="50" w:line="380" w:lineRule="exact"/>
        <w:rPr>
          <w:rFonts w:ascii="宋体"/>
          <w:sz w:val="24"/>
        </w:rPr>
      </w:pPr>
      <w:r>
        <w:rPr>
          <w:rFonts w:ascii="宋体" w:hAnsi="宋体"/>
          <w:sz w:val="24"/>
        </w:rPr>
        <w:t>2</w:t>
      </w:r>
      <w:r>
        <w:rPr>
          <w:rFonts w:hint="eastAsia" w:ascii="宋体" w:hAnsi="宋体"/>
          <w:sz w:val="24"/>
        </w:rPr>
        <w:t>、甲方有责任为乙方的安装工作进行内部各部门、各营业部的协调，调动相关资源。</w:t>
      </w:r>
    </w:p>
    <w:p w14:paraId="0EA504D9">
      <w:pPr>
        <w:adjustRightInd w:val="0"/>
        <w:snapToGrid w:val="0"/>
        <w:spacing w:before="156" w:beforeLines="50" w:after="156" w:afterLines="50" w:line="380" w:lineRule="exact"/>
        <w:rPr>
          <w:rFonts w:ascii="宋体"/>
          <w:sz w:val="24"/>
        </w:rPr>
      </w:pPr>
      <w:r>
        <w:rPr>
          <w:rFonts w:ascii="宋体" w:hAnsi="宋体"/>
          <w:sz w:val="24"/>
        </w:rPr>
        <w:t>3</w:t>
      </w:r>
      <w:r>
        <w:rPr>
          <w:rFonts w:hint="eastAsia" w:ascii="宋体" w:hAnsi="宋体"/>
          <w:sz w:val="24"/>
        </w:rPr>
        <w:t>、如该软件产品的安装需要第三方给予软、硬件配合的，甲方有责任按照乙方安装产品所需的条件与相关第三方沟通，确保产品能够顺利安装、调试。如由于甲方与第三方沟通问题，或第三方自身问题导致产品无法按照本合同“第五条</w:t>
      </w:r>
      <w:r>
        <w:rPr>
          <w:rFonts w:ascii="宋体" w:hAnsi="宋体"/>
          <w:sz w:val="24"/>
        </w:rPr>
        <w:t xml:space="preserve"> </w:t>
      </w:r>
      <w:r>
        <w:rPr>
          <w:rFonts w:hint="eastAsia" w:ascii="宋体" w:hAnsi="宋体"/>
          <w:sz w:val="24"/>
        </w:rPr>
        <w:t>产品交付”的约定时间正常交付，则甲乙双方约定在原有交付约定时间基础上顺延。</w:t>
      </w:r>
    </w:p>
    <w:p w14:paraId="6BB7B2F9">
      <w:pPr>
        <w:adjustRightInd w:val="0"/>
        <w:snapToGrid w:val="0"/>
        <w:spacing w:before="156" w:beforeLines="50" w:after="156" w:afterLines="50" w:line="380" w:lineRule="exact"/>
        <w:rPr>
          <w:rFonts w:ascii="宋体"/>
          <w:sz w:val="24"/>
        </w:rPr>
      </w:pPr>
      <w:r>
        <w:rPr>
          <w:rFonts w:ascii="宋体" w:hAnsi="宋体"/>
          <w:sz w:val="24"/>
        </w:rPr>
        <w:t>4</w:t>
      </w:r>
      <w:r>
        <w:rPr>
          <w:rFonts w:hint="eastAsia" w:ascii="宋体" w:hAnsi="宋体"/>
          <w:sz w:val="24"/>
        </w:rPr>
        <w:t>、甲方应按照本协议规定的时间按时足额的向乙方支付相关费用。</w:t>
      </w:r>
    </w:p>
    <w:p w14:paraId="0159F8DD">
      <w:pPr>
        <w:adjustRightInd w:val="0"/>
        <w:snapToGrid w:val="0"/>
        <w:spacing w:before="156" w:beforeLines="50" w:after="156" w:afterLines="50" w:line="380" w:lineRule="exact"/>
        <w:rPr>
          <w:rFonts w:ascii="宋体"/>
          <w:sz w:val="24"/>
        </w:rPr>
      </w:pPr>
      <w:r>
        <w:rPr>
          <w:rFonts w:ascii="宋体" w:hAnsi="宋体"/>
          <w:sz w:val="24"/>
        </w:rPr>
        <w:t>5</w:t>
      </w:r>
      <w:r>
        <w:rPr>
          <w:rFonts w:hint="eastAsia" w:ascii="宋体" w:hAnsi="宋体"/>
          <w:sz w:val="24"/>
        </w:rPr>
        <w:t>、非因产品质量问题或交付产品与合同规定不符的，甲方不得退回产品。</w:t>
      </w:r>
    </w:p>
    <w:p w14:paraId="73ACFA3E">
      <w:pPr>
        <w:adjustRightInd w:val="0"/>
        <w:snapToGrid w:val="0"/>
        <w:spacing w:before="156" w:beforeLines="50" w:after="156" w:afterLines="50" w:line="380" w:lineRule="exact"/>
        <w:rPr>
          <w:rFonts w:ascii="宋体"/>
          <w:sz w:val="24"/>
        </w:rPr>
      </w:pPr>
      <w:r>
        <w:rPr>
          <w:rFonts w:ascii="宋体" w:hAnsi="宋体"/>
          <w:sz w:val="24"/>
        </w:rPr>
        <w:t>6</w:t>
      </w:r>
      <w:r>
        <w:rPr>
          <w:rFonts w:hint="eastAsia" w:ascii="宋体" w:hAnsi="宋体"/>
          <w:sz w:val="24"/>
        </w:rPr>
        <w:t>、甲方应当按乙方所提供的相关软件的操作手册进行操作，以确保软件产品运行安全可靠。</w:t>
      </w:r>
    </w:p>
    <w:p w14:paraId="4E091310">
      <w:pPr>
        <w:adjustRightInd w:val="0"/>
        <w:snapToGrid w:val="0"/>
        <w:spacing w:before="156" w:beforeLines="50" w:after="156" w:afterLines="50" w:line="380" w:lineRule="exact"/>
        <w:rPr>
          <w:rFonts w:ascii="宋体"/>
          <w:b/>
          <w:sz w:val="24"/>
        </w:rPr>
      </w:pPr>
      <w:r>
        <w:rPr>
          <w:rFonts w:hint="eastAsia" w:ascii="宋体" w:hAnsi="宋体"/>
          <w:b/>
          <w:sz w:val="24"/>
        </w:rPr>
        <w:t>第四条</w:t>
      </w:r>
      <w:r>
        <w:rPr>
          <w:rFonts w:ascii="宋体" w:hAnsi="宋体"/>
          <w:b/>
          <w:sz w:val="24"/>
        </w:rPr>
        <w:t xml:space="preserve"> </w:t>
      </w:r>
      <w:r>
        <w:rPr>
          <w:rFonts w:hint="eastAsia" w:ascii="宋体" w:hAnsi="宋体"/>
          <w:b/>
          <w:sz w:val="24"/>
        </w:rPr>
        <w:t>乙方权利义务</w:t>
      </w:r>
    </w:p>
    <w:p w14:paraId="4D2D1977">
      <w:pPr>
        <w:adjustRightInd w:val="0"/>
        <w:snapToGrid w:val="0"/>
        <w:spacing w:before="156" w:beforeLines="50" w:after="156" w:afterLines="50" w:line="380" w:lineRule="exact"/>
        <w:rPr>
          <w:rFonts w:ascii="宋体"/>
          <w:sz w:val="24"/>
        </w:rPr>
      </w:pPr>
      <w:r>
        <w:rPr>
          <w:rFonts w:ascii="宋体" w:hAnsi="宋体"/>
          <w:sz w:val="24"/>
        </w:rPr>
        <w:t>1</w:t>
      </w:r>
      <w:r>
        <w:rPr>
          <w:rFonts w:hint="eastAsia" w:ascii="宋体" w:hAnsi="宋体"/>
          <w:sz w:val="24"/>
        </w:rPr>
        <w:t>、乙方承诺本合同软件由原厂商供应并完全符合厂商规定的质量、规格、性能及标准，乙方并保证本合同软件在正确安装、正常使用和维护的情况下运行良好。</w:t>
      </w:r>
    </w:p>
    <w:p w14:paraId="5636BD1A">
      <w:pPr>
        <w:adjustRightInd w:val="0"/>
        <w:snapToGrid w:val="0"/>
        <w:spacing w:before="156" w:beforeLines="50" w:after="156" w:afterLines="50" w:line="380" w:lineRule="exact"/>
        <w:rPr>
          <w:rFonts w:ascii="宋体"/>
          <w:sz w:val="24"/>
        </w:rPr>
      </w:pPr>
      <w:r>
        <w:rPr>
          <w:rFonts w:ascii="宋体" w:hAnsi="宋体"/>
          <w:sz w:val="24"/>
        </w:rPr>
        <w:t>2</w:t>
      </w:r>
      <w:r>
        <w:rPr>
          <w:rFonts w:hint="eastAsia" w:ascii="宋体" w:hAnsi="宋体"/>
          <w:sz w:val="24"/>
        </w:rPr>
        <w:t>、乙方承诺以上软件产品系经严格测试、成熟稳定、无病毒及重大缺陷的软件产品。</w:t>
      </w:r>
    </w:p>
    <w:p w14:paraId="0D01643E">
      <w:pPr>
        <w:adjustRightInd w:val="0"/>
        <w:snapToGrid w:val="0"/>
        <w:spacing w:before="156" w:beforeLines="50" w:after="156" w:afterLines="50" w:line="380" w:lineRule="exact"/>
        <w:rPr>
          <w:rFonts w:ascii="宋体"/>
          <w:sz w:val="24"/>
        </w:rPr>
      </w:pPr>
      <w:r>
        <w:rPr>
          <w:rFonts w:ascii="宋体" w:hAnsi="宋体"/>
          <w:sz w:val="24"/>
        </w:rPr>
        <w:t>3</w:t>
      </w:r>
      <w:r>
        <w:rPr>
          <w:rFonts w:hint="eastAsia" w:ascii="宋体" w:hAnsi="宋体"/>
          <w:sz w:val="24"/>
        </w:rPr>
        <w:t>、乙方承诺以上软件产品符合网络安全等级保护三级相关技术规范和要求，若不满足，乙方免费升级优化，直至满足。</w:t>
      </w:r>
    </w:p>
    <w:p w14:paraId="096F512E">
      <w:pPr>
        <w:adjustRightInd w:val="0"/>
        <w:snapToGrid w:val="0"/>
        <w:spacing w:before="156" w:beforeLines="50" w:after="156" w:afterLines="50" w:line="380" w:lineRule="exact"/>
        <w:rPr>
          <w:rFonts w:ascii="宋体"/>
          <w:sz w:val="24"/>
        </w:rPr>
      </w:pPr>
      <w:r>
        <w:rPr>
          <w:rFonts w:ascii="宋体" w:hAnsi="宋体"/>
          <w:sz w:val="24"/>
        </w:rPr>
        <w:t>4</w:t>
      </w:r>
      <w:r>
        <w:rPr>
          <w:rFonts w:hint="eastAsia" w:ascii="宋体" w:hAnsi="宋体"/>
          <w:sz w:val="24"/>
        </w:rPr>
        <w:t>、乙方承诺以上软件产品无任何著作权归属的纠纷，并承诺以上产品皆为可执行的软件产品，未在其中设置任何妨碍软件正常运行的限制措施。</w:t>
      </w:r>
    </w:p>
    <w:p w14:paraId="0E89FD19">
      <w:pPr>
        <w:adjustRightInd w:val="0"/>
        <w:snapToGrid w:val="0"/>
        <w:spacing w:before="156" w:beforeLines="50" w:after="156" w:afterLines="50" w:line="380" w:lineRule="exact"/>
        <w:rPr>
          <w:rFonts w:ascii="宋体"/>
          <w:sz w:val="24"/>
        </w:rPr>
      </w:pPr>
      <w:r>
        <w:rPr>
          <w:rFonts w:ascii="宋体" w:hAnsi="宋体"/>
          <w:sz w:val="24"/>
        </w:rPr>
        <w:t>5</w:t>
      </w:r>
      <w:r>
        <w:rPr>
          <w:rFonts w:hint="eastAsia" w:ascii="宋体" w:hAnsi="宋体"/>
          <w:sz w:val="24"/>
        </w:rPr>
        <w:t>、乙方应为甲方提供相关软件产品及相应的技术文档，包含规格说明书、操作手册、项目实施文档、项目过程资产文档等，有责任对甲方相关人员进行管理、操作、使用及技术培训。</w:t>
      </w:r>
    </w:p>
    <w:p w14:paraId="5EBF6213">
      <w:pPr>
        <w:adjustRightInd w:val="0"/>
        <w:snapToGrid w:val="0"/>
        <w:spacing w:before="156" w:beforeLines="50" w:after="156" w:afterLines="50" w:line="380" w:lineRule="exact"/>
        <w:rPr>
          <w:rFonts w:ascii="宋体"/>
          <w:sz w:val="24"/>
        </w:rPr>
      </w:pPr>
      <w:r>
        <w:rPr>
          <w:rFonts w:ascii="宋体" w:hAnsi="宋体"/>
          <w:sz w:val="24"/>
        </w:rPr>
        <w:t>6</w:t>
      </w:r>
      <w:r>
        <w:rPr>
          <w:rFonts w:hint="eastAsia" w:ascii="宋体" w:hAnsi="宋体"/>
          <w:sz w:val="24"/>
        </w:rPr>
        <w:t>、乙方以优惠价格向甲方提供软件产品的版本升级服务，具体价款等内容由甲、乙双方协商后签署补充协议或服务协议。</w:t>
      </w:r>
    </w:p>
    <w:p w14:paraId="6F22635E">
      <w:pPr>
        <w:adjustRightInd w:val="0"/>
        <w:snapToGrid w:val="0"/>
        <w:spacing w:before="156" w:beforeLines="50" w:after="156" w:afterLines="50" w:line="380" w:lineRule="exact"/>
        <w:rPr>
          <w:rFonts w:ascii="宋体"/>
          <w:sz w:val="24"/>
        </w:rPr>
      </w:pPr>
      <w:r>
        <w:rPr>
          <w:rFonts w:ascii="宋体" w:hAnsi="宋体"/>
          <w:sz w:val="24"/>
        </w:rPr>
        <w:t>7</w:t>
      </w:r>
      <w:r>
        <w:rPr>
          <w:rFonts w:hint="eastAsia" w:ascii="宋体" w:hAnsi="宋体"/>
          <w:sz w:val="24"/>
        </w:rPr>
        <w:t>、乙方为甲方提供免费培训服务，以确保甲方人员能熟练使用和操作该产品。</w:t>
      </w:r>
    </w:p>
    <w:p w14:paraId="154AFFA4">
      <w:pPr>
        <w:adjustRightInd w:val="0"/>
        <w:snapToGrid w:val="0"/>
        <w:spacing w:before="156" w:beforeLines="50" w:after="156" w:afterLines="50" w:line="380" w:lineRule="exact"/>
        <w:rPr>
          <w:rFonts w:ascii="宋体"/>
          <w:sz w:val="24"/>
        </w:rPr>
      </w:pPr>
      <w:r>
        <w:rPr>
          <w:rFonts w:ascii="宋体" w:hAnsi="宋体"/>
          <w:sz w:val="24"/>
        </w:rPr>
        <w:t>8</w:t>
      </w:r>
      <w:r>
        <w:rPr>
          <w:rFonts w:hint="eastAsia" w:ascii="宋体" w:hAnsi="宋体"/>
          <w:sz w:val="24"/>
        </w:rPr>
        <w:t>、以上软件产品在项目实施及维护期间，乙方免费向第三方提供接口。</w:t>
      </w:r>
    </w:p>
    <w:p w14:paraId="793DFF08">
      <w:pPr>
        <w:adjustRightInd w:val="0"/>
        <w:snapToGrid w:val="0"/>
        <w:spacing w:before="156" w:beforeLines="50" w:after="156" w:afterLines="50" w:line="380" w:lineRule="exact"/>
        <w:rPr>
          <w:rFonts w:ascii="宋体"/>
          <w:sz w:val="24"/>
        </w:rPr>
      </w:pPr>
      <w:r>
        <w:rPr>
          <w:rFonts w:ascii="宋体" w:hAnsi="宋体"/>
          <w:sz w:val="24"/>
        </w:rPr>
        <w:t>9</w:t>
      </w:r>
      <w:r>
        <w:rPr>
          <w:rFonts w:hint="eastAsia" w:ascii="宋体" w:hAnsi="宋体"/>
          <w:sz w:val="24"/>
        </w:rPr>
        <w:t>、乙方需安排符合甲方要求的项目人员到场进行项目管理和实施，如项目人员发生变动或离场的需提前一周先甲方申请，甲方认可后方允许变更或离场。</w:t>
      </w:r>
      <w:r>
        <w:rPr>
          <w:rFonts w:ascii="宋体" w:hAnsi="宋体"/>
          <w:sz w:val="24"/>
        </w:rPr>
        <w:t xml:space="preserve"> </w:t>
      </w:r>
    </w:p>
    <w:p w14:paraId="5A6DC88C">
      <w:pPr>
        <w:adjustRightInd w:val="0"/>
        <w:snapToGrid w:val="0"/>
        <w:spacing w:before="156" w:beforeLines="50" w:after="156" w:afterLines="50" w:line="380" w:lineRule="exact"/>
        <w:rPr>
          <w:rFonts w:ascii="宋体"/>
          <w:b/>
          <w:sz w:val="24"/>
        </w:rPr>
      </w:pPr>
      <w:r>
        <w:rPr>
          <w:rFonts w:hint="eastAsia" w:ascii="宋体" w:hAnsi="宋体"/>
          <w:b/>
          <w:sz w:val="24"/>
        </w:rPr>
        <w:t>第五条</w:t>
      </w:r>
      <w:r>
        <w:rPr>
          <w:rFonts w:ascii="宋体" w:hAnsi="宋体"/>
          <w:b/>
          <w:sz w:val="24"/>
        </w:rPr>
        <w:t xml:space="preserve">  </w:t>
      </w:r>
      <w:r>
        <w:rPr>
          <w:rFonts w:hint="eastAsia" w:ascii="宋体" w:hAnsi="宋体"/>
          <w:b/>
          <w:sz w:val="24"/>
        </w:rPr>
        <w:t>产品交付</w:t>
      </w:r>
    </w:p>
    <w:p w14:paraId="40B37967">
      <w:pPr>
        <w:adjustRightInd w:val="0"/>
        <w:snapToGrid w:val="0"/>
        <w:spacing w:before="156" w:beforeLines="50" w:after="156" w:afterLines="50" w:line="380" w:lineRule="exact"/>
        <w:rPr>
          <w:rFonts w:ascii="宋体"/>
          <w:sz w:val="24"/>
        </w:rPr>
      </w:pPr>
      <w:r>
        <w:rPr>
          <w:rFonts w:hint="eastAsia" w:ascii="宋体" w:hAnsi="宋体"/>
          <w:sz w:val="24"/>
        </w:rPr>
        <w:t>交付时间：乙方应于合同签订后</w:t>
      </w:r>
      <w:r>
        <w:rPr>
          <w:rFonts w:ascii="宋体" w:hAnsi="宋体"/>
          <w:sz w:val="24"/>
          <w:u w:val="single"/>
        </w:rPr>
        <w:t xml:space="preserve">   </w:t>
      </w:r>
      <w:r>
        <w:rPr>
          <w:rFonts w:hint="eastAsia" w:ascii="宋体" w:hAnsi="宋体"/>
          <w:sz w:val="24"/>
        </w:rPr>
        <w:t>个工作日内向甲方交付产品，产品以</w:t>
      </w:r>
      <w:r>
        <w:rPr>
          <w:rFonts w:ascii="宋体" w:hAnsi="宋体"/>
          <w:sz w:val="24"/>
          <w:u w:val="single"/>
        </w:rPr>
        <w:t xml:space="preserve">     </w:t>
      </w:r>
      <w:r>
        <w:rPr>
          <w:rFonts w:hint="eastAsia" w:ascii="宋体" w:hAnsi="宋体"/>
          <w:sz w:val="24"/>
        </w:rPr>
        <w:t>为载体。</w:t>
      </w:r>
    </w:p>
    <w:p w14:paraId="40453664">
      <w:pPr>
        <w:adjustRightInd w:val="0"/>
        <w:snapToGrid w:val="0"/>
        <w:spacing w:before="156" w:beforeLines="50" w:after="156" w:afterLines="50" w:line="380" w:lineRule="exact"/>
        <w:rPr>
          <w:rFonts w:ascii="宋体"/>
          <w:sz w:val="24"/>
        </w:rPr>
      </w:pPr>
      <w:r>
        <w:rPr>
          <w:rFonts w:hint="eastAsia" w:ascii="宋体" w:hAnsi="宋体"/>
          <w:sz w:val="24"/>
        </w:rPr>
        <w:t>交付地点：</w:t>
      </w:r>
      <w:r>
        <w:rPr>
          <w:rFonts w:ascii="宋体" w:hAnsi="宋体"/>
          <w:sz w:val="24"/>
        </w:rPr>
        <w:t xml:space="preserve"> </w:t>
      </w:r>
      <w:r>
        <w:rPr>
          <w:rFonts w:hint="eastAsia" w:ascii="宋体" w:hAnsi="宋体"/>
          <w:sz w:val="24"/>
        </w:rPr>
        <w:t>桂林市</w:t>
      </w:r>
    </w:p>
    <w:p w14:paraId="3A44693A">
      <w:pPr>
        <w:adjustRightInd w:val="0"/>
        <w:snapToGrid w:val="0"/>
        <w:spacing w:before="156" w:beforeLines="50" w:after="156" w:afterLines="50" w:line="380" w:lineRule="exact"/>
        <w:rPr>
          <w:rFonts w:ascii="宋体"/>
          <w:sz w:val="24"/>
        </w:rPr>
      </w:pPr>
      <w:r>
        <w:rPr>
          <w:rFonts w:hint="eastAsia" w:ascii="宋体" w:hAnsi="宋体"/>
          <w:sz w:val="24"/>
        </w:rPr>
        <w:t>接收人名称：</w:t>
      </w:r>
      <w:r>
        <w:rPr>
          <w:rFonts w:ascii="宋体"/>
          <w:sz w:val="24"/>
        </w:rPr>
        <w:tab/>
      </w:r>
      <w:r>
        <w:rPr>
          <w:rFonts w:hint="eastAsia" w:ascii="宋体" w:hAnsi="宋体"/>
          <w:sz w:val="24"/>
        </w:rPr>
        <w:t>桂林市人民医院</w:t>
      </w:r>
    </w:p>
    <w:p w14:paraId="6D85BA2C">
      <w:pPr>
        <w:adjustRightInd w:val="0"/>
        <w:snapToGrid w:val="0"/>
        <w:spacing w:before="156" w:beforeLines="50" w:after="156" w:afterLines="50" w:line="380" w:lineRule="exact"/>
        <w:rPr>
          <w:rFonts w:ascii="宋体"/>
          <w:sz w:val="24"/>
        </w:rPr>
      </w:pPr>
      <w:r>
        <w:rPr>
          <w:rFonts w:hint="eastAsia" w:ascii="宋体" w:hAnsi="宋体"/>
          <w:sz w:val="24"/>
        </w:rPr>
        <w:t>地址：广西桂林市象山区文明路</w:t>
      </w:r>
      <w:r>
        <w:rPr>
          <w:rFonts w:ascii="宋体" w:hAnsi="宋体"/>
          <w:sz w:val="24"/>
        </w:rPr>
        <w:t>12</w:t>
      </w:r>
      <w:r>
        <w:rPr>
          <w:rFonts w:hint="eastAsia" w:ascii="宋体" w:hAnsi="宋体"/>
          <w:sz w:val="24"/>
        </w:rPr>
        <w:t>号</w:t>
      </w:r>
    </w:p>
    <w:p w14:paraId="3E441D99">
      <w:pPr>
        <w:adjustRightInd w:val="0"/>
        <w:snapToGrid w:val="0"/>
        <w:spacing w:before="156" w:beforeLines="50" w:after="156" w:afterLines="50" w:line="380" w:lineRule="exact"/>
        <w:rPr>
          <w:rFonts w:hint="eastAsia" w:ascii="宋体" w:hAnsi="宋体"/>
          <w:sz w:val="24"/>
        </w:rPr>
      </w:pPr>
      <w:r>
        <w:rPr>
          <w:rFonts w:hint="eastAsia" w:ascii="宋体" w:hAnsi="宋体"/>
          <w:sz w:val="24"/>
        </w:rPr>
        <w:t>电话：</w:t>
      </w:r>
      <w:r>
        <w:rPr>
          <w:rFonts w:ascii="宋体" w:hAnsi="宋体"/>
          <w:sz w:val="24"/>
        </w:rPr>
        <w:t xml:space="preserve">       </w:t>
      </w:r>
    </w:p>
    <w:p w14:paraId="56305AE9">
      <w:pPr>
        <w:adjustRightInd w:val="0"/>
        <w:snapToGrid w:val="0"/>
        <w:spacing w:before="156" w:beforeLines="50" w:after="156" w:afterLines="50" w:line="380" w:lineRule="exact"/>
        <w:rPr>
          <w:rFonts w:ascii="宋体"/>
          <w:sz w:val="24"/>
        </w:rPr>
      </w:pPr>
      <w:r>
        <w:rPr>
          <w:rFonts w:hint="eastAsia" w:ascii="宋体" w:hAnsi="宋体"/>
          <w:sz w:val="24"/>
        </w:rPr>
        <w:t>传真：</w:t>
      </w:r>
      <w:r>
        <w:rPr>
          <w:rFonts w:ascii="宋体"/>
          <w:sz w:val="24"/>
        </w:rPr>
        <w:tab/>
      </w:r>
    </w:p>
    <w:p w14:paraId="181C7ECE">
      <w:pPr>
        <w:adjustRightInd w:val="0"/>
        <w:snapToGrid w:val="0"/>
        <w:spacing w:before="156" w:beforeLines="50" w:after="156" w:afterLines="50" w:line="380" w:lineRule="exact"/>
        <w:rPr>
          <w:rFonts w:ascii="宋体"/>
          <w:b/>
          <w:sz w:val="24"/>
        </w:rPr>
      </w:pPr>
      <w:r>
        <w:rPr>
          <w:rFonts w:hint="eastAsia" w:ascii="宋体" w:hAnsi="宋体"/>
          <w:b/>
          <w:sz w:val="24"/>
        </w:rPr>
        <w:t>第六条</w:t>
      </w:r>
      <w:r>
        <w:rPr>
          <w:rFonts w:ascii="宋体" w:hAnsi="宋体"/>
          <w:b/>
          <w:sz w:val="24"/>
        </w:rPr>
        <w:t xml:space="preserve">  </w:t>
      </w:r>
      <w:r>
        <w:rPr>
          <w:rFonts w:hint="eastAsia" w:ascii="宋体" w:hAnsi="宋体"/>
          <w:b/>
          <w:sz w:val="24"/>
        </w:rPr>
        <w:t>验收标准和方式</w:t>
      </w:r>
      <w:r>
        <w:rPr>
          <w:rFonts w:ascii="宋体"/>
          <w:b/>
          <w:sz w:val="24"/>
        </w:rPr>
        <w:tab/>
      </w:r>
      <w:r>
        <w:rPr>
          <w:rFonts w:ascii="宋体"/>
          <w:b/>
          <w:sz w:val="24"/>
        </w:rPr>
        <w:tab/>
      </w:r>
    </w:p>
    <w:p w14:paraId="1839565E">
      <w:pPr>
        <w:adjustRightInd w:val="0"/>
        <w:snapToGrid w:val="0"/>
        <w:spacing w:before="156" w:beforeLines="50" w:after="156" w:afterLines="50" w:line="380" w:lineRule="exact"/>
        <w:ind w:left="-2" w:leftChars="-1"/>
        <w:rPr>
          <w:rFonts w:ascii="宋体"/>
          <w:sz w:val="24"/>
        </w:rPr>
      </w:pPr>
      <w:r>
        <w:rPr>
          <w:rFonts w:ascii="宋体" w:hAnsi="宋体"/>
          <w:sz w:val="24"/>
        </w:rPr>
        <w:t>1</w:t>
      </w:r>
      <w:r>
        <w:rPr>
          <w:rFonts w:hint="eastAsia" w:ascii="宋体" w:hAnsi="宋体"/>
          <w:sz w:val="24"/>
        </w:rPr>
        <w:t>、验收标准：产品验收范围应严格依据本合同及附件所界定的内容进行，验收合格与否应以附件《产品功能明细表》为验收标准。</w:t>
      </w:r>
    </w:p>
    <w:p w14:paraId="6AB30A18">
      <w:pPr>
        <w:adjustRightInd w:val="0"/>
        <w:snapToGrid w:val="0"/>
        <w:spacing w:before="156" w:beforeLines="50" w:after="156" w:afterLines="50" w:line="380" w:lineRule="exact"/>
        <w:ind w:left="-2" w:leftChars="-1"/>
        <w:rPr>
          <w:rFonts w:ascii="宋体"/>
          <w:sz w:val="24"/>
        </w:rPr>
      </w:pPr>
      <w:r>
        <w:rPr>
          <w:rFonts w:ascii="宋体" w:hAnsi="宋体"/>
          <w:sz w:val="24"/>
        </w:rPr>
        <w:t>2</w:t>
      </w:r>
      <w:r>
        <w:rPr>
          <w:rFonts w:hint="eastAsia" w:ascii="宋体" w:hAnsi="宋体"/>
          <w:sz w:val="24"/>
        </w:rPr>
        <w:t>、项目上线：完成系统全部功能模块安装部署并完成试运行，乙方完成用户培训，用户开始正常使用系统后，乙方提交项目上线报告，甲乙双方共同签署确认。</w:t>
      </w:r>
    </w:p>
    <w:p w14:paraId="71973287">
      <w:pPr>
        <w:adjustRightInd w:val="0"/>
        <w:snapToGrid w:val="0"/>
        <w:spacing w:before="156" w:beforeLines="50" w:after="156" w:afterLines="50" w:line="380" w:lineRule="exact"/>
        <w:ind w:left="-2" w:leftChars="-1"/>
        <w:rPr>
          <w:rFonts w:ascii="宋体"/>
          <w:sz w:val="24"/>
        </w:rPr>
      </w:pPr>
      <w:r>
        <w:rPr>
          <w:rFonts w:ascii="宋体" w:hAnsi="宋体"/>
          <w:sz w:val="24"/>
        </w:rPr>
        <w:t>3</w:t>
      </w:r>
      <w:r>
        <w:rPr>
          <w:rFonts w:hint="eastAsia" w:ascii="宋体" w:hAnsi="宋体"/>
          <w:sz w:val="24"/>
        </w:rPr>
        <w:t>、验收方式：在项目正式上线后，连续运行且无故障出现达到6</w:t>
      </w:r>
      <w:r>
        <w:rPr>
          <w:rFonts w:ascii="宋体" w:hAnsi="宋体"/>
          <w:sz w:val="24"/>
        </w:rPr>
        <w:t>0</w:t>
      </w:r>
      <w:r>
        <w:rPr>
          <w:rFonts w:hint="eastAsia" w:ascii="宋体" w:hAnsi="宋体"/>
          <w:sz w:val="24"/>
        </w:rPr>
        <w:t>日，甲乙双方共同进行软件验收满意度调查，发放合同附件二《软件验收满意度调查表》，抽查范围及人数根据软件应用范围由甲乙双方协商确认。验收满意率大于等于80%，乙方向甲方提请验收并提供验收报告。甲方在接到验收报告之日起</w:t>
      </w:r>
      <w:r>
        <w:rPr>
          <w:rFonts w:ascii="宋体" w:hAnsi="宋体"/>
          <w:sz w:val="24"/>
        </w:rPr>
        <w:t>10</w:t>
      </w:r>
      <w:r>
        <w:rPr>
          <w:rFonts w:hint="eastAsia" w:ascii="宋体" w:hAnsi="宋体"/>
          <w:sz w:val="24"/>
        </w:rPr>
        <w:t>个工作日内组织验收或提出修改意见。</w:t>
      </w:r>
    </w:p>
    <w:p w14:paraId="507A4FE4">
      <w:pPr>
        <w:adjustRightInd w:val="0"/>
        <w:snapToGrid w:val="0"/>
        <w:spacing w:before="156" w:beforeLines="50" w:after="156" w:afterLines="50" w:line="380" w:lineRule="exact"/>
        <w:ind w:left="-2" w:leftChars="-1"/>
        <w:rPr>
          <w:rFonts w:ascii="宋体"/>
          <w:sz w:val="24"/>
        </w:rPr>
      </w:pPr>
      <w:r>
        <w:rPr>
          <w:rFonts w:ascii="宋体" w:hAnsi="宋体"/>
          <w:sz w:val="24"/>
        </w:rPr>
        <w:t>4</w:t>
      </w:r>
      <w:r>
        <w:rPr>
          <w:rFonts w:hint="eastAsia" w:ascii="宋体" w:hAnsi="宋体"/>
          <w:sz w:val="24"/>
        </w:rPr>
        <w:t>、甲方接到验收报告后</w:t>
      </w:r>
      <w:r>
        <w:rPr>
          <w:rFonts w:ascii="宋体" w:hAnsi="宋体"/>
          <w:sz w:val="24"/>
        </w:rPr>
        <w:t>10</w:t>
      </w:r>
      <w:r>
        <w:rPr>
          <w:rFonts w:hint="eastAsia" w:ascii="宋体" w:hAnsi="宋体"/>
          <w:sz w:val="24"/>
        </w:rPr>
        <w:t>个工作日内无正当理由不组织验收，且不能提出修改意见，则视作验收报告已被批准，甲方即应给乙方办理结算手续。</w:t>
      </w:r>
    </w:p>
    <w:p w14:paraId="7F57B890">
      <w:pPr>
        <w:adjustRightInd w:val="0"/>
        <w:snapToGrid w:val="0"/>
        <w:spacing w:before="156" w:beforeLines="50" w:after="156" w:afterLines="50" w:line="380" w:lineRule="exact"/>
        <w:ind w:left="-2" w:leftChars="-1"/>
        <w:rPr>
          <w:rFonts w:ascii="宋体"/>
          <w:sz w:val="24"/>
        </w:rPr>
      </w:pPr>
      <w:r>
        <w:rPr>
          <w:rFonts w:ascii="宋体" w:hAnsi="宋体"/>
          <w:sz w:val="24"/>
        </w:rPr>
        <w:t>5</w:t>
      </w:r>
      <w:r>
        <w:rPr>
          <w:rFonts w:hint="eastAsia" w:ascii="宋体" w:hAnsi="宋体"/>
          <w:sz w:val="24"/>
        </w:rPr>
        <w:t>、如验收不合格，乙方应当在收到甲方书面通知之日起</w:t>
      </w:r>
      <w:r>
        <w:rPr>
          <w:rFonts w:ascii="宋体" w:hAnsi="宋体"/>
          <w:sz w:val="24"/>
        </w:rPr>
        <w:t xml:space="preserve"> 10 </w:t>
      </w:r>
      <w:r>
        <w:rPr>
          <w:rFonts w:hint="eastAsia" w:ascii="宋体" w:hAnsi="宋体"/>
          <w:sz w:val="24"/>
        </w:rPr>
        <w:t>日内对系统进行修改完善直至合格，该情形不视为乙方逾期违约，并由双方约定新的验收时间重新进行验收。</w:t>
      </w:r>
    </w:p>
    <w:p w14:paraId="63506B3D">
      <w:pPr>
        <w:adjustRightInd w:val="0"/>
        <w:snapToGrid w:val="0"/>
        <w:spacing w:before="156" w:beforeLines="50" w:after="156" w:afterLines="50" w:line="380" w:lineRule="exact"/>
        <w:rPr>
          <w:rFonts w:hint="eastAsia" w:ascii="宋体" w:hAnsi="宋体"/>
          <w:sz w:val="24"/>
        </w:rPr>
      </w:pPr>
      <w:r>
        <w:rPr>
          <w:rFonts w:hint="eastAsia" w:ascii="宋体" w:hAnsi="宋体"/>
          <w:sz w:val="24"/>
        </w:rPr>
        <w:t>6、维保到期后，需提交《质保期到期验收单》方可提出质保申请。</w:t>
      </w:r>
    </w:p>
    <w:p w14:paraId="1F2EF7FA">
      <w:pPr>
        <w:adjustRightInd w:val="0"/>
        <w:snapToGrid w:val="0"/>
        <w:spacing w:before="156" w:beforeLines="50" w:after="156" w:afterLines="50" w:line="380" w:lineRule="exact"/>
        <w:rPr>
          <w:rFonts w:ascii="宋体"/>
          <w:b/>
          <w:sz w:val="24"/>
        </w:rPr>
      </w:pPr>
      <w:r>
        <w:rPr>
          <w:rFonts w:hint="eastAsia" w:ascii="宋体" w:hAnsi="宋体"/>
          <w:b/>
          <w:sz w:val="24"/>
        </w:rPr>
        <w:t>第七条　货款支付</w:t>
      </w:r>
    </w:p>
    <w:p w14:paraId="67EBEC1D">
      <w:pPr>
        <w:adjustRightInd w:val="0"/>
        <w:snapToGrid w:val="0"/>
        <w:spacing w:before="156" w:beforeLines="50" w:after="156" w:afterLines="50" w:line="380" w:lineRule="exact"/>
        <w:rPr>
          <w:rFonts w:ascii="宋体"/>
          <w:sz w:val="24"/>
        </w:rPr>
      </w:pPr>
      <w:r>
        <w:rPr>
          <w:rFonts w:ascii="宋体" w:hAnsi="宋体"/>
          <w:sz w:val="24"/>
        </w:rPr>
        <w:t>1</w:t>
      </w:r>
      <w:r>
        <w:rPr>
          <w:rFonts w:hint="eastAsia" w:ascii="宋体" w:hAnsi="宋体"/>
          <w:sz w:val="24"/>
        </w:rPr>
        <w:t>、付款方式：合同签订之后，乙方将尽快安排入场安装，在软件上线并验收合格后，乙方开具对应金额的有效发票，甲方在收到发票，</w:t>
      </w:r>
      <w:r>
        <w:rPr>
          <w:rFonts w:hint="eastAsia" w:ascii="宋体" w:hAnsi="宋体"/>
          <w:sz w:val="24"/>
          <w:lang w:val="en-US" w:eastAsia="zh-CN"/>
        </w:rPr>
        <w:t>60</w:t>
      </w:r>
      <w:r>
        <w:rPr>
          <w:rFonts w:hint="eastAsia" w:ascii="宋体" w:hAnsi="宋体"/>
          <w:sz w:val="24"/>
        </w:rPr>
        <w:t>个工作</w:t>
      </w:r>
      <w:r>
        <w:rPr>
          <w:rFonts w:hint="eastAsia" w:ascii="宋体" w:hAnsi="宋体"/>
          <w:sz w:val="24"/>
          <w:lang w:val="en-US" w:eastAsia="zh-CN"/>
        </w:rPr>
        <w:t>后</w:t>
      </w:r>
      <w:r>
        <w:rPr>
          <w:rFonts w:hint="eastAsia" w:ascii="宋体" w:hAnsi="宋体"/>
          <w:sz w:val="24"/>
        </w:rPr>
        <w:t>将终验款（合同金额9</w:t>
      </w:r>
      <w:r>
        <w:rPr>
          <w:rFonts w:hint="eastAsia" w:ascii="宋体" w:hAnsi="宋体"/>
          <w:sz w:val="24"/>
          <w:lang w:val="en-US" w:eastAsia="zh-CN"/>
        </w:rPr>
        <w:t>5</w:t>
      </w:r>
      <w:r>
        <w:rPr>
          <w:rFonts w:ascii="宋体" w:hAnsi="宋体"/>
          <w:sz w:val="24"/>
        </w:rPr>
        <w:t>%</w:t>
      </w:r>
      <w:r>
        <w:rPr>
          <w:rFonts w:hint="eastAsia" w:ascii="宋体" w:hAnsi="宋体"/>
          <w:sz w:val="24"/>
        </w:rPr>
        <w:t>），</w:t>
      </w:r>
      <w:r>
        <w:rPr>
          <w:rFonts w:ascii="宋体" w:hAnsi="宋体"/>
          <w:sz w:val="24"/>
          <w:u w:val="single"/>
        </w:rPr>
        <w:t xml:space="preserve">         </w:t>
      </w:r>
      <w:r>
        <w:rPr>
          <w:rFonts w:hint="eastAsia" w:ascii="宋体" w:hAnsi="宋体"/>
          <w:sz w:val="24"/>
          <w:u w:val="single"/>
        </w:rPr>
        <w:t>元（大写人民币</w:t>
      </w:r>
      <w:r>
        <w:rPr>
          <w:rFonts w:ascii="宋体" w:hAnsi="宋体"/>
          <w:sz w:val="24"/>
          <w:u w:val="single"/>
        </w:rPr>
        <w:t xml:space="preserve">              </w:t>
      </w:r>
      <w:r>
        <w:rPr>
          <w:rFonts w:hint="eastAsia" w:ascii="宋体" w:hAnsi="宋体"/>
          <w:sz w:val="24"/>
          <w:u w:val="single"/>
        </w:rPr>
        <w:t>元整）</w:t>
      </w:r>
      <w:r>
        <w:rPr>
          <w:rFonts w:hint="eastAsia" w:ascii="宋体" w:hAnsi="宋体"/>
          <w:sz w:val="24"/>
        </w:rPr>
        <w:t>一次性支付给乙方；合同总额中包含</w:t>
      </w:r>
      <w:r>
        <w:rPr>
          <w:rFonts w:ascii="宋体" w:hAnsi="宋体"/>
          <w:sz w:val="24"/>
          <w:u w:val="single"/>
        </w:rPr>
        <w:t xml:space="preserve">     </w:t>
      </w:r>
      <w:r>
        <w:rPr>
          <w:rFonts w:hint="eastAsia" w:ascii="宋体" w:hAnsi="宋体"/>
          <w:sz w:val="24"/>
        </w:rPr>
        <w:t>年的维保，维保到期后乙方提出履约保证金付款申请，甲方收到申请</w:t>
      </w:r>
      <w:r>
        <w:rPr>
          <w:rFonts w:hint="eastAsia" w:ascii="宋体" w:hAnsi="宋体"/>
          <w:sz w:val="24"/>
          <w:lang w:val="en-US" w:eastAsia="zh-CN"/>
        </w:rPr>
        <w:t>30</w:t>
      </w:r>
      <w:r>
        <w:rPr>
          <w:rFonts w:hint="eastAsia" w:ascii="宋体" w:hAnsi="宋体"/>
          <w:sz w:val="24"/>
        </w:rPr>
        <w:t>个工作日</w:t>
      </w:r>
      <w:r>
        <w:rPr>
          <w:rFonts w:hint="eastAsia" w:ascii="宋体" w:hAnsi="宋体"/>
          <w:sz w:val="24"/>
          <w:lang w:val="en-US" w:eastAsia="zh-CN"/>
        </w:rPr>
        <w:t>后</w:t>
      </w:r>
      <w:r>
        <w:rPr>
          <w:rFonts w:hint="eastAsia" w:ascii="宋体" w:hAnsi="宋体"/>
          <w:sz w:val="24"/>
        </w:rPr>
        <w:t>将履约保证金（合同金额</w:t>
      </w:r>
      <w:r>
        <w:rPr>
          <w:rFonts w:hint="eastAsia" w:ascii="宋体" w:hAnsi="宋体"/>
          <w:sz w:val="24"/>
          <w:lang w:val="en-US" w:eastAsia="zh-CN"/>
        </w:rPr>
        <w:t>5</w:t>
      </w:r>
      <w:r>
        <w:rPr>
          <w:rFonts w:ascii="宋体" w:hAnsi="宋体"/>
          <w:sz w:val="24"/>
        </w:rPr>
        <w:t>%</w:t>
      </w:r>
      <w:r>
        <w:rPr>
          <w:rFonts w:hint="eastAsia"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元（大写人民币</w:t>
      </w:r>
      <w:r>
        <w:rPr>
          <w:rFonts w:ascii="宋体" w:hAnsi="宋体"/>
          <w:sz w:val="24"/>
          <w:u w:val="single"/>
        </w:rPr>
        <w:t xml:space="preserve">             </w:t>
      </w:r>
      <w:r>
        <w:rPr>
          <w:rFonts w:hint="eastAsia" w:ascii="宋体" w:hAnsi="宋体"/>
          <w:sz w:val="24"/>
          <w:u w:val="single"/>
        </w:rPr>
        <w:t>元整）</w:t>
      </w:r>
      <w:r>
        <w:rPr>
          <w:rFonts w:hint="eastAsia" w:ascii="宋体" w:hAnsi="宋体"/>
          <w:sz w:val="24"/>
        </w:rPr>
        <w:t>一次性支付给乙方。合同维保到期以后每年的维保费用不超过合同总额的</w:t>
      </w:r>
      <w:r>
        <w:rPr>
          <w:rFonts w:ascii="宋体" w:hAnsi="宋体"/>
          <w:sz w:val="24"/>
          <w:u w:val="single"/>
        </w:rPr>
        <w:t xml:space="preserve">   </w:t>
      </w:r>
      <w:r>
        <w:rPr>
          <w:rFonts w:ascii="宋体" w:hAnsi="宋体"/>
          <w:sz w:val="24"/>
        </w:rPr>
        <w:t>%</w:t>
      </w:r>
      <w:r>
        <w:rPr>
          <w:rFonts w:hint="eastAsia" w:ascii="宋体" w:hAnsi="宋体"/>
          <w:sz w:val="24"/>
        </w:rPr>
        <w:t>，维保协议双方另行签订。</w:t>
      </w:r>
    </w:p>
    <w:p w14:paraId="60CDFA83">
      <w:pPr>
        <w:adjustRightInd w:val="0"/>
        <w:snapToGrid w:val="0"/>
        <w:spacing w:before="156" w:beforeLines="50" w:after="156" w:afterLines="50" w:line="380" w:lineRule="exact"/>
        <w:rPr>
          <w:rFonts w:ascii="宋体"/>
          <w:sz w:val="24"/>
        </w:rPr>
      </w:pPr>
      <w:r>
        <w:rPr>
          <w:rFonts w:ascii="宋体" w:hAnsi="宋体"/>
          <w:sz w:val="24"/>
        </w:rPr>
        <w:t>2</w:t>
      </w:r>
      <w:r>
        <w:rPr>
          <w:rFonts w:hint="eastAsia" w:ascii="宋体" w:hAnsi="宋体"/>
          <w:sz w:val="24"/>
        </w:rPr>
        <w:t>、乙方开户银行名称、地址和账号为：</w:t>
      </w:r>
    </w:p>
    <w:p w14:paraId="59105598">
      <w:pPr>
        <w:adjustRightInd w:val="0"/>
        <w:snapToGrid w:val="0"/>
        <w:spacing w:before="156" w:beforeLines="50" w:after="156" w:afterLines="50" w:line="380" w:lineRule="exact"/>
        <w:rPr>
          <w:rFonts w:ascii="宋体" w:cs="宋体"/>
          <w:sz w:val="24"/>
        </w:rPr>
      </w:pPr>
      <w:r>
        <w:rPr>
          <w:rFonts w:hint="eastAsia" w:ascii="宋体" w:hAnsi="宋体"/>
          <w:sz w:val="24"/>
        </w:rPr>
        <w:t>名称：</w:t>
      </w:r>
      <w:r>
        <w:rPr>
          <w:rFonts w:ascii="宋体" w:hAnsi="宋体" w:cs="宋体"/>
          <w:sz w:val="24"/>
          <w:u w:val="single"/>
        </w:rPr>
        <w:t xml:space="preserve">                        </w:t>
      </w:r>
    </w:p>
    <w:p w14:paraId="62B09889">
      <w:pPr>
        <w:adjustRightInd w:val="0"/>
        <w:snapToGrid w:val="0"/>
        <w:spacing w:before="156" w:beforeLines="50" w:after="156" w:afterLines="50" w:line="380" w:lineRule="exact"/>
        <w:rPr>
          <w:rFonts w:ascii="宋体" w:cs="宋体"/>
          <w:sz w:val="24"/>
        </w:rPr>
      </w:pPr>
      <w:r>
        <w:rPr>
          <w:rFonts w:hint="eastAsia" w:ascii="宋体" w:hAnsi="宋体" w:cs="宋体"/>
          <w:sz w:val="24"/>
        </w:rPr>
        <w:t>开户行：</w:t>
      </w:r>
      <w:r>
        <w:rPr>
          <w:rFonts w:ascii="宋体" w:hAnsi="宋体" w:cs="宋体"/>
          <w:sz w:val="24"/>
          <w:u w:val="single"/>
        </w:rPr>
        <w:t xml:space="preserve">                    </w:t>
      </w:r>
    </w:p>
    <w:p w14:paraId="2BD8A453">
      <w:pPr>
        <w:adjustRightInd w:val="0"/>
        <w:snapToGrid w:val="0"/>
        <w:spacing w:before="156" w:beforeLines="50" w:after="156" w:afterLines="50" w:line="380" w:lineRule="exact"/>
        <w:rPr>
          <w:rFonts w:ascii="宋体" w:cs="宋体"/>
          <w:sz w:val="24"/>
        </w:rPr>
      </w:pPr>
      <w:r>
        <w:rPr>
          <w:rFonts w:hint="eastAsia" w:ascii="宋体" w:hAnsi="宋体" w:cs="宋体"/>
          <w:sz w:val="24"/>
        </w:rPr>
        <w:t>账号：</w:t>
      </w:r>
      <w:r>
        <w:rPr>
          <w:rFonts w:ascii="宋体" w:hAnsi="宋体" w:cs="宋体"/>
          <w:sz w:val="24"/>
          <w:u w:val="single"/>
        </w:rPr>
        <w:t xml:space="preserve">                         </w:t>
      </w:r>
    </w:p>
    <w:p w14:paraId="3124D4DA">
      <w:pPr>
        <w:adjustRightInd w:val="0"/>
        <w:snapToGrid w:val="0"/>
        <w:spacing w:before="156" w:beforeLines="50" w:after="156" w:afterLines="50" w:line="380" w:lineRule="exact"/>
        <w:rPr>
          <w:rFonts w:ascii="宋体"/>
          <w:sz w:val="24"/>
        </w:rPr>
      </w:pPr>
      <w:r>
        <w:rPr>
          <w:rFonts w:ascii="宋体" w:hAnsi="宋体"/>
          <w:sz w:val="24"/>
        </w:rPr>
        <w:t>3</w:t>
      </w:r>
      <w:r>
        <w:rPr>
          <w:rFonts w:hint="eastAsia" w:ascii="宋体" w:hAnsi="宋体"/>
          <w:sz w:val="24"/>
        </w:rPr>
        <w:t>、甲方开票信息：</w:t>
      </w:r>
    </w:p>
    <w:p w14:paraId="6D067AB8">
      <w:pPr>
        <w:adjustRightInd w:val="0"/>
        <w:snapToGrid w:val="0"/>
        <w:spacing w:before="156" w:beforeLines="50" w:after="156" w:afterLines="50" w:line="380" w:lineRule="exact"/>
        <w:rPr>
          <w:rFonts w:ascii="宋体"/>
          <w:sz w:val="24"/>
        </w:rPr>
      </w:pPr>
      <w:r>
        <w:rPr>
          <w:rFonts w:hint="eastAsia" w:ascii="宋体" w:hAnsi="宋体"/>
          <w:sz w:val="24"/>
        </w:rPr>
        <w:t>名称：桂林市人民医院</w:t>
      </w:r>
    </w:p>
    <w:p w14:paraId="2C9EE8A5">
      <w:pPr>
        <w:adjustRightInd w:val="0"/>
        <w:snapToGrid w:val="0"/>
        <w:spacing w:before="156" w:beforeLines="50" w:after="156" w:afterLines="50" w:line="380" w:lineRule="exact"/>
        <w:rPr>
          <w:rFonts w:hint="eastAsia" w:ascii="宋体" w:hAnsi="宋体"/>
          <w:sz w:val="24"/>
        </w:rPr>
      </w:pPr>
      <w:r>
        <w:rPr>
          <w:rFonts w:hint="eastAsia" w:ascii="宋体" w:hAnsi="宋体"/>
          <w:sz w:val="24"/>
        </w:rPr>
        <w:t>信用代码：</w:t>
      </w:r>
      <w:r>
        <w:rPr>
          <w:rFonts w:ascii="宋体" w:hAnsi="宋体"/>
          <w:sz w:val="24"/>
        </w:rPr>
        <w:t>12450300498668197M</w:t>
      </w:r>
    </w:p>
    <w:p w14:paraId="674FC8E5">
      <w:pPr>
        <w:adjustRightInd w:val="0"/>
        <w:snapToGrid w:val="0"/>
        <w:spacing w:before="156" w:beforeLines="50" w:after="156" w:afterLines="50" w:line="380" w:lineRule="exact"/>
        <w:rPr>
          <w:rFonts w:ascii="宋体"/>
          <w:sz w:val="24"/>
        </w:rPr>
      </w:pPr>
      <w:r>
        <w:rPr>
          <w:rFonts w:hint="eastAsia" w:ascii="宋体" w:hAnsi="宋体"/>
          <w:sz w:val="24"/>
        </w:rPr>
        <w:t>地址</w:t>
      </w:r>
      <w:r>
        <w:rPr>
          <w:rFonts w:ascii="宋体" w:hAnsi="宋体"/>
          <w:sz w:val="24"/>
        </w:rPr>
        <w:t xml:space="preserve"> </w:t>
      </w:r>
      <w:r>
        <w:rPr>
          <w:rFonts w:hint="eastAsia" w:ascii="宋体" w:hAnsi="宋体"/>
          <w:sz w:val="24"/>
        </w:rPr>
        <w:t>：广西桂林市文明路</w:t>
      </w:r>
      <w:r>
        <w:rPr>
          <w:rFonts w:ascii="宋体" w:hAnsi="宋体"/>
          <w:sz w:val="24"/>
        </w:rPr>
        <w:t>12</w:t>
      </w:r>
      <w:r>
        <w:rPr>
          <w:rFonts w:hint="eastAsia" w:ascii="宋体" w:hAnsi="宋体"/>
          <w:sz w:val="24"/>
        </w:rPr>
        <w:t>号</w:t>
      </w:r>
    </w:p>
    <w:p w14:paraId="7ADAF9EA">
      <w:pPr>
        <w:adjustRightInd w:val="0"/>
        <w:snapToGrid w:val="0"/>
        <w:spacing w:before="156" w:beforeLines="50" w:after="156" w:afterLines="50" w:line="380" w:lineRule="exact"/>
        <w:rPr>
          <w:rFonts w:ascii="宋体"/>
          <w:sz w:val="24"/>
        </w:rPr>
      </w:pPr>
      <w:r>
        <w:rPr>
          <w:rFonts w:hint="eastAsia" w:ascii="宋体" w:hAnsi="宋体"/>
          <w:sz w:val="24"/>
        </w:rPr>
        <w:t>开户行：桂林银行文明路支行</w:t>
      </w:r>
    </w:p>
    <w:p w14:paraId="3DB28875">
      <w:pPr>
        <w:adjustRightInd w:val="0"/>
        <w:snapToGrid w:val="0"/>
        <w:spacing w:before="156" w:beforeLines="50" w:after="156" w:afterLines="50" w:line="380" w:lineRule="exact"/>
        <w:rPr>
          <w:rFonts w:hint="eastAsia" w:ascii="宋体" w:hAnsi="宋体"/>
          <w:sz w:val="24"/>
        </w:rPr>
      </w:pPr>
      <w:r>
        <w:rPr>
          <w:rFonts w:hint="eastAsia" w:ascii="宋体" w:hAnsi="宋体"/>
          <w:sz w:val="24"/>
        </w:rPr>
        <w:t>帐号：</w:t>
      </w:r>
      <w:r>
        <w:rPr>
          <w:rFonts w:ascii="宋体" w:hAnsi="宋体"/>
          <w:sz w:val="24"/>
        </w:rPr>
        <w:t>660012017474300020</w:t>
      </w:r>
    </w:p>
    <w:p w14:paraId="0529D37D">
      <w:pPr>
        <w:adjustRightInd w:val="0"/>
        <w:snapToGrid w:val="0"/>
        <w:spacing w:before="156" w:beforeLines="50" w:after="156" w:afterLines="50" w:line="380" w:lineRule="exact"/>
        <w:rPr>
          <w:rFonts w:ascii="宋体"/>
          <w:b/>
          <w:sz w:val="24"/>
        </w:rPr>
      </w:pPr>
      <w:r>
        <w:rPr>
          <w:rFonts w:hint="eastAsia" w:ascii="宋体" w:hAnsi="宋体"/>
          <w:b/>
          <w:sz w:val="24"/>
        </w:rPr>
        <w:t>第八条　售后服务</w:t>
      </w:r>
    </w:p>
    <w:p w14:paraId="30A313DD">
      <w:pPr>
        <w:adjustRightInd w:val="0"/>
        <w:snapToGrid w:val="0"/>
        <w:spacing w:before="156" w:beforeLines="50" w:after="156" w:afterLines="50" w:line="380" w:lineRule="exact"/>
        <w:rPr>
          <w:rFonts w:ascii="宋体"/>
          <w:sz w:val="24"/>
        </w:rPr>
      </w:pPr>
      <w:r>
        <w:rPr>
          <w:rFonts w:ascii="宋体" w:hAnsi="宋体"/>
          <w:sz w:val="24"/>
        </w:rPr>
        <w:t>1</w:t>
      </w:r>
      <w:r>
        <w:rPr>
          <w:rFonts w:hint="eastAsia" w:ascii="宋体" w:hAnsi="宋体"/>
          <w:sz w:val="24"/>
        </w:rPr>
        <w:t>、乙方承诺对甲方提供</w:t>
      </w:r>
      <w:r>
        <w:rPr>
          <w:rFonts w:ascii="宋体" w:hAnsi="宋体"/>
          <w:sz w:val="24"/>
        </w:rPr>
        <w:t>/</w:t>
      </w:r>
      <w:r>
        <w:rPr>
          <w:rFonts w:hint="eastAsia" w:ascii="宋体" w:hAnsi="宋体"/>
          <w:sz w:val="24"/>
        </w:rPr>
        <w:t>电话技术支持及远程维护服务</w:t>
      </w:r>
      <w:r>
        <w:rPr>
          <w:rFonts w:ascii="宋体" w:hAnsi="宋体"/>
          <w:sz w:val="24"/>
        </w:rPr>
        <w:t>/</w:t>
      </w:r>
      <w:r>
        <w:rPr>
          <w:rFonts w:ascii="宋体" w:hAnsi="宋体"/>
          <w:sz w:val="24"/>
          <w:u w:val="single"/>
        </w:rPr>
        <w:t xml:space="preserve">    </w:t>
      </w:r>
      <w:r>
        <w:rPr>
          <w:rFonts w:hint="eastAsia" w:ascii="宋体" w:hAnsi="宋体"/>
          <w:sz w:val="24"/>
        </w:rPr>
        <w:t>人员驻场技术支持服务。</w:t>
      </w:r>
    </w:p>
    <w:p w14:paraId="7B3DDAA0">
      <w:pPr>
        <w:adjustRightInd w:val="0"/>
        <w:snapToGrid w:val="0"/>
        <w:spacing w:before="156" w:beforeLines="50" w:after="156" w:afterLines="50" w:line="380" w:lineRule="exact"/>
        <w:rPr>
          <w:rFonts w:ascii="宋体"/>
          <w:sz w:val="24"/>
        </w:rPr>
      </w:pPr>
      <w:r>
        <w:rPr>
          <w:rFonts w:ascii="宋体" w:hAnsi="宋体"/>
          <w:sz w:val="24"/>
        </w:rPr>
        <w:t>2</w:t>
      </w:r>
      <w:r>
        <w:rPr>
          <w:rFonts w:hint="eastAsia" w:ascii="宋体" w:hAnsi="宋体"/>
          <w:sz w:val="24"/>
        </w:rPr>
        <w:t>、如乙方提供电话技术支持及远程维护服务的，每年应提供</w:t>
      </w:r>
      <w:r>
        <w:rPr>
          <w:rFonts w:ascii="宋体" w:hAnsi="宋体"/>
          <w:sz w:val="24"/>
          <w:u w:val="single"/>
        </w:rPr>
        <w:t xml:space="preserve">    </w:t>
      </w:r>
      <w:r>
        <w:rPr>
          <w:rFonts w:hint="eastAsia" w:ascii="宋体" w:hAnsi="宋体"/>
          <w:sz w:val="24"/>
        </w:rPr>
        <w:t>次现场巡检服务，并出具巡检报告。当出现短时间不能解决的系统重大事故时，乙方相应技术支持人员应当在</w:t>
      </w:r>
      <w:r>
        <w:rPr>
          <w:rFonts w:ascii="宋体" w:hAnsi="宋体"/>
          <w:sz w:val="24"/>
        </w:rPr>
        <w:t>24</w:t>
      </w:r>
      <w:r>
        <w:rPr>
          <w:rFonts w:hint="eastAsia" w:ascii="宋体" w:hAnsi="宋体"/>
          <w:sz w:val="24"/>
        </w:rPr>
        <w:t>小时内进行现场处理。</w:t>
      </w:r>
    </w:p>
    <w:p w14:paraId="0EF9280F">
      <w:pPr>
        <w:adjustRightInd w:val="0"/>
        <w:snapToGrid w:val="0"/>
        <w:spacing w:before="156" w:beforeLines="50" w:after="156" w:afterLines="50" w:line="380" w:lineRule="exact"/>
        <w:rPr>
          <w:rFonts w:ascii="宋体"/>
          <w:sz w:val="24"/>
        </w:rPr>
      </w:pPr>
      <w:r>
        <w:rPr>
          <w:rFonts w:ascii="宋体" w:hAnsi="宋体"/>
          <w:sz w:val="24"/>
        </w:rPr>
        <w:t>3</w:t>
      </w:r>
      <w:r>
        <w:rPr>
          <w:rFonts w:hint="eastAsia" w:ascii="宋体" w:hAnsi="宋体"/>
          <w:sz w:val="24"/>
        </w:rPr>
        <w:t>、乙方承诺在项目维护期间，故障问题响应时间不超过</w:t>
      </w:r>
      <w:r>
        <w:rPr>
          <w:rFonts w:ascii="宋体" w:hAnsi="宋体"/>
          <w:sz w:val="24"/>
          <w:u w:val="single"/>
        </w:rPr>
        <w:t xml:space="preserve">    </w:t>
      </w:r>
      <w:r>
        <w:rPr>
          <w:rFonts w:hint="eastAsia" w:ascii="宋体" w:hAnsi="宋体"/>
          <w:sz w:val="24"/>
        </w:rPr>
        <w:t>分钟</w:t>
      </w:r>
      <w:r>
        <w:rPr>
          <w:rFonts w:ascii="宋体" w:hAnsi="宋体"/>
          <w:sz w:val="24"/>
        </w:rPr>
        <w:t>/</w:t>
      </w:r>
      <w:r>
        <w:rPr>
          <w:rFonts w:hint="eastAsia" w:ascii="宋体" w:hAnsi="宋体"/>
          <w:sz w:val="24"/>
        </w:rPr>
        <w:t>小时，一般软件问题处理时长不超过</w:t>
      </w:r>
      <w:r>
        <w:rPr>
          <w:rFonts w:ascii="宋体" w:hAnsi="宋体"/>
          <w:sz w:val="24"/>
          <w:u w:val="single"/>
        </w:rPr>
        <w:t xml:space="preserve">    </w:t>
      </w:r>
      <w:r>
        <w:rPr>
          <w:rFonts w:hint="eastAsia" w:ascii="宋体" w:hAnsi="宋体"/>
          <w:sz w:val="24"/>
        </w:rPr>
        <w:t>小时</w:t>
      </w:r>
      <w:r>
        <w:rPr>
          <w:rFonts w:ascii="宋体" w:hAnsi="宋体"/>
          <w:sz w:val="24"/>
        </w:rPr>
        <w:t>/</w:t>
      </w:r>
      <w:r>
        <w:rPr>
          <w:rFonts w:hint="eastAsia" w:ascii="宋体" w:hAnsi="宋体"/>
          <w:sz w:val="24"/>
        </w:rPr>
        <w:t>工作日，重大故障问题处理时长不超过</w:t>
      </w:r>
      <w:r>
        <w:rPr>
          <w:rFonts w:ascii="宋体" w:hAnsi="宋体"/>
          <w:sz w:val="24"/>
          <w:u w:val="single"/>
        </w:rPr>
        <w:t xml:space="preserve">    </w:t>
      </w:r>
      <w:r>
        <w:rPr>
          <w:rFonts w:hint="eastAsia" w:ascii="宋体" w:hAnsi="宋体"/>
          <w:sz w:val="24"/>
        </w:rPr>
        <w:t>小时。</w:t>
      </w:r>
    </w:p>
    <w:p w14:paraId="07828BB6">
      <w:pPr>
        <w:adjustRightInd w:val="0"/>
        <w:snapToGrid w:val="0"/>
        <w:spacing w:before="156" w:beforeLines="50" w:after="156" w:afterLines="50" w:line="380" w:lineRule="exact"/>
        <w:rPr>
          <w:rFonts w:ascii="宋体"/>
          <w:sz w:val="24"/>
        </w:rPr>
      </w:pPr>
      <w:r>
        <w:rPr>
          <w:rFonts w:ascii="宋体" w:hAnsi="宋体"/>
          <w:sz w:val="24"/>
        </w:rPr>
        <w:t>4</w:t>
      </w:r>
      <w:r>
        <w:rPr>
          <w:rFonts w:hint="eastAsia" w:ascii="宋体" w:hAnsi="宋体"/>
          <w:sz w:val="24"/>
        </w:rPr>
        <w:t>、对于甲方在使用乙方相关软件产品过程中产生的个性化需求及由此产生的定制化开发要求，甲方应向乙方售后服务机构提出，乙方应及时给以评估和答复，必要时另行立项开发并签署相关协议。</w:t>
      </w:r>
    </w:p>
    <w:p w14:paraId="36368ACD">
      <w:pPr>
        <w:adjustRightInd w:val="0"/>
        <w:snapToGrid w:val="0"/>
        <w:spacing w:before="156" w:beforeLines="50" w:after="156" w:afterLines="50" w:line="380" w:lineRule="exact"/>
        <w:rPr>
          <w:rFonts w:ascii="宋体"/>
          <w:sz w:val="24"/>
        </w:rPr>
      </w:pPr>
      <w:r>
        <w:rPr>
          <w:rFonts w:ascii="宋体" w:hAnsi="宋体"/>
          <w:sz w:val="24"/>
        </w:rPr>
        <w:t>5</w:t>
      </w:r>
      <w:r>
        <w:rPr>
          <w:rFonts w:hint="eastAsia" w:ascii="宋体" w:hAnsi="宋体"/>
          <w:sz w:val="24"/>
        </w:rPr>
        <w:t>、从合同涉及的软件产品投入使用之日起，因甲方自身原因造成系统不能正常运行，要求乙方提供服务，乙方所产生的费用由甲方承担。</w:t>
      </w:r>
    </w:p>
    <w:p w14:paraId="6577B176">
      <w:pPr>
        <w:adjustRightInd w:val="0"/>
        <w:snapToGrid w:val="0"/>
        <w:spacing w:before="156" w:beforeLines="50" w:after="156" w:afterLines="50" w:line="380" w:lineRule="exact"/>
        <w:rPr>
          <w:rFonts w:ascii="宋体"/>
          <w:sz w:val="24"/>
        </w:rPr>
      </w:pPr>
      <w:r>
        <w:rPr>
          <w:rFonts w:ascii="宋体" w:hAnsi="宋体"/>
          <w:sz w:val="24"/>
        </w:rPr>
        <w:t>6</w:t>
      </w:r>
      <w:r>
        <w:rPr>
          <w:rFonts w:hint="eastAsia" w:ascii="宋体" w:hAnsi="宋体"/>
          <w:sz w:val="24"/>
        </w:rPr>
        <w:t>、非乙方产品和服务本身引发的产品问题不在本合同的售后服务范围之内，包括但不限于：</w:t>
      </w:r>
      <w:r>
        <w:rPr>
          <w:rFonts w:ascii="宋体" w:hAnsi="宋体"/>
          <w:sz w:val="24"/>
        </w:rPr>
        <w:t>(i)</w:t>
      </w:r>
      <w:r>
        <w:rPr>
          <w:rFonts w:hint="eastAsia" w:ascii="宋体" w:hAnsi="宋体"/>
          <w:sz w:val="24"/>
        </w:rPr>
        <w:t>甲方未按使用规范使用乙方产品（包括操作失误、恶意删改数据等）；</w:t>
      </w:r>
      <w:r>
        <w:rPr>
          <w:rFonts w:ascii="宋体" w:hAnsi="宋体"/>
          <w:sz w:val="24"/>
        </w:rPr>
        <w:t>(ii)</w:t>
      </w:r>
      <w:r>
        <w:rPr>
          <w:rFonts w:hint="eastAsia" w:ascii="宋体" w:hAnsi="宋体"/>
          <w:sz w:val="24"/>
        </w:rPr>
        <w:t>未经乙方同意，甲方或者第三方对乙方产品进行了任何方式的修改，或者与第三方软件产品合并使用；（</w:t>
      </w:r>
      <w:r>
        <w:rPr>
          <w:rFonts w:ascii="宋体" w:hAnsi="宋体"/>
          <w:sz w:val="24"/>
        </w:rPr>
        <w:t>iii</w:t>
      </w:r>
      <w:r>
        <w:rPr>
          <w:rFonts w:hint="eastAsia" w:ascii="宋体" w:hAnsi="宋体"/>
          <w:sz w:val="24"/>
        </w:rPr>
        <w:t>）由于甲方原因（包括操作失误）或第三方产品的瑕疵或故障、甲方使用的硬件或网络出错或遭遇计算机病毒侵犯而导致系统瘫痪等。</w:t>
      </w:r>
    </w:p>
    <w:p w14:paraId="3BDFF7A6">
      <w:pPr>
        <w:adjustRightInd w:val="0"/>
        <w:snapToGrid w:val="0"/>
        <w:spacing w:before="156" w:beforeLines="50" w:after="156" w:afterLines="50" w:line="380" w:lineRule="exact"/>
        <w:rPr>
          <w:rFonts w:ascii="宋体"/>
          <w:b/>
          <w:sz w:val="24"/>
        </w:rPr>
      </w:pPr>
      <w:r>
        <w:rPr>
          <w:rFonts w:hint="eastAsia" w:ascii="宋体" w:hAnsi="宋体"/>
          <w:b/>
          <w:sz w:val="24"/>
        </w:rPr>
        <w:t>第九条　知识产权</w:t>
      </w:r>
    </w:p>
    <w:p w14:paraId="1A2C77D8">
      <w:pPr>
        <w:adjustRightInd w:val="0"/>
        <w:snapToGrid w:val="0"/>
        <w:spacing w:before="156" w:beforeLines="50" w:after="156" w:afterLines="50" w:line="380" w:lineRule="exact"/>
        <w:rPr>
          <w:rFonts w:ascii="宋体"/>
          <w:sz w:val="24"/>
        </w:rPr>
      </w:pPr>
      <w:r>
        <w:rPr>
          <w:rFonts w:ascii="宋体" w:hAnsi="宋体"/>
          <w:sz w:val="24"/>
        </w:rPr>
        <w:t>1</w:t>
      </w:r>
      <w:r>
        <w:rPr>
          <w:rFonts w:hint="eastAsia" w:ascii="宋体" w:hAnsi="宋体"/>
          <w:sz w:val="24"/>
        </w:rPr>
        <w:t>、乙方承诺拥有本合同第一条所述的软件产品的完整的知识产权或合法的转售权。对于由乙方提供的计算机软件和程序，甲方被授予不可转让的、非独家的使用权。</w:t>
      </w:r>
    </w:p>
    <w:p w14:paraId="36FE5975">
      <w:pPr>
        <w:adjustRightInd w:val="0"/>
        <w:snapToGrid w:val="0"/>
        <w:spacing w:before="156" w:beforeLines="50" w:after="156" w:afterLines="50" w:line="380" w:lineRule="exact"/>
        <w:rPr>
          <w:rFonts w:ascii="宋体"/>
          <w:sz w:val="24"/>
        </w:rPr>
      </w:pPr>
      <w:r>
        <w:rPr>
          <w:rFonts w:ascii="宋体" w:hAnsi="宋体"/>
          <w:sz w:val="24"/>
        </w:rPr>
        <w:t>2</w:t>
      </w:r>
      <w:r>
        <w:rPr>
          <w:rFonts w:hint="eastAsia" w:ascii="宋体" w:hAnsi="宋体"/>
          <w:sz w:val="24"/>
        </w:rPr>
        <w:t>、对乙方提供的技术资料，甲方应负责保密并保证以本合同约定的方式使用，甲方的此项责任并不因本合同的终止及无效而解除。</w:t>
      </w:r>
    </w:p>
    <w:p w14:paraId="56BABBFD">
      <w:pPr>
        <w:adjustRightInd w:val="0"/>
        <w:snapToGrid w:val="0"/>
        <w:spacing w:before="156" w:beforeLines="50" w:after="156" w:afterLines="50" w:line="380" w:lineRule="exact"/>
        <w:rPr>
          <w:rFonts w:ascii="宋体"/>
          <w:sz w:val="24"/>
        </w:rPr>
      </w:pPr>
      <w:r>
        <w:rPr>
          <w:rFonts w:ascii="宋体" w:hAnsi="宋体"/>
          <w:sz w:val="24"/>
        </w:rPr>
        <w:t>3</w:t>
      </w:r>
      <w:r>
        <w:rPr>
          <w:rFonts w:hint="eastAsia" w:ascii="宋体" w:hAnsi="宋体"/>
          <w:sz w:val="24"/>
        </w:rPr>
        <w:t>、乙方对合同涉及的软件产品及相关文档拥有独立版权。甲方不得许可第三方使用或作他用，并不得向第三方公开及转让。</w:t>
      </w:r>
    </w:p>
    <w:p w14:paraId="54CAB49F">
      <w:pPr>
        <w:adjustRightInd w:val="0"/>
        <w:snapToGrid w:val="0"/>
        <w:spacing w:before="156" w:beforeLines="50" w:after="156" w:afterLines="50" w:line="380" w:lineRule="exact"/>
        <w:rPr>
          <w:rFonts w:ascii="宋体"/>
          <w:sz w:val="24"/>
        </w:rPr>
      </w:pPr>
      <w:r>
        <w:rPr>
          <w:rFonts w:ascii="宋体" w:hAnsi="宋体"/>
          <w:sz w:val="24"/>
        </w:rPr>
        <w:t>4</w:t>
      </w:r>
      <w:r>
        <w:rPr>
          <w:rFonts w:hint="eastAsia" w:ascii="宋体" w:hAnsi="宋体"/>
          <w:sz w:val="24"/>
        </w:rPr>
        <w:t>、甲方不得自行复制、仿制相关软件产品，并不得使用于本合同未涉及的其它地点。</w:t>
      </w:r>
    </w:p>
    <w:p w14:paraId="7F801E2F">
      <w:pPr>
        <w:adjustRightInd w:val="0"/>
        <w:snapToGrid w:val="0"/>
        <w:spacing w:before="156" w:beforeLines="50" w:after="156" w:afterLines="50" w:line="380" w:lineRule="exact"/>
        <w:rPr>
          <w:rFonts w:ascii="宋体"/>
          <w:sz w:val="24"/>
        </w:rPr>
      </w:pPr>
      <w:r>
        <w:rPr>
          <w:rFonts w:ascii="宋体" w:hAnsi="宋体"/>
          <w:sz w:val="24"/>
        </w:rPr>
        <w:t>5</w:t>
      </w:r>
      <w:r>
        <w:rPr>
          <w:rFonts w:hint="eastAsia" w:ascii="宋体" w:hAnsi="宋体"/>
          <w:sz w:val="24"/>
        </w:rPr>
        <w:t>、甲方不得对软件自行修改，对修改后软件的使用效果乙方不作质量保证，并且甲方亦不得向任何第三方提供修改后的版本。</w:t>
      </w:r>
    </w:p>
    <w:p w14:paraId="7112FCE3">
      <w:pPr>
        <w:adjustRightInd w:val="0"/>
        <w:snapToGrid w:val="0"/>
        <w:spacing w:before="156" w:beforeLines="50" w:after="156" w:afterLines="50" w:line="380" w:lineRule="exact"/>
        <w:rPr>
          <w:rFonts w:ascii="宋体"/>
          <w:b/>
          <w:sz w:val="24"/>
        </w:rPr>
      </w:pPr>
      <w:r>
        <w:rPr>
          <w:rFonts w:hint="eastAsia" w:ascii="宋体" w:hAnsi="宋体"/>
          <w:b/>
          <w:sz w:val="24"/>
        </w:rPr>
        <w:t>第十条　违约责任</w:t>
      </w:r>
    </w:p>
    <w:p w14:paraId="007C8E93">
      <w:pPr>
        <w:adjustRightInd w:val="0"/>
        <w:snapToGrid w:val="0"/>
        <w:spacing w:before="156" w:beforeLines="50" w:after="156" w:afterLines="50" w:line="380" w:lineRule="exact"/>
        <w:rPr>
          <w:rFonts w:ascii="宋体"/>
          <w:sz w:val="24"/>
        </w:rPr>
      </w:pPr>
      <w:r>
        <w:rPr>
          <w:rFonts w:ascii="宋体" w:hAnsi="宋体"/>
          <w:sz w:val="24"/>
        </w:rPr>
        <w:t>1</w:t>
      </w:r>
      <w:r>
        <w:rPr>
          <w:rFonts w:hint="eastAsia" w:ascii="宋体" w:hAnsi="宋体"/>
          <w:sz w:val="24"/>
        </w:rPr>
        <w:t>、甲方逾期付款，每逾期一日应支付乙方逾期总额</w:t>
      </w:r>
      <w:r>
        <w:rPr>
          <w:rFonts w:ascii="宋体" w:hAnsi="宋体"/>
          <w:sz w:val="24"/>
        </w:rPr>
        <w:t>2</w:t>
      </w:r>
      <w:r>
        <w:rPr>
          <w:rFonts w:hint="eastAsia" w:ascii="宋体" w:hAnsi="宋体"/>
          <w:sz w:val="24"/>
        </w:rPr>
        <w:t>‰（千分之二）的违约金，违约金总额不超过合同总额的30</w:t>
      </w:r>
      <w:r>
        <w:rPr>
          <w:rFonts w:ascii="宋体" w:hAnsi="宋体"/>
          <w:sz w:val="24"/>
        </w:rPr>
        <w:t>%</w:t>
      </w:r>
      <w:r>
        <w:rPr>
          <w:rFonts w:hint="eastAsia" w:ascii="宋体" w:hAnsi="宋体"/>
          <w:sz w:val="24"/>
        </w:rPr>
        <w:t>（百分之三十）。</w:t>
      </w:r>
    </w:p>
    <w:p w14:paraId="4576457D">
      <w:pPr>
        <w:adjustRightInd w:val="0"/>
        <w:snapToGrid w:val="0"/>
        <w:spacing w:before="156" w:beforeLines="50" w:after="156" w:afterLines="50" w:line="380" w:lineRule="exact"/>
        <w:rPr>
          <w:rFonts w:ascii="宋体"/>
          <w:sz w:val="24"/>
        </w:rPr>
      </w:pPr>
      <w:r>
        <w:rPr>
          <w:rFonts w:ascii="宋体" w:hAnsi="宋体"/>
          <w:sz w:val="24"/>
        </w:rPr>
        <w:t>2</w:t>
      </w:r>
      <w:r>
        <w:rPr>
          <w:rFonts w:hint="eastAsia" w:ascii="宋体" w:hAnsi="宋体"/>
          <w:sz w:val="24"/>
        </w:rPr>
        <w:t>、乙方逾期交付产品，每逾期一日应支付甲方合同总额</w:t>
      </w:r>
      <w:r>
        <w:rPr>
          <w:rFonts w:ascii="宋体" w:hAnsi="宋体"/>
          <w:sz w:val="24"/>
        </w:rPr>
        <w:t>2</w:t>
      </w:r>
      <w:r>
        <w:rPr>
          <w:rFonts w:hint="eastAsia" w:ascii="宋体" w:hAnsi="宋体"/>
          <w:sz w:val="24"/>
        </w:rPr>
        <w:t>‰（千分之二）的违约金，违约金总额不超过合同总额的30</w:t>
      </w:r>
      <w:r>
        <w:rPr>
          <w:rFonts w:ascii="宋体" w:hAnsi="宋体"/>
          <w:sz w:val="24"/>
        </w:rPr>
        <w:t>%</w:t>
      </w:r>
      <w:r>
        <w:rPr>
          <w:rFonts w:hint="eastAsia" w:ascii="宋体" w:hAnsi="宋体"/>
          <w:sz w:val="24"/>
        </w:rPr>
        <w:t>（百分之三十）。逾期</w:t>
      </w:r>
      <w:r>
        <w:rPr>
          <w:rFonts w:ascii="宋体" w:hAnsi="宋体"/>
          <w:sz w:val="24"/>
        </w:rPr>
        <w:t>20</w:t>
      </w:r>
      <w:r>
        <w:rPr>
          <w:rFonts w:hint="eastAsia" w:ascii="宋体" w:hAnsi="宋体"/>
          <w:sz w:val="24"/>
        </w:rPr>
        <w:t>天乙方仍未交货，甲方有权单方面取消合同。</w:t>
      </w:r>
    </w:p>
    <w:p w14:paraId="6554AD11">
      <w:pPr>
        <w:adjustRightInd w:val="0"/>
        <w:snapToGrid w:val="0"/>
        <w:spacing w:before="156" w:beforeLines="50" w:after="156" w:afterLines="50" w:line="380" w:lineRule="exact"/>
        <w:rPr>
          <w:rFonts w:ascii="宋体"/>
          <w:sz w:val="24"/>
        </w:rPr>
      </w:pPr>
      <w:r>
        <w:rPr>
          <w:rFonts w:ascii="宋体" w:hAnsi="宋体"/>
          <w:sz w:val="24"/>
        </w:rPr>
        <w:t>3</w:t>
      </w:r>
      <w:r>
        <w:rPr>
          <w:rFonts w:hint="eastAsia" w:ascii="宋体" w:hAnsi="宋体"/>
          <w:sz w:val="24"/>
        </w:rPr>
        <w:t>、本合同软件产品实现的功能及性能以附件所载功能为准。对甲方不按技术规范操作、甲方软硬件问题、第三方软件问题等非本合同软件产品的原因而造成的甲方损失，乙方不承担任何违约责任和赔偿责任。　</w:t>
      </w:r>
    </w:p>
    <w:p w14:paraId="7C80569D">
      <w:pPr>
        <w:rPr>
          <w:rFonts w:ascii="宋体"/>
          <w:sz w:val="24"/>
        </w:rPr>
      </w:pPr>
      <w:r>
        <w:rPr>
          <w:rFonts w:ascii="宋体" w:hAnsi="宋体"/>
          <w:sz w:val="24"/>
        </w:rPr>
        <w:t>4</w:t>
      </w:r>
      <w:r>
        <w:rPr>
          <w:rFonts w:hint="eastAsia" w:ascii="宋体" w:hAnsi="宋体"/>
          <w:sz w:val="24"/>
        </w:rPr>
        <w:t>、因乙方产品质量问题造成的甲方损失，由乙方承担违约责任，每次应支付甲方合同应付金额的</w:t>
      </w:r>
      <w:r>
        <w:rPr>
          <w:rFonts w:ascii="宋体" w:hAnsi="宋体"/>
          <w:sz w:val="24"/>
        </w:rPr>
        <w:t>2%</w:t>
      </w:r>
      <w:r>
        <w:rPr>
          <w:rFonts w:hint="eastAsia" w:ascii="宋体" w:hAnsi="宋体"/>
          <w:sz w:val="24"/>
        </w:rPr>
        <w:t>（百分之二）的违约金，违约金总额不超过合同总额的</w:t>
      </w:r>
      <w:r>
        <w:rPr>
          <w:rFonts w:ascii="宋体" w:hAnsi="宋体"/>
          <w:sz w:val="24"/>
        </w:rPr>
        <w:t>10%</w:t>
      </w:r>
      <w:r>
        <w:rPr>
          <w:rFonts w:hint="eastAsia" w:ascii="宋体" w:hAnsi="宋体"/>
          <w:sz w:val="24"/>
        </w:rPr>
        <w:t>（百分之十）。如对甲方造成损失，乙方负责赔偿。</w:t>
      </w:r>
    </w:p>
    <w:p w14:paraId="6287C563">
      <w:pPr>
        <w:adjustRightInd w:val="0"/>
        <w:snapToGrid w:val="0"/>
        <w:spacing w:before="156" w:beforeLines="50" w:after="156" w:afterLines="50" w:line="380" w:lineRule="exact"/>
        <w:rPr>
          <w:rFonts w:hint="eastAsia" w:ascii="宋体" w:hAnsi="宋体"/>
          <w:sz w:val="24"/>
        </w:rPr>
      </w:pPr>
      <w:r>
        <w:rPr>
          <w:rFonts w:ascii="宋体" w:hAnsi="宋体"/>
          <w:sz w:val="24"/>
        </w:rPr>
        <w:t>5</w:t>
      </w:r>
      <w:r>
        <w:rPr>
          <w:rFonts w:hint="eastAsia" w:ascii="宋体" w:hAnsi="宋体"/>
          <w:sz w:val="24"/>
        </w:rPr>
        <w:t>、甲方违反本协议关于版权保护的条款，对乙方提供的软件产品进行的任何的侵害性的行为给乙方造成损失的，乙方有权就损失部分要求甲方赔偿。</w:t>
      </w:r>
    </w:p>
    <w:p w14:paraId="0DAC46A7">
      <w:pPr>
        <w:adjustRightInd w:val="0"/>
        <w:snapToGrid w:val="0"/>
        <w:spacing w:before="156" w:beforeLines="50" w:after="156" w:afterLines="50" w:line="380" w:lineRule="exact"/>
        <w:rPr>
          <w:rFonts w:hint="eastAsia" w:ascii="宋体" w:hAnsi="宋体"/>
          <w:sz w:val="24"/>
        </w:rPr>
      </w:pPr>
      <w:r>
        <w:rPr>
          <w:rFonts w:hint="eastAsia" w:ascii="宋体" w:hAnsi="宋体"/>
          <w:sz w:val="24"/>
        </w:rPr>
        <w:t>6、乙方没有按约定派驻人员，每人次支付合同总额</w:t>
      </w:r>
      <w:r>
        <w:rPr>
          <w:rFonts w:ascii="宋体" w:hAnsi="宋体"/>
          <w:sz w:val="24"/>
        </w:rPr>
        <w:t>2</w:t>
      </w:r>
      <w:r>
        <w:rPr>
          <w:rFonts w:hint="eastAsia" w:ascii="宋体" w:hAnsi="宋体"/>
          <w:sz w:val="24"/>
        </w:rPr>
        <w:t>-10‰（千分之二到千分之十）的违约金。</w:t>
      </w:r>
    </w:p>
    <w:p w14:paraId="251F266C">
      <w:pPr>
        <w:adjustRightInd w:val="0"/>
        <w:snapToGrid w:val="0"/>
        <w:spacing w:before="156" w:beforeLines="50" w:after="156" w:afterLines="50" w:line="380" w:lineRule="exact"/>
        <w:rPr>
          <w:rFonts w:hint="eastAsia" w:ascii="宋体" w:hAnsi="宋体"/>
          <w:sz w:val="24"/>
        </w:rPr>
      </w:pPr>
      <w:r>
        <w:rPr>
          <w:rFonts w:hint="eastAsia" w:ascii="宋体" w:hAnsi="宋体"/>
          <w:sz w:val="24"/>
        </w:rPr>
        <w:t>7、乙方不按售后服务条款执行，每次扣除质保金的30-50%。</w:t>
      </w:r>
    </w:p>
    <w:p w14:paraId="12CDAEE6">
      <w:pPr>
        <w:adjustRightInd w:val="0"/>
        <w:snapToGrid w:val="0"/>
        <w:spacing w:before="156" w:beforeLines="50" w:after="156" w:afterLines="50" w:line="380" w:lineRule="exact"/>
        <w:rPr>
          <w:rFonts w:hint="eastAsia" w:ascii="宋体" w:hAnsi="宋体" w:eastAsia="宋体"/>
          <w:color w:val="FF0000"/>
          <w:sz w:val="24"/>
          <w:lang w:val="en-US" w:eastAsia="zh-CN"/>
        </w:rPr>
      </w:pPr>
      <w:r>
        <w:rPr>
          <w:rFonts w:hint="eastAsia" w:ascii="宋体" w:hAnsi="宋体"/>
          <w:color w:val="auto"/>
          <w:sz w:val="24"/>
          <w:lang w:val="en-US" w:eastAsia="zh-CN"/>
        </w:rPr>
        <w:t>8、</w:t>
      </w:r>
      <w:r>
        <w:rPr>
          <w:rFonts w:hint="eastAsia" w:ascii="宋体" w:hAnsi="宋体"/>
          <w:sz w:val="24"/>
          <w:szCs w:val="24"/>
          <w:lang w:val="en-US" w:eastAsia="zh-CN"/>
        </w:rPr>
        <w:t>乙方应该开具真实、有效的税务发票，一旦查出乙方提供的发票作假，自动解除协议并且甲方有权利不支付该笔发票款项。</w:t>
      </w:r>
    </w:p>
    <w:p w14:paraId="3711C817">
      <w:pPr>
        <w:adjustRightInd w:val="0"/>
        <w:snapToGrid w:val="0"/>
        <w:spacing w:before="156" w:beforeLines="50" w:after="156" w:afterLines="50" w:line="380" w:lineRule="exact"/>
        <w:rPr>
          <w:rFonts w:ascii="宋体"/>
          <w:b/>
          <w:sz w:val="24"/>
        </w:rPr>
      </w:pPr>
      <w:r>
        <w:rPr>
          <w:rFonts w:hint="eastAsia" w:ascii="宋体" w:hAnsi="宋体"/>
          <w:b/>
          <w:sz w:val="24"/>
        </w:rPr>
        <w:t>第十一条　保密</w:t>
      </w:r>
    </w:p>
    <w:p w14:paraId="4035DF71">
      <w:pPr>
        <w:adjustRightInd w:val="0"/>
        <w:snapToGrid w:val="0"/>
        <w:spacing w:before="156" w:beforeLines="50" w:after="156" w:afterLines="50" w:line="380" w:lineRule="exact"/>
        <w:rPr>
          <w:rFonts w:ascii="宋体"/>
          <w:sz w:val="24"/>
        </w:rPr>
      </w:pPr>
      <w:r>
        <w:rPr>
          <w:rFonts w:hint="eastAsia" w:ascii="宋体" w:hAnsi="宋体"/>
          <w:sz w:val="24"/>
        </w:rPr>
        <w:t>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永久。</w:t>
      </w:r>
    </w:p>
    <w:p w14:paraId="6DC9B7A8">
      <w:pPr>
        <w:adjustRightInd w:val="0"/>
        <w:snapToGrid w:val="0"/>
        <w:spacing w:before="156" w:beforeLines="50" w:after="156" w:afterLines="50" w:line="380" w:lineRule="exact"/>
        <w:rPr>
          <w:rFonts w:ascii="宋体"/>
          <w:b/>
          <w:sz w:val="24"/>
        </w:rPr>
      </w:pPr>
      <w:r>
        <w:rPr>
          <w:rFonts w:hint="eastAsia" w:ascii="宋体" w:hAnsi="宋体"/>
          <w:b/>
          <w:sz w:val="24"/>
        </w:rPr>
        <w:t>第十二条　联系</w:t>
      </w:r>
    </w:p>
    <w:p w14:paraId="6E979E6A">
      <w:pPr>
        <w:adjustRightInd w:val="0"/>
        <w:snapToGrid w:val="0"/>
        <w:spacing w:before="156" w:beforeLines="50" w:after="156" w:afterLines="50" w:line="380" w:lineRule="exact"/>
        <w:rPr>
          <w:rFonts w:ascii="宋体"/>
          <w:sz w:val="24"/>
        </w:rPr>
      </w:pPr>
      <w:r>
        <w:rPr>
          <w:rFonts w:ascii="宋体" w:hAnsi="宋体"/>
          <w:sz w:val="24"/>
        </w:rPr>
        <w:t>1</w:t>
      </w:r>
      <w:r>
        <w:rPr>
          <w:rFonts w:hint="eastAsia" w:ascii="宋体" w:hAnsi="宋体"/>
          <w:sz w:val="24"/>
        </w:rPr>
        <w:t>、根据本合同需要一方向另一方发出的全部通知以及双方的文件往来及与本合同有关的通知和要求等，必须用书面形式（含电子邮件），书面方式无法送达的，方可采取公告送达的方式。</w:t>
      </w:r>
    </w:p>
    <w:p w14:paraId="49A54869">
      <w:pPr>
        <w:adjustRightInd w:val="0"/>
        <w:snapToGrid w:val="0"/>
        <w:spacing w:before="156" w:beforeLines="50" w:after="156" w:afterLines="50" w:line="380" w:lineRule="exact"/>
        <w:rPr>
          <w:rFonts w:ascii="宋体"/>
          <w:sz w:val="24"/>
        </w:rPr>
      </w:pPr>
      <w:r>
        <w:rPr>
          <w:rFonts w:ascii="宋体" w:hAnsi="宋体"/>
          <w:sz w:val="24"/>
        </w:rPr>
        <w:t>2</w:t>
      </w:r>
      <w:r>
        <w:rPr>
          <w:rFonts w:hint="eastAsia" w:ascii="宋体" w:hAnsi="宋体"/>
          <w:sz w:val="24"/>
        </w:rPr>
        <w:t>、一方变更本合同所载联系信息地址，应自变更之日起</w:t>
      </w:r>
      <w:r>
        <w:rPr>
          <w:rFonts w:ascii="宋体" w:hAnsi="宋体"/>
          <w:sz w:val="24"/>
          <w:u w:val="single"/>
        </w:rPr>
        <w:t xml:space="preserve">   7   </w:t>
      </w:r>
      <w:r>
        <w:rPr>
          <w:rFonts w:hint="eastAsia" w:ascii="宋体" w:hAnsi="宋体"/>
          <w:sz w:val="24"/>
        </w:rPr>
        <w:t>日内，以书面形式通知对方；否则，由未通知方承担由此而引起的相关责任。</w:t>
      </w:r>
    </w:p>
    <w:p w14:paraId="64D7C061">
      <w:pPr>
        <w:adjustRightInd w:val="0"/>
        <w:snapToGrid w:val="0"/>
        <w:spacing w:before="156" w:beforeLines="50" w:after="156" w:afterLines="50" w:line="380" w:lineRule="exact"/>
        <w:rPr>
          <w:rFonts w:ascii="宋体"/>
          <w:b/>
          <w:sz w:val="24"/>
        </w:rPr>
      </w:pPr>
      <w:r>
        <w:rPr>
          <w:rFonts w:hint="eastAsia" w:ascii="宋体" w:hAnsi="宋体"/>
          <w:b/>
          <w:sz w:val="24"/>
        </w:rPr>
        <w:t>第十三条　争议的处理方式</w:t>
      </w:r>
    </w:p>
    <w:p w14:paraId="43FC3A15">
      <w:pPr>
        <w:adjustRightInd w:val="0"/>
        <w:snapToGrid w:val="0"/>
        <w:spacing w:before="156" w:beforeLines="50" w:after="156" w:afterLines="50" w:line="380" w:lineRule="exact"/>
        <w:rPr>
          <w:rFonts w:ascii="宋体"/>
          <w:sz w:val="24"/>
        </w:rPr>
      </w:pPr>
      <w:r>
        <w:rPr>
          <w:rFonts w:hint="eastAsia" w:ascii="宋体" w:hAnsi="宋体"/>
          <w:kern w:val="0"/>
          <w:sz w:val="24"/>
        </w:rPr>
        <w:t>对于因本合同的解释及执行而产生之争议，应首先由双方通过友好协商或经由中立之第三方调解来解决。如争议未能于前述方式在开始协商后</w:t>
      </w:r>
      <w:r>
        <w:rPr>
          <w:rFonts w:ascii="宋体" w:hAnsi="宋体"/>
          <w:kern w:val="0"/>
          <w:sz w:val="24"/>
        </w:rPr>
        <w:t>30</w:t>
      </w:r>
      <w:r>
        <w:rPr>
          <w:rFonts w:hint="eastAsia" w:ascii="宋体" w:hAnsi="宋体"/>
          <w:kern w:val="0"/>
          <w:sz w:val="24"/>
        </w:rPr>
        <w:t>日内解决，则任何一方可向甲方所在地人民法院提起诉讼。</w:t>
      </w:r>
    </w:p>
    <w:p w14:paraId="3E4D003C">
      <w:pPr>
        <w:adjustRightInd w:val="0"/>
        <w:snapToGrid w:val="0"/>
        <w:spacing w:before="156" w:beforeLines="50" w:after="156" w:afterLines="50" w:line="380" w:lineRule="exact"/>
        <w:rPr>
          <w:rFonts w:ascii="宋体"/>
          <w:b/>
          <w:sz w:val="24"/>
        </w:rPr>
      </w:pPr>
      <w:r>
        <w:rPr>
          <w:rFonts w:hint="eastAsia" w:ascii="宋体" w:hAnsi="宋体"/>
          <w:b/>
          <w:sz w:val="24"/>
        </w:rPr>
        <w:t>第十四条　其他</w:t>
      </w:r>
    </w:p>
    <w:p w14:paraId="2B0ED803">
      <w:pPr>
        <w:adjustRightInd w:val="0"/>
        <w:snapToGrid w:val="0"/>
        <w:spacing w:before="156" w:beforeLines="50" w:after="156" w:afterLines="50" w:line="380" w:lineRule="exact"/>
        <w:rPr>
          <w:rFonts w:ascii="宋体"/>
          <w:sz w:val="24"/>
        </w:rPr>
      </w:pPr>
      <w:r>
        <w:rPr>
          <w:rFonts w:ascii="宋体" w:hAnsi="宋体"/>
          <w:sz w:val="24"/>
        </w:rPr>
        <w:t>1</w:t>
      </w:r>
      <w:r>
        <w:rPr>
          <w:rFonts w:hint="eastAsia" w:ascii="宋体" w:hAnsi="宋体"/>
          <w:sz w:val="24"/>
        </w:rPr>
        <w:t>、本合同未尽事宜，依照有关法律、法规执行，法律、法规未作规定的，甲乙双方可以达成书面补充合同。本合同的附件和补充合同均为本合同不可分割的组成部分，与本合同具有同等的法律效力。</w:t>
      </w:r>
    </w:p>
    <w:p w14:paraId="7381B93D">
      <w:pPr>
        <w:adjustRightInd w:val="0"/>
        <w:snapToGrid w:val="0"/>
        <w:spacing w:before="156" w:beforeLines="50" w:after="156" w:afterLines="50" w:line="380" w:lineRule="exact"/>
        <w:rPr>
          <w:rFonts w:ascii="宋体"/>
          <w:sz w:val="24"/>
        </w:rPr>
      </w:pPr>
      <w:r>
        <w:rPr>
          <w:rFonts w:ascii="宋体" w:hAnsi="宋体"/>
          <w:sz w:val="24"/>
        </w:rPr>
        <w:t>2</w:t>
      </w:r>
      <w:r>
        <w:rPr>
          <w:rFonts w:hint="eastAsia" w:ascii="宋体" w:hAnsi="宋体"/>
          <w:sz w:val="24"/>
        </w:rPr>
        <w:t>、本合同履行期间，发生特殊情况时，甲、乙任何一方需变更本合同的，双方需签订书面变更协议，该协议将成为合同不可分割的部分。未经双方签署书面文件，任何一方无权变更本合同，否则，由此造成对方的经济损失，由责任方承担。</w:t>
      </w:r>
    </w:p>
    <w:p w14:paraId="52AC444F">
      <w:pPr>
        <w:adjustRightInd w:val="0"/>
        <w:snapToGrid w:val="0"/>
        <w:spacing w:before="156" w:beforeLines="50" w:after="156" w:afterLines="50" w:line="380" w:lineRule="exact"/>
        <w:rPr>
          <w:rFonts w:ascii="宋体"/>
          <w:sz w:val="24"/>
        </w:rPr>
      </w:pPr>
      <w:r>
        <w:rPr>
          <w:rFonts w:ascii="宋体" w:hAnsi="宋体"/>
          <w:sz w:val="24"/>
        </w:rPr>
        <w:t>3</w:t>
      </w:r>
      <w:r>
        <w:rPr>
          <w:rFonts w:hint="eastAsia" w:ascii="宋体" w:hAnsi="宋体"/>
          <w:sz w:val="24"/>
        </w:rPr>
        <w:t>、本合同自双方签字、盖章之日起生效。</w:t>
      </w:r>
    </w:p>
    <w:p w14:paraId="35C55AF3">
      <w:pPr>
        <w:adjustRightInd w:val="0"/>
        <w:snapToGrid w:val="0"/>
        <w:spacing w:before="156" w:beforeLines="50" w:after="156" w:afterLines="50" w:line="380" w:lineRule="exact"/>
        <w:rPr>
          <w:rFonts w:ascii="宋体"/>
          <w:sz w:val="24"/>
        </w:rPr>
      </w:pPr>
      <w:r>
        <w:rPr>
          <w:rFonts w:ascii="宋体" w:hAnsi="宋体"/>
          <w:sz w:val="24"/>
        </w:rPr>
        <w:t>4</w:t>
      </w:r>
      <w:r>
        <w:rPr>
          <w:rFonts w:hint="eastAsia" w:ascii="宋体" w:hAnsi="宋体"/>
          <w:sz w:val="24"/>
        </w:rPr>
        <w:t>、本协议壹式伍份，甲方执叁份，乙方执贰份，具有同等法律效力。</w:t>
      </w:r>
    </w:p>
    <w:p w14:paraId="6F3EE45B">
      <w:pPr>
        <w:adjustRightInd w:val="0"/>
        <w:snapToGrid w:val="0"/>
        <w:spacing w:before="156" w:beforeLines="50" w:after="156" w:afterLines="50" w:line="380" w:lineRule="exact"/>
        <w:rPr>
          <w:rFonts w:ascii="宋体"/>
          <w:sz w:val="24"/>
        </w:rPr>
      </w:pPr>
      <w:r>
        <w:rPr>
          <w:rFonts w:ascii="宋体" w:hAnsi="宋体"/>
          <w:sz w:val="24"/>
        </w:rPr>
        <w:t>5</w:t>
      </w:r>
      <w:r>
        <w:rPr>
          <w:rFonts w:hint="eastAsia" w:ascii="宋体" w:hAnsi="宋体"/>
          <w:sz w:val="24"/>
        </w:rPr>
        <w:t>、本合同的附件一软件产品功能列表清单、附件二软件验收满意度调查表，为本合同不可分割的组成部分，与本合同具有同等的法律效力。</w:t>
      </w:r>
    </w:p>
    <w:p w14:paraId="1A47DFF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0" w:firstLineChars="200"/>
        <w:textAlignment w:val="bottom"/>
        <w:rPr>
          <w:rFonts w:hint="eastAsia" w:ascii="宋体" w:hAnsi="宋体" w:cs="宋体"/>
          <w:color w:val="000000" w:themeColor="text1"/>
          <w:sz w:val="24"/>
          <w:szCs w:val="24"/>
          <w:lang w:val="en-US" w:eastAsia="zh-CN"/>
          <w14:textFill>
            <w14:solidFill>
              <w14:schemeClr w14:val="tx1"/>
            </w14:solidFill>
          </w14:textFill>
        </w:rPr>
      </w:pPr>
    </w:p>
    <w:p w14:paraId="7A66B2BA">
      <w:pPr>
        <w:widowControl w:val="0"/>
        <w:spacing w:before="315" w:line="360" w:lineRule="exact"/>
        <w:jc w:val="center"/>
        <w:outlineLvl w:val="0"/>
        <w:rPr>
          <w:rFonts w:ascii="宋体" w:hAnsi="宋体" w:cs="宋体"/>
          <w:b/>
          <w:bCs/>
          <w:spacing w:val="1"/>
          <w:sz w:val="32"/>
          <w:szCs w:val="22"/>
        </w:rPr>
      </w:pPr>
    </w:p>
    <w:p w14:paraId="46924997">
      <w:pPr>
        <w:widowControl w:val="0"/>
        <w:spacing w:before="315" w:line="360" w:lineRule="exact"/>
        <w:jc w:val="center"/>
        <w:outlineLvl w:val="0"/>
        <w:rPr>
          <w:rFonts w:ascii="宋体" w:hAnsi="宋体" w:cs="宋体"/>
          <w:b/>
          <w:bCs/>
          <w:spacing w:val="1"/>
          <w:sz w:val="32"/>
          <w:szCs w:val="22"/>
        </w:rPr>
      </w:pPr>
    </w:p>
    <w:p w14:paraId="2A40FF04">
      <w:pPr>
        <w:numPr>
          <w:ilvl w:val="0"/>
          <w:numId w:val="0"/>
        </w:numPr>
        <w:spacing w:before="120" w:line="320" w:lineRule="atLeast"/>
        <w:outlineLvl w:val="1"/>
        <w:rPr>
          <w:rFonts w:hint="eastAsia" w:ascii="宋体" w:hAnsi="宋体" w:cs="宋体"/>
          <w:b/>
          <w:bCs/>
          <w:color w:val="auto"/>
          <w:w w:val="95"/>
          <w:kern w:val="2"/>
          <w:sz w:val="32"/>
          <w:szCs w:val="32"/>
          <w:highlight w:val="none"/>
          <w:lang w:val="en-US" w:eastAsia="zh-CN" w:bidi="ar-SA"/>
        </w:rPr>
      </w:pPr>
    </w:p>
    <w:p w14:paraId="0E7905BD">
      <w:pPr>
        <w:numPr>
          <w:ilvl w:val="0"/>
          <w:numId w:val="0"/>
        </w:numPr>
        <w:spacing w:before="120" w:line="320" w:lineRule="atLeast"/>
        <w:outlineLvl w:val="1"/>
        <w:rPr>
          <w:rFonts w:hint="eastAsia" w:ascii="宋体" w:hAnsi="宋体" w:cs="宋体"/>
          <w:b/>
          <w:bCs/>
          <w:color w:val="auto"/>
          <w:w w:val="95"/>
          <w:kern w:val="2"/>
          <w:sz w:val="32"/>
          <w:szCs w:val="32"/>
          <w:highlight w:val="none"/>
          <w:lang w:val="en-US" w:eastAsia="zh-CN" w:bidi="ar-SA"/>
        </w:rPr>
      </w:pPr>
    </w:p>
    <w:p w14:paraId="43C167B5">
      <w:pPr>
        <w:numPr>
          <w:ilvl w:val="0"/>
          <w:numId w:val="0"/>
        </w:numPr>
        <w:spacing w:before="120" w:line="320" w:lineRule="atLeast"/>
        <w:outlineLvl w:val="1"/>
        <w:rPr>
          <w:rFonts w:hint="eastAsia" w:ascii="宋体" w:hAnsi="宋体" w:cs="宋体"/>
          <w:b/>
          <w:bCs/>
          <w:color w:val="auto"/>
          <w:w w:val="95"/>
          <w:kern w:val="2"/>
          <w:sz w:val="32"/>
          <w:szCs w:val="32"/>
          <w:highlight w:val="none"/>
          <w:lang w:val="en-US" w:eastAsia="zh-CN" w:bidi="ar-SA"/>
        </w:rPr>
      </w:pPr>
    </w:p>
    <w:p w14:paraId="2B17D0F4">
      <w:pPr>
        <w:numPr>
          <w:ilvl w:val="0"/>
          <w:numId w:val="0"/>
        </w:numPr>
        <w:spacing w:before="120" w:line="320" w:lineRule="atLeast"/>
        <w:outlineLvl w:val="1"/>
        <w:rPr>
          <w:rFonts w:hint="eastAsia" w:ascii="宋体" w:hAnsi="宋体" w:cs="宋体"/>
          <w:b/>
          <w:bCs/>
          <w:color w:val="auto"/>
          <w:w w:val="95"/>
          <w:kern w:val="2"/>
          <w:sz w:val="32"/>
          <w:szCs w:val="32"/>
          <w:highlight w:val="none"/>
          <w:lang w:val="en-US" w:eastAsia="zh-CN" w:bidi="ar-SA"/>
        </w:rPr>
      </w:pPr>
    </w:p>
    <w:p w14:paraId="5B391B7D">
      <w:pPr>
        <w:numPr>
          <w:ilvl w:val="0"/>
          <w:numId w:val="0"/>
        </w:numPr>
        <w:spacing w:before="120" w:line="320" w:lineRule="atLeast"/>
        <w:outlineLvl w:val="1"/>
        <w:rPr>
          <w:rFonts w:hint="eastAsia" w:ascii="宋体" w:hAnsi="宋体" w:cs="宋体"/>
          <w:b/>
          <w:bCs/>
          <w:color w:val="auto"/>
          <w:w w:val="95"/>
          <w:kern w:val="2"/>
          <w:sz w:val="32"/>
          <w:szCs w:val="32"/>
          <w:highlight w:val="none"/>
          <w:lang w:val="en-US" w:eastAsia="zh-CN" w:bidi="ar-SA"/>
        </w:rPr>
      </w:pPr>
    </w:p>
    <w:p w14:paraId="04253DB3">
      <w:pPr>
        <w:numPr>
          <w:ilvl w:val="0"/>
          <w:numId w:val="0"/>
        </w:numPr>
        <w:spacing w:before="120" w:line="320" w:lineRule="atLeast"/>
        <w:ind w:firstLine="3053" w:firstLineChars="1000"/>
        <w:outlineLvl w:val="1"/>
        <w:rPr>
          <w:rFonts w:hint="eastAsia" w:ascii="宋体" w:hAnsi="宋体" w:eastAsia="宋体" w:cs="宋体"/>
          <w:b/>
          <w:bCs/>
          <w:color w:val="auto"/>
          <w:w w:val="95"/>
          <w:kern w:val="2"/>
          <w:sz w:val="32"/>
          <w:szCs w:val="32"/>
          <w:highlight w:val="none"/>
          <w:lang w:val="en-US" w:eastAsia="zh-CN" w:bidi="ar-SA"/>
        </w:rPr>
      </w:pPr>
      <w:r>
        <w:rPr>
          <w:rFonts w:hint="eastAsia" w:ascii="宋体" w:hAnsi="宋体" w:cs="宋体"/>
          <w:b/>
          <w:bCs/>
          <w:color w:val="auto"/>
          <w:w w:val="95"/>
          <w:kern w:val="2"/>
          <w:sz w:val="32"/>
          <w:szCs w:val="32"/>
          <w:highlight w:val="none"/>
          <w:lang w:val="en-US" w:eastAsia="zh-CN" w:bidi="ar-SA"/>
        </w:rPr>
        <w:t xml:space="preserve">第三章  </w:t>
      </w:r>
      <w:r>
        <w:rPr>
          <w:rFonts w:hint="eastAsia" w:ascii="宋体" w:hAnsi="宋体" w:eastAsia="宋体" w:cs="宋体"/>
          <w:b/>
          <w:bCs/>
          <w:color w:val="auto"/>
          <w:w w:val="95"/>
          <w:kern w:val="2"/>
          <w:sz w:val="32"/>
          <w:szCs w:val="32"/>
          <w:highlight w:val="none"/>
          <w:lang w:val="en-US" w:eastAsia="zh-CN" w:bidi="ar-SA"/>
        </w:rPr>
        <w:t xml:space="preserve"> 评分标准</w:t>
      </w:r>
    </w:p>
    <w:p w14:paraId="5353242A">
      <w:pPr>
        <w:snapToGrid w:val="0"/>
        <w:spacing w:line="336" w:lineRule="exact"/>
        <w:rPr>
          <w:rFonts w:hint="eastAsia" w:ascii="宋体" w:hAnsi="宋体" w:eastAsia="宋体" w:cs="宋体"/>
          <w:b/>
          <w:bCs/>
          <w:sz w:val="24"/>
          <w:szCs w:val="24"/>
        </w:rPr>
      </w:pP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3"/>
        <w:gridCol w:w="1188"/>
        <w:gridCol w:w="6868"/>
        <w:gridCol w:w="781"/>
      </w:tblGrid>
      <w:tr w14:paraId="2A8C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Align w:val="center"/>
          </w:tcPr>
          <w:p w14:paraId="16648E51">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636" w:type="pct"/>
            <w:vAlign w:val="center"/>
          </w:tcPr>
          <w:p w14:paraId="0601E375">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评分项</w:t>
            </w:r>
          </w:p>
        </w:tc>
        <w:tc>
          <w:tcPr>
            <w:tcW w:w="3675" w:type="pct"/>
            <w:vAlign w:val="center"/>
          </w:tcPr>
          <w:p w14:paraId="55DF4802">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评分标准</w:t>
            </w:r>
          </w:p>
        </w:tc>
        <w:tc>
          <w:tcPr>
            <w:tcW w:w="418" w:type="pct"/>
            <w:vAlign w:val="center"/>
          </w:tcPr>
          <w:p w14:paraId="2264DB54">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最高分值</w:t>
            </w:r>
          </w:p>
        </w:tc>
      </w:tr>
      <w:tr w14:paraId="1369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Align w:val="center"/>
          </w:tcPr>
          <w:p w14:paraId="3F817801">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636" w:type="pct"/>
            <w:vAlign w:val="center"/>
          </w:tcPr>
          <w:p w14:paraId="505CB175">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价格分</w:t>
            </w:r>
          </w:p>
        </w:tc>
        <w:tc>
          <w:tcPr>
            <w:tcW w:w="3675" w:type="pct"/>
            <w:vAlign w:val="center"/>
          </w:tcPr>
          <w:p w14:paraId="63EF412A">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报价评分采用低价优先法计算，即满足</w:t>
            </w:r>
            <w:r>
              <w:rPr>
                <w:rFonts w:hint="eastAsia" w:asciiTheme="minorEastAsia" w:hAnsiTheme="minorEastAsia" w:eastAsiaTheme="minorEastAsia" w:cstheme="minorEastAsia"/>
                <w:color w:val="auto"/>
                <w:sz w:val="24"/>
                <w:szCs w:val="24"/>
                <w:highlight w:val="none"/>
                <w:lang w:val="en-US" w:eastAsia="zh-CN"/>
              </w:rPr>
              <w:t>议价</w:t>
            </w:r>
            <w:r>
              <w:rPr>
                <w:rFonts w:hint="eastAsia" w:asciiTheme="minorEastAsia" w:hAnsiTheme="minorEastAsia" w:eastAsiaTheme="minorEastAsia" w:cstheme="minorEastAsia"/>
                <w:color w:val="auto"/>
                <w:sz w:val="24"/>
                <w:szCs w:val="24"/>
                <w:highlight w:val="none"/>
              </w:rPr>
              <w:t>文件要求且最低报价为评</w:t>
            </w:r>
            <w:r>
              <w:rPr>
                <w:rFonts w:hint="eastAsia" w:asciiTheme="minorEastAsia" w:hAnsiTheme="minorEastAsia" w:eastAsiaTheme="minorEastAsia" w:cstheme="minorEastAsia"/>
                <w:color w:val="auto"/>
                <w:sz w:val="24"/>
                <w:szCs w:val="24"/>
                <w:highlight w:val="none"/>
                <w:lang w:val="en-US" w:eastAsia="zh-CN"/>
              </w:rPr>
              <w:t>审</w:t>
            </w:r>
            <w:r>
              <w:rPr>
                <w:rFonts w:hint="eastAsia" w:asciiTheme="minorEastAsia" w:hAnsiTheme="minorEastAsia" w:eastAsiaTheme="minorEastAsia" w:cstheme="minorEastAsia"/>
                <w:color w:val="auto"/>
                <w:sz w:val="24"/>
                <w:szCs w:val="24"/>
                <w:highlight w:val="none"/>
              </w:rPr>
              <w:t>基准价，其价格分为满分。其他</w:t>
            </w:r>
            <w:r>
              <w:rPr>
                <w:rFonts w:hint="eastAsia" w:asciiTheme="minorEastAsia" w:hAnsiTheme="minorEastAsia" w:eastAsiaTheme="minorEastAsia" w:cstheme="minorEastAsia"/>
                <w:color w:val="auto"/>
                <w:sz w:val="24"/>
                <w:szCs w:val="24"/>
                <w:highlight w:val="none"/>
                <w:lang w:val="en-US" w:eastAsia="zh-CN"/>
              </w:rPr>
              <w:t>报价</w:t>
            </w:r>
            <w:r>
              <w:rPr>
                <w:rFonts w:hint="eastAsia" w:asciiTheme="minorEastAsia" w:hAnsiTheme="minorEastAsia" w:eastAsiaTheme="minorEastAsia" w:cstheme="minorEastAsia"/>
                <w:color w:val="auto"/>
                <w:sz w:val="24"/>
                <w:szCs w:val="24"/>
                <w:highlight w:val="none"/>
              </w:rPr>
              <w:t>人的报价分数统一按照下列公式计算：报价得分=(评</w:t>
            </w:r>
            <w:r>
              <w:rPr>
                <w:rFonts w:hint="eastAsia" w:asciiTheme="minorEastAsia" w:hAnsiTheme="minorEastAsia" w:eastAsiaTheme="minorEastAsia" w:cstheme="minorEastAsia"/>
                <w:color w:val="auto"/>
                <w:sz w:val="24"/>
                <w:szCs w:val="24"/>
                <w:highlight w:val="none"/>
                <w:lang w:val="en-US" w:eastAsia="zh-CN"/>
              </w:rPr>
              <w:t>审</w:t>
            </w:r>
            <w:r>
              <w:rPr>
                <w:rFonts w:hint="eastAsia" w:asciiTheme="minorEastAsia" w:hAnsiTheme="minorEastAsia" w:eastAsiaTheme="minorEastAsia" w:cstheme="minorEastAsia"/>
                <w:color w:val="auto"/>
                <w:sz w:val="24"/>
                <w:szCs w:val="24"/>
                <w:highlight w:val="none"/>
              </w:rPr>
              <w:t>基准价／</w:t>
            </w:r>
            <w:r>
              <w:rPr>
                <w:rFonts w:hint="eastAsia" w:asciiTheme="minorEastAsia" w:hAnsiTheme="minorEastAsia" w:eastAsiaTheme="minorEastAsia" w:cstheme="minorEastAsia"/>
                <w:color w:val="auto"/>
                <w:sz w:val="24"/>
                <w:szCs w:val="24"/>
                <w:highlight w:val="none"/>
                <w:lang w:val="en-US" w:eastAsia="zh-CN"/>
              </w:rPr>
              <w:t>报价人</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color w:val="auto"/>
                <w:sz w:val="24"/>
                <w:szCs w:val="24"/>
                <w:highlight w:val="none"/>
                <w:lang w:val="en-US" w:eastAsia="zh-CN"/>
              </w:rPr>
              <w:t>35</w:t>
            </w:r>
            <w:r>
              <w:rPr>
                <w:rFonts w:hint="eastAsia" w:asciiTheme="minorEastAsia" w:hAnsiTheme="minorEastAsia" w:eastAsiaTheme="minorEastAsia" w:cstheme="minorEastAsia"/>
                <w:color w:val="auto"/>
                <w:sz w:val="24"/>
                <w:szCs w:val="24"/>
                <w:highlight w:val="none"/>
              </w:rPr>
              <w:t>。</w:t>
            </w:r>
          </w:p>
          <w:p w14:paraId="7BC5E661">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注：（1）</w:t>
            </w:r>
            <w:r>
              <w:rPr>
                <w:rFonts w:hint="eastAsia" w:ascii="宋体" w:hAnsi="宋体" w:eastAsia="宋体" w:cs="宋体"/>
                <w:spacing w:val="-2"/>
                <w:sz w:val="24"/>
                <w:szCs w:val="24"/>
              </w:rPr>
              <w:t>供应商报价超出参考预算金额的</w:t>
            </w:r>
            <w:r>
              <w:rPr>
                <w:rFonts w:hint="eastAsia" w:asciiTheme="minorEastAsia" w:hAnsiTheme="minorEastAsia" w:eastAsiaTheme="minorEastAsia" w:cstheme="minorEastAsia"/>
                <w:color w:val="auto"/>
                <w:sz w:val="24"/>
                <w:szCs w:val="24"/>
                <w:highlight w:val="none"/>
              </w:rPr>
              <w:t>为无效报价；</w:t>
            </w:r>
          </w:p>
          <w:p w14:paraId="76B78117">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（2）为了遏制恶意竞标，确保采购需求和科学择优，依据财政部令第87号文件第六十条规定，评</w:t>
            </w:r>
            <w:r>
              <w:rPr>
                <w:rFonts w:hint="eastAsia" w:asciiTheme="minorEastAsia" w:hAnsiTheme="minorEastAsia" w:eastAsiaTheme="minorEastAsia" w:cstheme="minorEastAsia"/>
                <w:color w:val="auto"/>
                <w:sz w:val="24"/>
                <w:szCs w:val="24"/>
                <w:highlight w:val="none"/>
                <w:lang w:val="en-US" w:eastAsia="zh-CN"/>
              </w:rPr>
              <w:t>审</w:t>
            </w:r>
            <w:r>
              <w:rPr>
                <w:rFonts w:hint="eastAsia" w:asciiTheme="minorEastAsia" w:hAnsiTheme="minorEastAsia" w:eastAsiaTheme="minorEastAsia" w:cstheme="minorEastAsia"/>
                <w:color w:val="auto"/>
                <w:sz w:val="24"/>
                <w:szCs w:val="24"/>
                <w:highlight w:val="none"/>
              </w:rPr>
              <w:t>委员会认为</w:t>
            </w:r>
            <w:r>
              <w:rPr>
                <w:rFonts w:hint="eastAsia" w:asciiTheme="minorEastAsia" w:hAnsiTheme="minorEastAsia" w:eastAsiaTheme="minorEastAsia" w:cstheme="minorEastAsia"/>
                <w:color w:val="auto"/>
                <w:sz w:val="24"/>
                <w:szCs w:val="24"/>
                <w:highlight w:val="none"/>
                <w:lang w:val="en-US" w:eastAsia="zh-CN"/>
              </w:rPr>
              <w:t>报价</w:t>
            </w:r>
            <w:r>
              <w:rPr>
                <w:rFonts w:hint="eastAsia" w:asciiTheme="minorEastAsia" w:hAnsiTheme="minorEastAsia" w:eastAsiaTheme="minorEastAsia" w:cstheme="minorEastAsia"/>
                <w:color w:val="auto"/>
                <w:sz w:val="24"/>
                <w:szCs w:val="24"/>
                <w:highlight w:val="none"/>
              </w:rPr>
              <w:t>人的报价明显低于其他通过符合性审查</w:t>
            </w:r>
            <w:r>
              <w:rPr>
                <w:rFonts w:hint="eastAsia" w:asciiTheme="minorEastAsia" w:hAnsiTheme="minorEastAsia" w:eastAsiaTheme="minorEastAsia" w:cstheme="minorEastAsia"/>
                <w:color w:val="auto"/>
                <w:sz w:val="24"/>
                <w:szCs w:val="24"/>
                <w:highlight w:val="none"/>
                <w:lang w:val="en-US" w:eastAsia="zh-CN"/>
              </w:rPr>
              <w:t>报价</w:t>
            </w:r>
            <w:r>
              <w:rPr>
                <w:rFonts w:hint="eastAsia" w:asciiTheme="minorEastAsia" w:hAnsiTheme="minorEastAsia" w:eastAsiaTheme="minorEastAsia" w:cstheme="minorEastAsia"/>
                <w:color w:val="auto"/>
                <w:sz w:val="24"/>
                <w:szCs w:val="24"/>
                <w:highlight w:val="none"/>
              </w:rPr>
              <w:t>人的报价，有可能影响产品质量或者不能诚信履约的，必须在评</w:t>
            </w:r>
            <w:r>
              <w:rPr>
                <w:rFonts w:hint="eastAsia" w:asciiTheme="minorEastAsia" w:hAnsiTheme="minorEastAsia" w:eastAsiaTheme="minorEastAsia" w:cstheme="minorEastAsia"/>
                <w:color w:val="auto"/>
                <w:sz w:val="24"/>
                <w:szCs w:val="24"/>
                <w:highlight w:val="none"/>
                <w:lang w:val="en-US" w:eastAsia="zh-CN"/>
              </w:rPr>
              <w:t>审</w:t>
            </w:r>
            <w:r>
              <w:rPr>
                <w:rFonts w:hint="eastAsia" w:asciiTheme="minorEastAsia" w:hAnsiTheme="minorEastAsia" w:eastAsiaTheme="minorEastAsia" w:cstheme="minorEastAsia"/>
                <w:color w:val="auto"/>
                <w:sz w:val="24"/>
                <w:szCs w:val="24"/>
                <w:highlight w:val="none"/>
              </w:rPr>
              <w:t>现场合理的时间内提供成本构成说明、相关证明材料原件、保证按</w:t>
            </w:r>
            <w:r>
              <w:rPr>
                <w:rFonts w:hint="eastAsia" w:asciiTheme="minorEastAsia" w:hAnsiTheme="minorEastAsia" w:eastAsiaTheme="minorEastAsia" w:cstheme="minorEastAsia"/>
                <w:color w:val="auto"/>
                <w:sz w:val="24"/>
                <w:szCs w:val="24"/>
                <w:highlight w:val="none"/>
                <w:lang w:val="en-US" w:eastAsia="zh-CN"/>
              </w:rPr>
              <w:t>议价</w:t>
            </w:r>
            <w:r>
              <w:rPr>
                <w:rFonts w:hint="eastAsia" w:asciiTheme="minorEastAsia" w:hAnsiTheme="minorEastAsia" w:eastAsiaTheme="minorEastAsia" w:cstheme="minorEastAsia"/>
                <w:color w:val="auto"/>
                <w:sz w:val="24"/>
                <w:szCs w:val="24"/>
                <w:highlight w:val="none"/>
              </w:rPr>
              <w:t>文件服务内容及要求提供服务的承诺书。否则按无效</w:t>
            </w:r>
            <w:r>
              <w:rPr>
                <w:rFonts w:hint="eastAsia" w:asciiTheme="minorEastAsia" w:hAnsiTheme="minorEastAsia" w:eastAsiaTheme="minorEastAsia" w:cstheme="minorEastAsia"/>
                <w:color w:val="auto"/>
                <w:sz w:val="24"/>
                <w:szCs w:val="24"/>
                <w:highlight w:val="none"/>
                <w:lang w:val="en-US" w:eastAsia="zh-CN"/>
              </w:rPr>
              <w:t>报价</w:t>
            </w:r>
            <w:r>
              <w:rPr>
                <w:rFonts w:hint="eastAsia" w:asciiTheme="minorEastAsia" w:hAnsiTheme="minorEastAsia" w:eastAsiaTheme="minorEastAsia" w:cstheme="minorEastAsia"/>
                <w:color w:val="auto"/>
                <w:sz w:val="24"/>
                <w:szCs w:val="24"/>
                <w:highlight w:val="none"/>
              </w:rPr>
              <w:t>处理。</w:t>
            </w:r>
          </w:p>
        </w:tc>
        <w:tc>
          <w:tcPr>
            <w:tcW w:w="418" w:type="pct"/>
            <w:vAlign w:val="center"/>
          </w:tcPr>
          <w:p w14:paraId="07727A7A">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35</w:t>
            </w:r>
          </w:p>
        </w:tc>
      </w:tr>
      <w:tr w14:paraId="7111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restart"/>
            <w:vAlign w:val="center"/>
          </w:tcPr>
          <w:p w14:paraId="63F49B3F">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636" w:type="pct"/>
            <w:vMerge w:val="restart"/>
            <w:vAlign w:val="center"/>
          </w:tcPr>
          <w:p w14:paraId="175D5994">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企业实力</w:t>
            </w:r>
          </w:p>
        </w:tc>
        <w:tc>
          <w:tcPr>
            <w:tcW w:w="3675" w:type="pct"/>
            <w:vAlign w:val="center"/>
          </w:tcPr>
          <w:p w14:paraId="387EFC85">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供应商具备质量管理体系认证证书(ISO9000)、信息技术服务管理体系认证证书(ISO20000)，每提供一项得</w:t>
            </w:r>
            <w:r>
              <w:rPr>
                <w:rFonts w:hint="eastAsia" w:asciiTheme="minorEastAsia" w:hAnsiTheme="minorEastAsia" w:eastAsiaTheme="minorEastAsia" w:cstheme="minorEastAsia"/>
                <w:color w:val="auto"/>
                <w:sz w:val="24"/>
                <w:szCs w:val="24"/>
                <w:highlight w:val="none"/>
                <w:lang w:val="en-US" w:eastAsia="zh-CN"/>
              </w:rPr>
              <w:t>0.5</w:t>
            </w:r>
            <w:r>
              <w:rPr>
                <w:rFonts w:hint="eastAsia" w:asciiTheme="minorEastAsia" w:hAnsiTheme="minorEastAsia" w:eastAsiaTheme="minorEastAsia" w:cstheme="minorEastAsia"/>
                <w:color w:val="auto"/>
                <w:sz w:val="24"/>
                <w:szCs w:val="24"/>
                <w:highlight w:val="none"/>
              </w:rPr>
              <w:t>分，满分</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w:t>
            </w:r>
          </w:p>
          <w:p w14:paraId="78EF1FFB">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报价</w:t>
            </w:r>
            <w:r>
              <w:rPr>
                <w:rFonts w:hint="eastAsia" w:asciiTheme="minorEastAsia" w:hAnsiTheme="minorEastAsia" w:eastAsiaTheme="minorEastAsia" w:cstheme="minorEastAsia"/>
                <w:b/>
                <w:bCs/>
                <w:color w:val="auto"/>
                <w:sz w:val="24"/>
                <w:szCs w:val="24"/>
                <w:highlight w:val="none"/>
              </w:rPr>
              <w:t>文件中附加盖公章的证书复印件，否则不得分。）</w:t>
            </w:r>
          </w:p>
        </w:tc>
        <w:tc>
          <w:tcPr>
            <w:tcW w:w="418" w:type="pct"/>
            <w:vAlign w:val="center"/>
          </w:tcPr>
          <w:p w14:paraId="2BBB5690">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r>
      <w:tr w14:paraId="6A536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269" w:type="pct"/>
            <w:vMerge w:val="continue"/>
            <w:vAlign w:val="center"/>
          </w:tcPr>
          <w:p w14:paraId="395057A7">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4"/>
                <w:szCs w:val="24"/>
                <w:highlight w:val="none"/>
              </w:rPr>
            </w:pPr>
          </w:p>
        </w:tc>
        <w:tc>
          <w:tcPr>
            <w:tcW w:w="636" w:type="pct"/>
            <w:vMerge w:val="continue"/>
            <w:vAlign w:val="center"/>
          </w:tcPr>
          <w:p w14:paraId="266979A7">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textAlignment w:val="auto"/>
              <w:rPr>
                <w:rFonts w:hint="eastAsia" w:asciiTheme="minorEastAsia" w:hAnsiTheme="minorEastAsia" w:eastAsiaTheme="minorEastAsia" w:cstheme="minorEastAsia"/>
                <w:sz w:val="24"/>
                <w:szCs w:val="24"/>
                <w:highlight w:val="none"/>
              </w:rPr>
            </w:pPr>
          </w:p>
        </w:tc>
        <w:tc>
          <w:tcPr>
            <w:tcW w:w="3675" w:type="pct"/>
            <w:vAlign w:val="center"/>
          </w:tcPr>
          <w:p w14:paraId="0FD0B395">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供应商提供自2022年至今相关</w:t>
            </w:r>
            <w:r>
              <w:rPr>
                <w:rFonts w:hint="eastAsia" w:asciiTheme="minorEastAsia" w:hAnsiTheme="minorEastAsia" w:eastAsiaTheme="minorEastAsia" w:cstheme="minorEastAsia"/>
                <w:color w:val="auto"/>
                <w:sz w:val="24"/>
                <w:szCs w:val="24"/>
                <w:highlight w:val="none"/>
              </w:rPr>
              <w:t>类似业绩，</w:t>
            </w:r>
            <w:r>
              <w:rPr>
                <w:rFonts w:hint="eastAsia" w:asciiTheme="minorEastAsia" w:hAnsiTheme="minorEastAsia" w:eastAsiaTheme="minorEastAsia" w:cstheme="minorEastAsia"/>
                <w:color w:val="auto"/>
                <w:sz w:val="24"/>
                <w:szCs w:val="24"/>
                <w:highlight w:val="none"/>
                <w:lang w:val="en-US" w:eastAsia="zh-CN"/>
              </w:rPr>
              <w:t>每</w:t>
            </w:r>
            <w:r>
              <w:rPr>
                <w:rFonts w:hint="eastAsia" w:asciiTheme="minorEastAsia" w:hAnsiTheme="minorEastAsia" w:eastAsiaTheme="minorEastAsia" w:cstheme="minorEastAsia"/>
                <w:color w:val="auto"/>
                <w:sz w:val="24"/>
                <w:szCs w:val="24"/>
                <w:highlight w:val="none"/>
              </w:rPr>
              <w:t>提供</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份得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val="en-US" w:eastAsia="zh-CN"/>
              </w:rPr>
              <w:t>最多</w:t>
            </w:r>
            <w:r>
              <w:rPr>
                <w:rFonts w:hint="eastAsia" w:asciiTheme="minorEastAsia" w:hAnsiTheme="minorEastAsia" w:eastAsiaTheme="minorEastAsia" w:cstheme="minorEastAsia"/>
                <w:color w:val="auto"/>
                <w:sz w:val="24"/>
                <w:szCs w:val="24"/>
                <w:highlight w:val="none"/>
              </w:rPr>
              <w:t>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报价</w:t>
            </w:r>
            <w:r>
              <w:rPr>
                <w:rFonts w:hint="eastAsia" w:asciiTheme="minorEastAsia" w:hAnsiTheme="minorEastAsia" w:eastAsiaTheme="minorEastAsia" w:cstheme="minorEastAsia"/>
                <w:b/>
                <w:bCs/>
                <w:color w:val="auto"/>
                <w:sz w:val="24"/>
                <w:szCs w:val="24"/>
                <w:highlight w:val="none"/>
              </w:rPr>
              <w:t>文件中附加盖公章的合同关键页复印件</w:t>
            </w:r>
            <w:r>
              <w:rPr>
                <w:rFonts w:hint="eastAsia" w:asciiTheme="minorEastAsia" w:hAnsiTheme="minorEastAsia" w:eastAsiaTheme="minorEastAsia" w:cstheme="minorEastAsia"/>
                <w:b/>
                <w:bCs/>
                <w:color w:val="auto"/>
                <w:sz w:val="24"/>
                <w:szCs w:val="24"/>
                <w:highlight w:val="none"/>
                <w:lang w:val="en-US" w:eastAsia="zh-CN"/>
              </w:rPr>
              <w:t>和验收证明</w:t>
            </w:r>
            <w:r>
              <w:rPr>
                <w:rFonts w:hint="eastAsia" w:asciiTheme="minorEastAsia" w:hAnsiTheme="minorEastAsia" w:eastAsiaTheme="minorEastAsia" w:cstheme="minorEastAsia"/>
                <w:b/>
                <w:bCs/>
                <w:color w:val="auto"/>
                <w:sz w:val="24"/>
                <w:szCs w:val="24"/>
                <w:highlight w:val="none"/>
              </w:rPr>
              <w:t>，否则不得分。）</w:t>
            </w:r>
          </w:p>
        </w:tc>
        <w:tc>
          <w:tcPr>
            <w:tcW w:w="418" w:type="pct"/>
            <w:vAlign w:val="center"/>
          </w:tcPr>
          <w:p w14:paraId="75461A09">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w:t>
            </w:r>
          </w:p>
        </w:tc>
      </w:tr>
      <w:tr w14:paraId="2012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269" w:type="pct"/>
            <w:vMerge w:val="continue"/>
            <w:vAlign w:val="center"/>
          </w:tcPr>
          <w:p w14:paraId="6488993F">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4"/>
                <w:szCs w:val="24"/>
                <w:highlight w:val="none"/>
              </w:rPr>
            </w:pPr>
          </w:p>
        </w:tc>
        <w:tc>
          <w:tcPr>
            <w:tcW w:w="636" w:type="pct"/>
            <w:vMerge w:val="continue"/>
            <w:vAlign w:val="center"/>
          </w:tcPr>
          <w:p w14:paraId="132E9E99">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textAlignment w:val="auto"/>
              <w:rPr>
                <w:rFonts w:hint="eastAsia" w:asciiTheme="minorEastAsia" w:hAnsiTheme="minorEastAsia" w:eastAsiaTheme="minorEastAsia" w:cstheme="minorEastAsia"/>
                <w:sz w:val="24"/>
                <w:szCs w:val="24"/>
                <w:highlight w:val="none"/>
              </w:rPr>
            </w:pPr>
          </w:p>
        </w:tc>
        <w:tc>
          <w:tcPr>
            <w:tcW w:w="3675" w:type="pct"/>
            <w:vAlign w:val="center"/>
          </w:tcPr>
          <w:p w14:paraId="320BE556">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供应商具有基层医疗机构管理系统、电子病历管理系统、数据采集系统、基层公卫系统</w:t>
            </w:r>
            <w:r>
              <w:rPr>
                <w:rFonts w:hint="eastAsia" w:asciiTheme="minorEastAsia" w:hAnsiTheme="minorEastAsia" w:eastAsiaTheme="minorEastAsia" w:cstheme="minorEastAsia"/>
                <w:color w:val="auto"/>
                <w:sz w:val="24"/>
                <w:szCs w:val="24"/>
                <w:highlight w:val="none"/>
              </w:rPr>
              <w:t>相关产品</w:t>
            </w:r>
            <w:r>
              <w:rPr>
                <w:rFonts w:hint="eastAsia" w:asciiTheme="minorEastAsia" w:hAnsiTheme="minorEastAsia" w:eastAsiaTheme="minorEastAsia" w:cstheme="minorEastAsia"/>
                <w:color w:val="auto"/>
                <w:sz w:val="24"/>
                <w:szCs w:val="24"/>
                <w:highlight w:val="none"/>
                <w:lang w:val="en-US" w:eastAsia="zh-CN"/>
              </w:rPr>
              <w:t>软件著作权证书</w:t>
            </w:r>
            <w:r>
              <w:rPr>
                <w:rFonts w:hint="eastAsia" w:asciiTheme="minorEastAsia" w:hAnsiTheme="minorEastAsia" w:eastAsiaTheme="minorEastAsia" w:cstheme="minorEastAsia"/>
                <w:color w:val="auto"/>
                <w:sz w:val="24"/>
                <w:szCs w:val="24"/>
                <w:highlight w:val="none"/>
              </w:rPr>
              <w:t>。每提供一个得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分，最多得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分。注：须提供</w:t>
            </w:r>
            <w:r>
              <w:rPr>
                <w:rFonts w:hint="eastAsia" w:asciiTheme="minorEastAsia" w:hAnsiTheme="minorEastAsia" w:eastAsiaTheme="minorEastAsia" w:cstheme="minorEastAsia"/>
                <w:color w:val="auto"/>
                <w:sz w:val="24"/>
                <w:szCs w:val="24"/>
                <w:highlight w:val="none"/>
                <w:lang w:val="en-US" w:eastAsia="zh-CN"/>
              </w:rPr>
              <w:t>议价</w:t>
            </w:r>
            <w:r>
              <w:rPr>
                <w:rFonts w:hint="eastAsia" w:asciiTheme="minorEastAsia" w:hAnsiTheme="minorEastAsia" w:eastAsiaTheme="minorEastAsia" w:cstheme="minorEastAsia"/>
                <w:color w:val="auto"/>
                <w:sz w:val="24"/>
                <w:szCs w:val="24"/>
                <w:highlight w:val="none"/>
              </w:rPr>
              <w:t>公告发布时间前取得</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rPr>
              <w:t>证书复印件</w:t>
            </w:r>
            <w:r>
              <w:rPr>
                <w:rFonts w:hint="eastAsia" w:asciiTheme="minorEastAsia" w:hAnsiTheme="minorEastAsia" w:eastAsiaTheme="minorEastAsia" w:cstheme="minorEastAsia"/>
                <w:color w:val="auto"/>
                <w:sz w:val="24"/>
                <w:szCs w:val="24"/>
                <w:highlight w:val="none"/>
                <w:lang w:val="en-US" w:eastAsia="zh-CN"/>
              </w:rPr>
              <w:t>并</w:t>
            </w:r>
            <w:r>
              <w:rPr>
                <w:rFonts w:hint="eastAsia" w:asciiTheme="minorEastAsia" w:hAnsiTheme="minorEastAsia" w:eastAsiaTheme="minorEastAsia" w:cstheme="minorEastAsia"/>
                <w:color w:val="auto"/>
                <w:sz w:val="24"/>
                <w:szCs w:val="24"/>
                <w:highlight w:val="none"/>
              </w:rPr>
              <w:t>加盖公章。</w:t>
            </w:r>
          </w:p>
        </w:tc>
        <w:tc>
          <w:tcPr>
            <w:tcW w:w="418" w:type="pct"/>
            <w:vAlign w:val="center"/>
          </w:tcPr>
          <w:p w14:paraId="44BBC553">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w:t>
            </w:r>
          </w:p>
        </w:tc>
      </w:tr>
      <w:tr w14:paraId="60A5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69" w:type="pct"/>
            <w:vMerge w:val="restart"/>
            <w:vAlign w:val="center"/>
          </w:tcPr>
          <w:p w14:paraId="6F25CF25">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636" w:type="pct"/>
            <w:vMerge w:val="restart"/>
            <w:vAlign w:val="center"/>
          </w:tcPr>
          <w:p w14:paraId="0BC3552F">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技术响应情况</w:t>
            </w:r>
          </w:p>
        </w:tc>
        <w:tc>
          <w:tcPr>
            <w:tcW w:w="3675" w:type="pct"/>
          </w:tcPr>
          <w:p w14:paraId="789115A5">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left"/>
              <w:textAlignment w:val="auto"/>
              <w:rPr>
                <w:rFonts w:hint="default"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en-US" w:eastAsia="zh-CN"/>
              </w:rPr>
              <w:t>技术参数要求中，▲项要求须提供平台系统界面的完整截图，且截图与实际功能相符的指标得2分，满分34分。</w:t>
            </w:r>
          </w:p>
        </w:tc>
        <w:tc>
          <w:tcPr>
            <w:tcW w:w="418" w:type="pct"/>
            <w:vAlign w:val="center"/>
          </w:tcPr>
          <w:p w14:paraId="34CC2307">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34</w:t>
            </w:r>
          </w:p>
        </w:tc>
      </w:tr>
      <w:tr w14:paraId="776BE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69" w:type="pct"/>
            <w:vMerge w:val="continue"/>
            <w:vAlign w:val="center"/>
          </w:tcPr>
          <w:p w14:paraId="2AB5ECB9">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p>
        </w:tc>
        <w:tc>
          <w:tcPr>
            <w:tcW w:w="636" w:type="pct"/>
            <w:vMerge w:val="continue"/>
            <w:vAlign w:val="center"/>
          </w:tcPr>
          <w:p w14:paraId="45BFE409">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p>
        </w:tc>
        <w:tc>
          <w:tcPr>
            <w:tcW w:w="3675" w:type="pct"/>
          </w:tcPr>
          <w:p w14:paraId="0E198C20">
            <w:pPr>
              <w:pStyle w:val="27"/>
              <w:keepNext w:val="0"/>
              <w:keepLines w:val="0"/>
              <w:pageBreakBefore w:val="0"/>
              <w:numPr>
                <w:ilvl w:val="0"/>
                <w:numId w:val="0"/>
              </w:numPr>
              <w:kinsoku/>
              <w:wordWrap/>
              <w:overflowPunct/>
              <w:topLinePunct w:val="0"/>
              <w:bidi w:val="0"/>
              <w:adjustRightInd/>
              <w:snapToGrid/>
              <w:spacing w:line="240" w:lineRule="auto"/>
              <w:ind w:firstLine="0" w:firstLineChars="0"/>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根据供应商对本项目的总体项目服务成果方案（包括对需实现内容的应用效果和应用的成熟度）进行综合评定并独立打分，未提供不得分。</w:t>
            </w:r>
          </w:p>
          <w:p w14:paraId="4BBD2A1A">
            <w:pPr>
              <w:pStyle w:val="27"/>
              <w:keepNext w:val="0"/>
              <w:keepLines w:val="0"/>
              <w:pageBreakBefore w:val="0"/>
              <w:numPr>
                <w:ilvl w:val="0"/>
                <w:numId w:val="0"/>
              </w:numPr>
              <w:kinsoku/>
              <w:wordWrap/>
              <w:overflowPunct/>
              <w:topLinePunct w:val="0"/>
              <w:bidi w:val="0"/>
              <w:adjustRightInd/>
              <w:snapToGrid/>
              <w:spacing w:line="240" w:lineRule="auto"/>
              <w:ind w:firstLine="0" w:firstLineChars="0"/>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一档（0分）没有提供；</w:t>
            </w:r>
          </w:p>
          <w:p w14:paraId="276217B0">
            <w:pPr>
              <w:pStyle w:val="27"/>
              <w:keepNext w:val="0"/>
              <w:keepLines w:val="0"/>
              <w:pageBreakBefore w:val="0"/>
              <w:numPr>
                <w:ilvl w:val="0"/>
                <w:numId w:val="0"/>
              </w:numPr>
              <w:kinsoku/>
              <w:wordWrap/>
              <w:overflowPunct/>
              <w:topLinePunct w:val="0"/>
              <w:bidi w:val="0"/>
              <w:adjustRightInd/>
              <w:snapToGrid/>
              <w:spacing w:line="240" w:lineRule="auto"/>
              <w:ind w:firstLine="0" w:firstLineChars="0"/>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二档（1分）成果内容合理性、成熟度一般，低于其他档次供应商，内容不完整；</w:t>
            </w:r>
          </w:p>
          <w:p w14:paraId="478FAEA3">
            <w:pPr>
              <w:pStyle w:val="27"/>
              <w:keepNext w:val="0"/>
              <w:keepLines w:val="0"/>
              <w:pageBreakBefore w:val="0"/>
              <w:numPr>
                <w:ilvl w:val="0"/>
                <w:numId w:val="0"/>
              </w:numPr>
              <w:kinsoku/>
              <w:wordWrap/>
              <w:overflowPunct/>
              <w:topLinePunct w:val="0"/>
              <w:bidi w:val="0"/>
              <w:adjustRightInd/>
              <w:snapToGrid/>
              <w:spacing w:line="240" w:lineRule="auto"/>
              <w:ind w:firstLine="0" w:firstLineChars="0"/>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三档（2分）对需实现内容的应用效果和应用的成熟度基本满足采购需求，内容相对完整；</w:t>
            </w:r>
          </w:p>
          <w:p w14:paraId="00D9D18A">
            <w:pPr>
              <w:pStyle w:val="27"/>
              <w:keepNext w:val="0"/>
              <w:keepLines w:val="0"/>
              <w:pageBreakBefore w:val="0"/>
              <w:numPr>
                <w:ilvl w:val="0"/>
                <w:numId w:val="0"/>
              </w:numPr>
              <w:kinsoku/>
              <w:wordWrap/>
              <w:overflowPunct/>
              <w:topLinePunct w:val="0"/>
              <w:bidi w:val="0"/>
              <w:adjustRightInd/>
              <w:snapToGrid/>
              <w:spacing w:line="240" w:lineRule="auto"/>
              <w:ind w:firstLine="0" w:firstLineChars="0"/>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四档（3分）对需实现内容的应用效果和应用的成熟度完全满足采购需求，操作性强，成熟度较好，服务内容详细完善。</w:t>
            </w:r>
          </w:p>
        </w:tc>
        <w:tc>
          <w:tcPr>
            <w:tcW w:w="418" w:type="pct"/>
            <w:vAlign w:val="center"/>
          </w:tcPr>
          <w:p w14:paraId="4F50C99D">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r>
      <w:tr w14:paraId="747CA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Align w:val="center"/>
          </w:tcPr>
          <w:p w14:paraId="05A20ADD">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4</w:t>
            </w:r>
          </w:p>
        </w:tc>
        <w:tc>
          <w:tcPr>
            <w:tcW w:w="636" w:type="pct"/>
            <w:vAlign w:val="center"/>
          </w:tcPr>
          <w:p w14:paraId="7970F90B">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实施方案</w:t>
            </w:r>
          </w:p>
        </w:tc>
        <w:tc>
          <w:tcPr>
            <w:tcW w:w="3675" w:type="pct"/>
          </w:tcPr>
          <w:p w14:paraId="78512E68">
            <w:pPr>
              <w:pStyle w:val="27"/>
              <w:keepNext w:val="0"/>
              <w:keepLines w:val="0"/>
              <w:pageBreakBefore w:val="0"/>
              <w:kinsoku/>
              <w:wordWrap/>
              <w:overflowPunct/>
              <w:topLinePunct w:val="0"/>
              <w:bidi w:val="0"/>
              <w:adjustRightInd/>
              <w:snapToGrid/>
              <w:spacing w:line="240" w:lineRule="auto"/>
              <w:ind w:firstLine="0" w:firstLineChars="0"/>
              <w:textAlignment w:val="auto"/>
              <w:rPr>
                <w:rFonts w:hint="eastAsia" w:asciiTheme="minorEastAsia" w:hAnsiTheme="minorEastAsia" w:eastAsiaTheme="minorEastAsia" w:cstheme="minorEastAsia"/>
                <w:sz w:val="24"/>
                <w:szCs w:val="24"/>
                <w:highlight w:val="none"/>
                <w:lang w:val="en-US" w:bidi="ar-SA"/>
              </w:rPr>
            </w:pPr>
            <w:r>
              <w:rPr>
                <w:rFonts w:hint="eastAsia" w:asciiTheme="minorEastAsia" w:hAnsiTheme="minorEastAsia" w:eastAsiaTheme="minorEastAsia" w:cstheme="minorEastAsia"/>
                <w:sz w:val="24"/>
                <w:szCs w:val="24"/>
                <w:highlight w:val="none"/>
                <w:lang w:val="en-US" w:bidi="ar-SA"/>
              </w:rPr>
              <w:t>根据</w:t>
            </w:r>
            <w:r>
              <w:rPr>
                <w:rFonts w:hint="eastAsia" w:asciiTheme="minorEastAsia" w:hAnsiTheme="minorEastAsia" w:eastAsiaTheme="minorEastAsia" w:cstheme="minorEastAsia"/>
                <w:sz w:val="24"/>
                <w:szCs w:val="24"/>
                <w:highlight w:val="none"/>
                <w:lang w:val="en-US" w:eastAsia="zh-CN" w:bidi="ar-SA"/>
              </w:rPr>
              <w:t>供应商</w:t>
            </w:r>
            <w:r>
              <w:rPr>
                <w:rFonts w:hint="eastAsia" w:asciiTheme="minorEastAsia" w:hAnsiTheme="minorEastAsia" w:eastAsiaTheme="minorEastAsia" w:cstheme="minorEastAsia"/>
                <w:sz w:val="24"/>
                <w:szCs w:val="24"/>
                <w:highlight w:val="none"/>
                <w:lang w:val="en-US" w:bidi="ar-SA"/>
              </w:rPr>
              <w:t>提供的实施方案进行综合评价，主要对</w:t>
            </w:r>
            <w:r>
              <w:rPr>
                <w:rFonts w:hint="eastAsia" w:asciiTheme="minorEastAsia" w:hAnsiTheme="minorEastAsia" w:eastAsiaTheme="minorEastAsia" w:cstheme="minorEastAsia"/>
                <w:sz w:val="24"/>
                <w:szCs w:val="24"/>
                <w:highlight w:val="none"/>
                <w:lang w:val="en-US" w:eastAsia="zh-CN" w:bidi="ar-SA"/>
              </w:rPr>
              <w:t>供应商</w:t>
            </w:r>
            <w:r>
              <w:rPr>
                <w:rFonts w:hint="eastAsia" w:asciiTheme="minorEastAsia" w:hAnsiTheme="minorEastAsia" w:eastAsiaTheme="minorEastAsia" w:cstheme="minorEastAsia"/>
                <w:sz w:val="24"/>
                <w:szCs w:val="24"/>
                <w:highlight w:val="none"/>
                <w:lang w:val="en-US" w:bidi="ar-SA"/>
              </w:rPr>
              <w:t>提供的实施方案包括但不限于项目实施组织、实施各阶段计划安排、质量保证措施、进度保证措施、安全保密</w:t>
            </w:r>
            <w:r>
              <w:rPr>
                <w:rFonts w:hint="eastAsia" w:asciiTheme="minorEastAsia" w:hAnsiTheme="minorEastAsia" w:eastAsiaTheme="minorEastAsia" w:cstheme="minorEastAsia"/>
                <w:sz w:val="24"/>
                <w:szCs w:val="24"/>
                <w:highlight w:val="none"/>
                <w:lang w:val="en-US" w:eastAsia="zh-CN" w:bidi="ar-SA"/>
              </w:rPr>
              <w:t>等方面</w:t>
            </w:r>
            <w:r>
              <w:rPr>
                <w:rFonts w:hint="eastAsia" w:asciiTheme="minorEastAsia" w:hAnsiTheme="minorEastAsia" w:eastAsiaTheme="minorEastAsia" w:cstheme="minorEastAsia"/>
                <w:sz w:val="24"/>
                <w:szCs w:val="24"/>
                <w:highlight w:val="none"/>
                <w:lang w:val="en-US" w:bidi="ar-SA"/>
              </w:rPr>
              <w:t>的合理性、科学性进行综合评价。</w:t>
            </w:r>
          </w:p>
          <w:p w14:paraId="12DDF867">
            <w:pPr>
              <w:pStyle w:val="27"/>
              <w:keepNext w:val="0"/>
              <w:keepLines w:val="0"/>
              <w:pageBreakBefore w:val="0"/>
              <w:kinsoku/>
              <w:wordWrap/>
              <w:overflowPunct/>
              <w:topLinePunct w:val="0"/>
              <w:bidi w:val="0"/>
              <w:adjustRightInd/>
              <w:snapToGrid/>
              <w:spacing w:line="240" w:lineRule="auto"/>
              <w:ind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一档（0分）没有提供；</w:t>
            </w:r>
          </w:p>
          <w:p w14:paraId="131ADA88">
            <w:pPr>
              <w:pStyle w:val="27"/>
              <w:keepNext w:val="0"/>
              <w:keepLines w:val="0"/>
              <w:pageBreakBefore w:val="0"/>
              <w:kinsoku/>
              <w:wordWrap/>
              <w:overflowPunct/>
              <w:topLinePunct w:val="0"/>
              <w:bidi w:val="0"/>
              <w:adjustRightInd/>
              <w:snapToGrid/>
              <w:spacing w:line="240" w:lineRule="auto"/>
              <w:ind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二档（</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分）项目实施方案描述较简单，项目实施的技术力量、实施内容仅基本满足项目要求，针对性一般的；</w:t>
            </w:r>
          </w:p>
          <w:p w14:paraId="7AC4274A">
            <w:pPr>
              <w:pStyle w:val="27"/>
              <w:keepNext w:val="0"/>
              <w:keepLines w:val="0"/>
              <w:pageBreakBefore w:val="0"/>
              <w:kinsoku/>
              <w:wordWrap/>
              <w:overflowPunct/>
              <w:topLinePunct w:val="0"/>
              <w:bidi w:val="0"/>
              <w:adjustRightInd/>
              <w:snapToGrid/>
              <w:spacing w:line="240" w:lineRule="auto"/>
              <w:ind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二档（</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分）项目实施方案中具有详细、合理的服务流程；拟投入本项目的人员配备全面，并调试运行及出现问题解决方案，合理验收方案、培训计划等，内容具有合理性、可行性</w:t>
            </w:r>
          </w:p>
          <w:p w14:paraId="64B58B81">
            <w:pPr>
              <w:pStyle w:val="27"/>
              <w:keepNext w:val="0"/>
              <w:keepLines w:val="0"/>
              <w:pageBreakBefore w:val="0"/>
              <w:kinsoku/>
              <w:wordWrap/>
              <w:overflowPunct/>
              <w:topLinePunct w:val="0"/>
              <w:bidi w:val="0"/>
              <w:adjustRightInd/>
              <w:snapToGrid/>
              <w:spacing w:line="240" w:lineRule="auto"/>
              <w:ind w:firstLine="0" w:firstLineChars="0"/>
              <w:textAlignment w:val="auto"/>
              <w:rPr>
                <w:rFonts w:hint="eastAsia" w:asciiTheme="minorEastAsia" w:hAnsiTheme="minorEastAsia" w:eastAsiaTheme="minorEastAsia" w:cstheme="minorEastAsia"/>
                <w:sz w:val="24"/>
                <w:szCs w:val="24"/>
                <w:highlight w:val="none"/>
                <w:lang w:val="en-US" w:bidi="ar-SA"/>
              </w:rPr>
            </w:pPr>
            <w:r>
              <w:rPr>
                <w:rFonts w:hint="eastAsia" w:asciiTheme="minorEastAsia" w:hAnsiTheme="minorEastAsia" w:eastAsiaTheme="minorEastAsia" w:cstheme="minorEastAsia"/>
                <w:sz w:val="24"/>
                <w:szCs w:val="24"/>
                <w:highlight w:val="none"/>
              </w:rPr>
              <w:t>四档（</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分）项目实施方案中具有详细、完善、合理的服务流程；拟投入本项目的人员配备全面，并调试运行及出现问题解决方案，合理验收方案、培训计划和具体内容等</w:t>
            </w:r>
            <w:r>
              <w:rPr>
                <w:rFonts w:hint="eastAsia" w:asciiTheme="minorEastAsia" w:hAnsiTheme="minorEastAsia" w:eastAsiaTheme="minorEastAsia" w:cstheme="minorEastAsia"/>
                <w:sz w:val="24"/>
                <w:szCs w:val="24"/>
                <w:highlight w:val="none"/>
                <w:lang w:eastAsia="zh-CN"/>
              </w:rPr>
              <w:t>。</w:t>
            </w:r>
          </w:p>
        </w:tc>
        <w:tc>
          <w:tcPr>
            <w:tcW w:w="418" w:type="pct"/>
            <w:vAlign w:val="center"/>
          </w:tcPr>
          <w:p w14:paraId="1AB3A5AA">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r>
      <w:tr w14:paraId="68BB4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restart"/>
            <w:vAlign w:val="center"/>
          </w:tcPr>
          <w:p w14:paraId="0D5D07FF">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w:t>
            </w:r>
          </w:p>
        </w:tc>
        <w:tc>
          <w:tcPr>
            <w:tcW w:w="636" w:type="pct"/>
            <w:vMerge w:val="restart"/>
            <w:vAlign w:val="center"/>
          </w:tcPr>
          <w:p w14:paraId="5D9E7FE9">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服务实力</w:t>
            </w:r>
          </w:p>
        </w:tc>
        <w:tc>
          <w:tcPr>
            <w:tcW w:w="3675" w:type="pct"/>
          </w:tcPr>
          <w:p w14:paraId="654BD2F3">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0" w:firstLineChars="0"/>
              <w:jc w:val="left"/>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供应商提供的项目团队中，项目经理具备高级信息系统项目管理师证书、高级软件工程师、系统分析师的，每具备一项得1分，满分3分。（需提供相关资质证书扫描件及相应人员近6个月内任意1个月社保证明材料，并加盖公章，否则不得分）。</w:t>
            </w:r>
          </w:p>
        </w:tc>
        <w:tc>
          <w:tcPr>
            <w:tcW w:w="418" w:type="pct"/>
            <w:vAlign w:val="center"/>
          </w:tcPr>
          <w:p w14:paraId="6935DDA9">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r>
      <w:tr w14:paraId="414A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vAlign w:val="center"/>
          </w:tcPr>
          <w:p w14:paraId="5829EABA">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4"/>
                <w:szCs w:val="24"/>
                <w:highlight w:val="none"/>
              </w:rPr>
            </w:pPr>
          </w:p>
        </w:tc>
        <w:tc>
          <w:tcPr>
            <w:tcW w:w="636" w:type="pct"/>
            <w:vMerge w:val="continue"/>
            <w:vAlign w:val="center"/>
          </w:tcPr>
          <w:p w14:paraId="495906A7">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textAlignment w:val="auto"/>
              <w:rPr>
                <w:rFonts w:hint="eastAsia" w:asciiTheme="minorEastAsia" w:hAnsiTheme="minorEastAsia" w:eastAsiaTheme="minorEastAsia" w:cstheme="minorEastAsia"/>
                <w:sz w:val="24"/>
                <w:szCs w:val="24"/>
                <w:highlight w:val="none"/>
              </w:rPr>
            </w:pPr>
          </w:p>
        </w:tc>
        <w:tc>
          <w:tcPr>
            <w:tcW w:w="3675" w:type="pct"/>
          </w:tcPr>
          <w:p w14:paraId="1B3AF8CF">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项目团队具备系统架构设计师或软件测试工程师或中级及以上软件设计师证书，每具备一项得1分，满分3分。一人同时具有两个或者两个以上证书的，按1项计算。</w:t>
            </w:r>
          </w:p>
          <w:p w14:paraId="04EFA49E">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eastAsia="zh-CN" w:bidi="ar-SA"/>
              </w:rPr>
              <w:t>（报价文件中需提供相关资质证书扫描件及响应人员近6个月内任意1个月社保证明材料，并加盖公章，否则不得分）。</w:t>
            </w:r>
          </w:p>
        </w:tc>
        <w:tc>
          <w:tcPr>
            <w:tcW w:w="418" w:type="pct"/>
            <w:vAlign w:val="center"/>
          </w:tcPr>
          <w:p w14:paraId="5A22EB0F">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r>
      <w:tr w14:paraId="1FAF9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vAlign w:val="center"/>
          </w:tcPr>
          <w:p w14:paraId="4479E68E">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4"/>
                <w:szCs w:val="24"/>
                <w:highlight w:val="none"/>
              </w:rPr>
            </w:pPr>
          </w:p>
        </w:tc>
        <w:tc>
          <w:tcPr>
            <w:tcW w:w="636" w:type="pct"/>
            <w:vMerge w:val="continue"/>
            <w:vAlign w:val="center"/>
          </w:tcPr>
          <w:p w14:paraId="1A1634AD">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textAlignment w:val="auto"/>
              <w:rPr>
                <w:rFonts w:hint="default" w:asciiTheme="minorEastAsia" w:hAnsiTheme="minorEastAsia" w:eastAsiaTheme="minorEastAsia" w:cstheme="minorEastAsia"/>
                <w:sz w:val="24"/>
                <w:szCs w:val="24"/>
                <w:highlight w:val="none"/>
                <w:lang w:val="en-US" w:eastAsia="zh-CN"/>
              </w:rPr>
            </w:pPr>
          </w:p>
        </w:tc>
        <w:tc>
          <w:tcPr>
            <w:tcW w:w="3675" w:type="pct"/>
          </w:tcPr>
          <w:p w14:paraId="4844810F">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供应商2022年以来服务过的业主单位出具的售后服务满意度证明材料，达到满意以上的每提供一份证明材料得1分，满分4分。</w:t>
            </w:r>
          </w:p>
        </w:tc>
        <w:tc>
          <w:tcPr>
            <w:tcW w:w="418" w:type="pct"/>
            <w:vAlign w:val="center"/>
          </w:tcPr>
          <w:p w14:paraId="5B678B2A">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w:t>
            </w:r>
          </w:p>
        </w:tc>
      </w:tr>
      <w:tr w14:paraId="2857D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Align w:val="center"/>
          </w:tcPr>
          <w:p w14:paraId="32A52C88">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6</w:t>
            </w:r>
          </w:p>
        </w:tc>
        <w:tc>
          <w:tcPr>
            <w:tcW w:w="636" w:type="pct"/>
            <w:vAlign w:val="center"/>
          </w:tcPr>
          <w:p w14:paraId="284B4952">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售后服务方案</w:t>
            </w:r>
          </w:p>
        </w:tc>
        <w:tc>
          <w:tcPr>
            <w:tcW w:w="3675" w:type="pct"/>
            <w:vAlign w:val="center"/>
          </w:tcPr>
          <w:p w14:paraId="567AFAFC">
            <w:pPr>
              <w:pStyle w:val="27"/>
              <w:keepNext w:val="0"/>
              <w:keepLines w:val="0"/>
              <w:pageBreakBefore w:val="0"/>
              <w:kinsoku/>
              <w:wordWrap/>
              <w:overflowPunct/>
              <w:topLinePunct w:val="0"/>
              <w:bidi w:val="0"/>
              <w:adjustRightInd/>
              <w:snapToGrid/>
              <w:spacing w:line="240" w:lineRule="auto"/>
              <w:ind w:firstLine="0" w:firstLineChars="0"/>
              <w:textAlignment w:val="auto"/>
              <w:rPr>
                <w:rFonts w:hint="eastAsia" w:asciiTheme="minorEastAsia" w:hAnsiTheme="minorEastAsia" w:eastAsiaTheme="minorEastAsia" w:cstheme="minorEastAsia"/>
                <w:sz w:val="24"/>
                <w:szCs w:val="24"/>
                <w:highlight w:val="none"/>
                <w:lang w:val="en-US" w:bidi="ar-SA"/>
              </w:rPr>
            </w:pPr>
            <w:r>
              <w:rPr>
                <w:rFonts w:hint="eastAsia" w:asciiTheme="minorEastAsia" w:hAnsiTheme="minorEastAsia" w:eastAsiaTheme="minorEastAsia" w:cstheme="minorEastAsia"/>
                <w:sz w:val="24"/>
                <w:szCs w:val="24"/>
                <w:highlight w:val="none"/>
                <w:lang w:val="en-US" w:bidi="ar-SA"/>
              </w:rPr>
              <w:t>根据供应商提供的售后服务方案进行综合评价，主要对供应商在售后服务响应时间及服务承诺、服务内容以及后续技术支持等方面内容进行综合评定并独立打分，未提供不得分。</w:t>
            </w:r>
          </w:p>
          <w:p w14:paraId="79ACCB62">
            <w:pPr>
              <w:pStyle w:val="27"/>
              <w:keepNext w:val="0"/>
              <w:keepLines w:val="0"/>
              <w:pageBreakBefore w:val="0"/>
              <w:kinsoku/>
              <w:wordWrap/>
              <w:overflowPunct/>
              <w:topLinePunct w:val="0"/>
              <w:bidi w:val="0"/>
              <w:adjustRightInd/>
              <w:snapToGrid/>
              <w:spacing w:line="240" w:lineRule="auto"/>
              <w:ind w:firstLine="0" w:firstLineChars="0"/>
              <w:textAlignment w:val="auto"/>
              <w:rPr>
                <w:rFonts w:hint="eastAsia" w:asciiTheme="minorEastAsia" w:hAnsiTheme="minorEastAsia" w:eastAsiaTheme="minorEastAsia" w:cstheme="minorEastAsia"/>
                <w:sz w:val="24"/>
                <w:szCs w:val="24"/>
                <w:highlight w:val="none"/>
                <w:lang w:val="en-US" w:bidi="ar-SA"/>
              </w:rPr>
            </w:pPr>
            <w:r>
              <w:rPr>
                <w:rFonts w:hint="eastAsia" w:asciiTheme="minorEastAsia" w:hAnsiTheme="minorEastAsia" w:eastAsiaTheme="minorEastAsia" w:cstheme="minorEastAsia"/>
                <w:sz w:val="24"/>
                <w:szCs w:val="24"/>
                <w:highlight w:val="none"/>
                <w:lang w:val="en-US" w:bidi="ar-SA"/>
              </w:rPr>
              <w:t>一档（0分）没有提供；</w:t>
            </w:r>
          </w:p>
          <w:p w14:paraId="2745746A">
            <w:pPr>
              <w:pStyle w:val="27"/>
              <w:keepNext w:val="0"/>
              <w:keepLines w:val="0"/>
              <w:pageBreakBefore w:val="0"/>
              <w:kinsoku/>
              <w:wordWrap/>
              <w:overflowPunct/>
              <w:topLinePunct w:val="0"/>
              <w:bidi w:val="0"/>
              <w:adjustRightInd/>
              <w:snapToGrid/>
              <w:spacing w:line="240" w:lineRule="auto"/>
              <w:ind w:firstLine="0" w:firstLineChars="0"/>
              <w:textAlignment w:val="auto"/>
              <w:rPr>
                <w:rFonts w:hint="eastAsia" w:asciiTheme="minorEastAsia" w:hAnsiTheme="minorEastAsia" w:eastAsiaTheme="minorEastAsia" w:cstheme="minorEastAsia"/>
                <w:sz w:val="24"/>
                <w:szCs w:val="24"/>
                <w:highlight w:val="none"/>
                <w:lang w:val="en-US" w:bidi="ar-SA"/>
              </w:rPr>
            </w:pPr>
            <w:r>
              <w:rPr>
                <w:rFonts w:hint="eastAsia" w:asciiTheme="minorEastAsia" w:hAnsiTheme="minorEastAsia" w:eastAsiaTheme="minorEastAsia" w:cstheme="minorEastAsia"/>
                <w:sz w:val="24"/>
                <w:szCs w:val="24"/>
                <w:highlight w:val="none"/>
                <w:lang w:val="en-US" w:bidi="ar-SA"/>
              </w:rPr>
              <w:t>二档（</w:t>
            </w:r>
            <w:r>
              <w:rPr>
                <w:rFonts w:hint="eastAsia" w:asciiTheme="minorEastAsia" w:hAnsiTheme="minorEastAsia" w:eastAsiaTheme="minorEastAsia" w:cstheme="minorEastAsia"/>
                <w:sz w:val="24"/>
                <w:szCs w:val="24"/>
                <w:highlight w:val="none"/>
                <w:lang w:val="en-US" w:eastAsia="zh-CN" w:bidi="ar-SA"/>
              </w:rPr>
              <w:t>1</w:t>
            </w:r>
            <w:r>
              <w:rPr>
                <w:rFonts w:hint="eastAsia" w:asciiTheme="minorEastAsia" w:hAnsiTheme="minorEastAsia" w:eastAsiaTheme="minorEastAsia" w:cstheme="minorEastAsia"/>
                <w:sz w:val="24"/>
                <w:szCs w:val="24"/>
                <w:highlight w:val="none"/>
                <w:lang w:val="en-US" w:bidi="ar-SA"/>
              </w:rPr>
              <w:t>分）项目售后方案描述较简单，项目维保的技术力量、服务内容仅基本满足项目要求，针对性不强的；</w:t>
            </w:r>
          </w:p>
          <w:p w14:paraId="4B0327CF">
            <w:pPr>
              <w:pStyle w:val="27"/>
              <w:keepNext w:val="0"/>
              <w:keepLines w:val="0"/>
              <w:pageBreakBefore w:val="0"/>
              <w:kinsoku/>
              <w:wordWrap/>
              <w:overflowPunct/>
              <w:topLinePunct w:val="0"/>
              <w:bidi w:val="0"/>
              <w:adjustRightInd/>
              <w:snapToGrid/>
              <w:spacing w:line="240" w:lineRule="auto"/>
              <w:ind w:firstLine="0" w:firstLineChars="0"/>
              <w:textAlignment w:val="auto"/>
              <w:rPr>
                <w:rFonts w:hint="eastAsia" w:asciiTheme="minorEastAsia" w:hAnsiTheme="minorEastAsia" w:eastAsiaTheme="minorEastAsia" w:cstheme="minorEastAsia"/>
                <w:sz w:val="24"/>
                <w:szCs w:val="24"/>
                <w:highlight w:val="none"/>
                <w:lang w:val="en-US" w:bidi="ar-SA"/>
              </w:rPr>
            </w:pPr>
            <w:r>
              <w:rPr>
                <w:rFonts w:hint="eastAsia" w:asciiTheme="minorEastAsia" w:hAnsiTheme="minorEastAsia" w:eastAsiaTheme="minorEastAsia" w:cstheme="minorEastAsia"/>
                <w:sz w:val="24"/>
                <w:szCs w:val="24"/>
                <w:highlight w:val="none"/>
                <w:lang w:val="en-US" w:bidi="ar-SA"/>
              </w:rPr>
              <w:t>三档（</w:t>
            </w:r>
            <w:r>
              <w:rPr>
                <w:rFonts w:hint="eastAsia" w:asciiTheme="minorEastAsia" w:hAnsiTheme="minorEastAsia" w:eastAsiaTheme="minorEastAsia" w:cstheme="minorEastAsia"/>
                <w:sz w:val="24"/>
                <w:szCs w:val="24"/>
                <w:highlight w:val="none"/>
                <w:lang w:val="en-US" w:eastAsia="zh-CN" w:bidi="ar-SA"/>
              </w:rPr>
              <w:t>2</w:t>
            </w:r>
            <w:r>
              <w:rPr>
                <w:rFonts w:hint="eastAsia" w:asciiTheme="minorEastAsia" w:hAnsiTheme="minorEastAsia" w:eastAsiaTheme="minorEastAsia" w:cstheme="minorEastAsia"/>
                <w:sz w:val="24"/>
                <w:szCs w:val="24"/>
                <w:highlight w:val="none"/>
                <w:lang w:val="en-US" w:bidi="ar-SA"/>
              </w:rPr>
              <w:t>分）项目售后方案描述</w:t>
            </w:r>
            <w:r>
              <w:rPr>
                <w:rFonts w:hint="eastAsia" w:asciiTheme="minorEastAsia" w:hAnsiTheme="minorEastAsia" w:eastAsiaTheme="minorEastAsia" w:cstheme="minorEastAsia"/>
                <w:sz w:val="24"/>
                <w:szCs w:val="24"/>
                <w:highlight w:val="none"/>
                <w:lang w:val="en-US" w:eastAsia="zh-CN" w:bidi="ar-SA"/>
              </w:rPr>
              <w:t>基本</w:t>
            </w:r>
            <w:r>
              <w:rPr>
                <w:rFonts w:hint="eastAsia" w:asciiTheme="minorEastAsia" w:hAnsiTheme="minorEastAsia" w:eastAsiaTheme="minorEastAsia" w:cstheme="minorEastAsia"/>
                <w:sz w:val="24"/>
                <w:szCs w:val="24"/>
                <w:highlight w:val="none"/>
                <w:lang w:val="en-US" w:bidi="ar-SA"/>
              </w:rPr>
              <w:t>完整、表述清晰，具有</w:t>
            </w:r>
            <w:r>
              <w:rPr>
                <w:rFonts w:hint="eastAsia" w:asciiTheme="minorEastAsia" w:hAnsiTheme="minorEastAsia" w:eastAsiaTheme="minorEastAsia" w:cstheme="minorEastAsia"/>
                <w:sz w:val="24"/>
                <w:szCs w:val="24"/>
                <w:highlight w:val="none"/>
                <w:lang w:val="en-US" w:eastAsia="zh-CN" w:bidi="ar-SA"/>
              </w:rPr>
              <w:t>基本的</w:t>
            </w:r>
            <w:r>
              <w:rPr>
                <w:rFonts w:hint="eastAsia" w:asciiTheme="minorEastAsia" w:hAnsiTheme="minorEastAsia" w:eastAsiaTheme="minorEastAsia" w:cstheme="minorEastAsia"/>
                <w:sz w:val="24"/>
                <w:szCs w:val="24"/>
                <w:highlight w:val="none"/>
                <w:lang w:val="en-US" w:bidi="ar-SA"/>
              </w:rPr>
              <w:t>针对性、合理性、可行性；项目维保的技术力量</w:t>
            </w:r>
            <w:r>
              <w:rPr>
                <w:rFonts w:hint="eastAsia" w:asciiTheme="minorEastAsia" w:hAnsiTheme="minorEastAsia" w:eastAsiaTheme="minorEastAsia" w:cstheme="minorEastAsia"/>
                <w:sz w:val="24"/>
                <w:szCs w:val="24"/>
                <w:highlight w:val="none"/>
                <w:lang w:val="en-US" w:eastAsia="zh-CN" w:bidi="ar-SA"/>
              </w:rPr>
              <w:t>基本</w:t>
            </w:r>
            <w:r>
              <w:rPr>
                <w:rFonts w:hint="eastAsia" w:asciiTheme="minorEastAsia" w:hAnsiTheme="minorEastAsia" w:eastAsiaTheme="minorEastAsia" w:cstheme="minorEastAsia"/>
                <w:sz w:val="24"/>
                <w:szCs w:val="24"/>
                <w:highlight w:val="none"/>
                <w:lang w:val="en-US" w:bidi="ar-SA"/>
              </w:rPr>
              <w:t>满足本项目实施要求；</w:t>
            </w:r>
          </w:p>
          <w:p w14:paraId="4C76DA3E">
            <w:pPr>
              <w:pStyle w:val="27"/>
              <w:keepNext w:val="0"/>
              <w:keepLines w:val="0"/>
              <w:pageBreakBefore w:val="0"/>
              <w:kinsoku/>
              <w:wordWrap/>
              <w:overflowPunct/>
              <w:topLinePunct w:val="0"/>
              <w:bidi w:val="0"/>
              <w:adjustRightInd/>
              <w:snapToGrid/>
              <w:spacing w:line="240" w:lineRule="auto"/>
              <w:ind w:firstLine="0" w:firstLineChars="0"/>
              <w:textAlignment w:val="auto"/>
              <w:rPr>
                <w:rFonts w:hint="eastAsia" w:asciiTheme="minorEastAsia" w:hAnsiTheme="minorEastAsia" w:eastAsiaTheme="minorEastAsia" w:cstheme="minorEastAsia"/>
                <w:sz w:val="24"/>
                <w:szCs w:val="24"/>
                <w:highlight w:val="none"/>
                <w:lang w:val="en-US" w:bidi="ar-SA"/>
              </w:rPr>
            </w:pPr>
            <w:r>
              <w:rPr>
                <w:rFonts w:hint="eastAsia" w:asciiTheme="minorEastAsia" w:hAnsiTheme="minorEastAsia" w:eastAsiaTheme="minorEastAsia" w:cstheme="minorEastAsia"/>
                <w:sz w:val="24"/>
                <w:szCs w:val="24"/>
                <w:highlight w:val="none"/>
                <w:lang w:val="en-US" w:bidi="ar-SA"/>
              </w:rPr>
              <w:t>四档（</w:t>
            </w:r>
            <w:r>
              <w:rPr>
                <w:rFonts w:hint="eastAsia" w:asciiTheme="minorEastAsia" w:hAnsiTheme="minorEastAsia" w:eastAsiaTheme="minorEastAsia" w:cstheme="minorEastAsia"/>
                <w:sz w:val="24"/>
                <w:szCs w:val="24"/>
                <w:highlight w:val="none"/>
                <w:lang w:val="en-US" w:eastAsia="zh-CN" w:bidi="ar-SA"/>
              </w:rPr>
              <w:t>3</w:t>
            </w:r>
            <w:r>
              <w:rPr>
                <w:rFonts w:hint="eastAsia" w:asciiTheme="minorEastAsia" w:hAnsiTheme="minorEastAsia" w:eastAsiaTheme="minorEastAsia" w:cstheme="minorEastAsia"/>
                <w:sz w:val="24"/>
                <w:szCs w:val="24"/>
                <w:highlight w:val="none"/>
                <w:lang w:val="en-US" w:bidi="ar-SA"/>
              </w:rPr>
              <w:t>分）项目售后方案描述全面详细、表述清晰，具有</w:t>
            </w:r>
            <w:r>
              <w:rPr>
                <w:rFonts w:hint="eastAsia" w:asciiTheme="minorEastAsia" w:hAnsiTheme="minorEastAsia" w:eastAsiaTheme="minorEastAsia" w:cstheme="minorEastAsia"/>
                <w:sz w:val="24"/>
                <w:szCs w:val="24"/>
                <w:highlight w:val="none"/>
                <w:lang w:val="en-US" w:eastAsia="zh-CN" w:bidi="ar-SA"/>
              </w:rPr>
              <w:t>较强的</w:t>
            </w:r>
            <w:r>
              <w:rPr>
                <w:rFonts w:hint="eastAsia" w:asciiTheme="minorEastAsia" w:hAnsiTheme="minorEastAsia" w:eastAsiaTheme="minorEastAsia" w:cstheme="minorEastAsia"/>
                <w:sz w:val="24"/>
                <w:szCs w:val="24"/>
                <w:highlight w:val="none"/>
                <w:lang w:val="en-US" w:bidi="ar-SA"/>
              </w:rPr>
              <w:t>针对性、合理性、可行性、实施性；项目维保的技术力量安排得当、严谨、满足本项目实施要求，并有详细说明</w:t>
            </w:r>
            <w:r>
              <w:rPr>
                <w:rFonts w:hint="eastAsia" w:asciiTheme="minorEastAsia" w:hAnsiTheme="minorEastAsia" w:eastAsiaTheme="minorEastAsia" w:cstheme="minorEastAsia"/>
                <w:sz w:val="24"/>
                <w:szCs w:val="24"/>
                <w:highlight w:val="none"/>
              </w:rPr>
              <w:t>。</w:t>
            </w:r>
          </w:p>
        </w:tc>
        <w:tc>
          <w:tcPr>
            <w:tcW w:w="418" w:type="pct"/>
            <w:vAlign w:val="center"/>
          </w:tcPr>
          <w:p w14:paraId="42BA02C9">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r>
      <w:tr w14:paraId="7A856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Align w:val="center"/>
          </w:tcPr>
          <w:p w14:paraId="39CB524B">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w:t>
            </w:r>
          </w:p>
        </w:tc>
        <w:tc>
          <w:tcPr>
            <w:tcW w:w="636" w:type="pct"/>
            <w:vAlign w:val="center"/>
          </w:tcPr>
          <w:p w14:paraId="77963850">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培训方案</w:t>
            </w:r>
          </w:p>
        </w:tc>
        <w:tc>
          <w:tcPr>
            <w:tcW w:w="3675" w:type="pct"/>
            <w:vAlign w:val="center"/>
          </w:tcPr>
          <w:p w14:paraId="159A50AC">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w:t>
            </w:r>
            <w:r>
              <w:rPr>
                <w:rFonts w:hint="eastAsia" w:asciiTheme="minorEastAsia" w:hAnsiTheme="minorEastAsia" w:eastAsiaTheme="minorEastAsia" w:cstheme="minorEastAsia"/>
                <w:sz w:val="24"/>
                <w:szCs w:val="24"/>
                <w:highlight w:val="none"/>
                <w:lang w:val="en-US" w:eastAsia="zh-CN"/>
              </w:rPr>
              <w:t>供应商提供</w:t>
            </w:r>
            <w:r>
              <w:rPr>
                <w:rFonts w:hint="eastAsia" w:asciiTheme="minorEastAsia" w:hAnsiTheme="minorEastAsia" w:eastAsiaTheme="minorEastAsia" w:cstheme="minorEastAsia"/>
                <w:sz w:val="24"/>
                <w:szCs w:val="24"/>
                <w:highlight w:val="none"/>
              </w:rPr>
              <w:t>对本项目培训方案进行评</w:t>
            </w:r>
            <w:r>
              <w:rPr>
                <w:rFonts w:hint="eastAsia" w:asciiTheme="minorEastAsia" w:hAnsiTheme="minorEastAsia" w:eastAsiaTheme="minorEastAsia" w:cstheme="minorEastAsia"/>
                <w:sz w:val="24"/>
                <w:szCs w:val="24"/>
                <w:highlight w:val="none"/>
                <w:lang w:val="en-US" w:eastAsia="zh-CN"/>
              </w:rPr>
              <w:t>审</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应包括培训目标、培训方式、培训内容等</w:t>
            </w:r>
            <w:r>
              <w:rPr>
                <w:rFonts w:hint="eastAsia" w:asciiTheme="minorEastAsia" w:hAnsiTheme="minorEastAsia" w:eastAsiaTheme="minorEastAsia" w:cstheme="minorEastAsia"/>
                <w:sz w:val="24"/>
                <w:szCs w:val="24"/>
                <w:highlight w:val="none"/>
              </w:rPr>
              <w:t>。</w:t>
            </w:r>
          </w:p>
          <w:p w14:paraId="7B4BB298">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一档（0分）没有提供；</w:t>
            </w:r>
          </w:p>
          <w:p w14:paraId="66DDBE9F">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二档（</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分）方案不够完善、详细；</w:t>
            </w:r>
          </w:p>
          <w:p w14:paraId="6D365E76">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三档（</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分）方案较完善、</w:t>
            </w:r>
            <w:r>
              <w:rPr>
                <w:rFonts w:hint="eastAsia" w:asciiTheme="minorEastAsia" w:hAnsiTheme="minorEastAsia" w:eastAsiaTheme="minorEastAsia" w:cstheme="minorEastAsia"/>
                <w:sz w:val="24"/>
                <w:szCs w:val="24"/>
                <w:highlight w:val="none"/>
                <w:lang w:val="en-US" w:eastAsia="zh-CN"/>
              </w:rPr>
              <w:t>较</w:t>
            </w:r>
            <w:r>
              <w:rPr>
                <w:rFonts w:hint="eastAsia" w:asciiTheme="minorEastAsia" w:hAnsiTheme="minorEastAsia" w:eastAsiaTheme="minorEastAsia" w:cstheme="minorEastAsia"/>
                <w:sz w:val="24"/>
                <w:szCs w:val="24"/>
                <w:highlight w:val="none"/>
              </w:rPr>
              <w:t>详细；</w:t>
            </w:r>
          </w:p>
          <w:p w14:paraId="5902B710">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四档（</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分）方案完善、详细。</w:t>
            </w:r>
          </w:p>
        </w:tc>
        <w:tc>
          <w:tcPr>
            <w:tcW w:w="418" w:type="pct"/>
            <w:vAlign w:val="center"/>
          </w:tcPr>
          <w:p w14:paraId="7B8A292F">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r>
      <w:tr w14:paraId="58A6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581" w:type="pct"/>
            <w:gridSpan w:val="3"/>
            <w:vAlign w:val="center"/>
          </w:tcPr>
          <w:p w14:paraId="52741013">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总分</w:t>
            </w:r>
          </w:p>
        </w:tc>
        <w:tc>
          <w:tcPr>
            <w:tcW w:w="418" w:type="pct"/>
            <w:vAlign w:val="center"/>
          </w:tcPr>
          <w:p w14:paraId="6C4458A0">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w:t>
            </w:r>
          </w:p>
        </w:tc>
      </w:tr>
    </w:tbl>
    <w:p w14:paraId="7E543DCF">
      <w:pPr>
        <w:rPr>
          <w:rFonts w:hint="eastAsia" w:ascii="宋体" w:hAnsi="宋体" w:eastAsia="宋体" w:cs="宋体"/>
          <w:b/>
          <w:bCs/>
          <w:i w:val="0"/>
          <w:iCs w:val="0"/>
          <w:caps w:val="0"/>
          <w:color w:val="000000"/>
          <w:spacing w:val="0"/>
          <w:sz w:val="32"/>
          <w:szCs w:val="32"/>
        </w:rPr>
      </w:pPr>
      <w:r>
        <w:rPr>
          <w:rFonts w:hint="eastAsia" w:ascii="宋体" w:hAnsi="宋体" w:eastAsia="宋体" w:cs="宋体"/>
          <w:b/>
          <w:bCs/>
          <w:i w:val="0"/>
          <w:iCs w:val="0"/>
          <w:caps w:val="0"/>
          <w:color w:val="000000"/>
          <w:spacing w:val="0"/>
          <w:sz w:val="32"/>
          <w:szCs w:val="32"/>
        </w:rPr>
        <w:br w:type="page"/>
      </w:r>
    </w:p>
    <w:p w14:paraId="3E6708A6">
      <w:pPr>
        <w:jc w:val="center"/>
        <w:rPr>
          <w:rFonts w:hint="default" w:ascii="宋体" w:hAnsi="宋体" w:eastAsia="宋体" w:cs="宋体"/>
          <w:b/>
          <w:sz w:val="32"/>
          <w:lang w:val="en-US" w:eastAsia="zh-CN"/>
        </w:rPr>
      </w:pPr>
      <w:r>
        <w:rPr>
          <w:rFonts w:hint="eastAsia" w:ascii="宋体" w:hAnsi="宋体" w:cs="宋体"/>
          <w:b/>
          <w:sz w:val="32"/>
          <w:lang w:val="en-US" w:eastAsia="zh-CN"/>
        </w:rPr>
        <w:t>第四章  报价文件格式</w:t>
      </w:r>
    </w:p>
    <w:p w14:paraId="44F69020">
      <w:pPr>
        <w:jc w:val="center"/>
        <w:rPr>
          <w:rFonts w:ascii="宋体" w:hAnsi="宋体" w:eastAsia="宋体" w:cs="宋体"/>
          <w:b/>
          <w:sz w:val="32"/>
        </w:rPr>
      </w:pPr>
      <w:r>
        <w:rPr>
          <w:rFonts w:hint="eastAsia" w:ascii="宋体" w:hAnsi="宋体" w:eastAsia="宋体" w:cs="宋体"/>
          <w:b/>
          <w:sz w:val="30"/>
          <w:szCs w:val="30"/>
        </w:rPr>
        <w:t>响 应 函 （格式）</w:t>
      </w:r>
    </w:p>
    <w:p w14:paraId="6ED3E98F">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：桂林市人民医院   </w:t>
      </w:r>
    </w:p>
    <w:p w14:paraId="1FF29C86">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ascii="宋体" w:hAnsi="宋体" w:eastAsia="宋体" w:cs="宋体"/>
          <w:sz w:val="24"/>
          <w:szCs w:val="24"/>
        </w:rPr>
      </w:pPr>
      <w:r>
        <w:rPr>
          <w:rFonts w:hint="eastAsia" w:ascii="宋体" w:hAnsi="宋体" w:eastAsia="宋体" w:cs="宋体"/>
          <w:sz w:val="24"/>
          <w:szCs w:val="24"/>
        </w:rPr>
        <w:t>根据贵方项目，项目</w:t>
      </w:r>
      <w:r>
        <w:rPr>
          <w:rFonts w:hint="eastAsia" w:ascii="宋体" w:hAnsi="宋体" w:cs="宋体"/>
          <w:sz w:val="24"/>
          <w:szCs w:val="24"/>
          <w:lang w:val="en-US" w:eastAsia="zh-CN"/>
        </w:rPr>
        <w:t>名称（</w:t>
      </w:r>
      <w:r>
        <w:rPr>
          <w:rFonts w:hint="eastAsia" w:ascii="宋体" w:hAnsi="宋体" w:eastAsia="宋体" w:cs="宋体"/>
          <w:sz w:val="24"/>
          <w:szCs w:val="24"/>
        </w:rPr>
        <w:t>编号</w:t>
      </w:r>
      <w:r>
        <w:rPr>
          <w:rFonts w:hint="eastAsia" w:ascii="宋体" w:hAnsi="宋体" w:cs="宋体"/>
          <w:sz w:val="24"/>
          <w:szCs w:val="24"/>
          <w:lang w:eastAsia="zh-CN"/>
        </w:rPr>
        <w:t>）</w:t>
      </w:r>
      <w:r>
        <w:rPr>
          <w:rFonts w:hint="eastAsia" w:ascii="宋体" w:hAnsi="宋体" w:eastAsia="宋体" w:cs="宋体"/>
          <w:sz w:val="24"/>
          <w:szCs w:val="24"/>
        </w:rPr>
        <w:t xml:space="preserve">##### ，签字代表（姓名）经正式授权并代表供应商 </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供应商单位名称），提交</w:t>
      </w:r>
      <w:r>
        <w:rPr>
          <w:rFonts w:hint="eastAsia" w:ascii="宋体" w:hAnsi="宋体" w:cs="宋体"/>
          <w:sz w:val="24"/>
          <w:szCs w:val="24"/>
          <w:lang w:val="en-US" w:eastAsia="zh-CN"/>
        </w:rPr>
        <w:t>报价</w:t>
      </w:r>
      <w:r>
        <w:rPr>
          <w:rFonts w:hint="eastAsia" w:ascii="宋体" w:hAnsi="宋体" w:eastAsia="宋体" w:cs="宋体"/>
          <w:sz w:val="24"/>
          <w:szCs w:val="24"/>
        </w:rPr>
        <w:t>文件正本</w:t>
      </w:r>
      <w:r>
        <w:rPr>
          <w:rFonts w:hint="eastAsia" w:ascii="宋体" w:hAnsi="宋体" w:eastAsia="宋体" w:cs="宋体"/>
          <w:color w:val="000000" w:themeColor="text1"/>
          <w:sz w:val="24"/>
          <w:szCs w:val="24"/>
          <w14:textFill>
            <w14:solidFill>
              <w14:schemeClr w14:val="tx1"/>
            </w14:solidFill>
          </w14:textFill>
        </w:rPr>
        <w:t>一份，副本</w:t>
      </w:r>
      <w:r>
        <w:rPr>
          <w:rFonts w:hint="eastAsia" w:ascii="宋体" w:hAnsi="宋体" w:cs="宋体"/>
          <w:color w:val="000000" w:themeColor="text1"/>
          <w:sz w:val="24"/>
          <w:szCs w:val="24"/>
          <w:lang w:val="en-US" w:eastAsia="zh-CN"/>
          <w14:textFill>
            <w14:solidFill>
              <w14:schemeClr w14:val="tx1"/>
            </w14:solidFill>
          </w14:textFill>
        </w:rPr>
        <w:t>六</w:t>
      </w:r>
      <w:r>
        <w:rPr>
          <w:rFonts w:hint="eastAsia" w:ascii="宋体" w:hAnsi="宋体" w:eastAsia="宋体" w:cs="宋体"/>
          <w:color w:val="000000" w:themeColor="text1"/>
          <w:sz w:val="24"/>
          <w:szCs w:val="24"/>
          <w14:textFill>
            <w14:solidFill>
              <w14:schemeClr w14:val="tx1"/>
            </w14:solidFill>
          </w14:textFill>
        </w:rPr>
        <w:t>份。</w:t>
      </w:r>
    </w:p>
    <w:p w14:paraId="3521DD68">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ascii="宋体" w:hAnsi="宋体" w:cs="宋体"/>
          <w:sz w:val="24"/>
          <w:szCs w:val="24"/>
        </w:rPr>
      </w:pPr>
      <w:r>
        <w:rPr>
          <w:rFonts w:hint="eastAsia" w:ascii="宋体" w:hAnsi="宋体" w:cs="宋体"/>
          <w:sz w:val="24"/>
          <w:szCs w:val="24"/>
        </w:rPr>
        <w:t>据此函，签字代表宣布同意如下：</w:t>
      </w:r>
    </w:p>
    <w:p w14:paraId="10BD90A2">
      <w:pPr>
        <w:keepNext w:val="0"/>
        <w:keepLines w:val="0"/>
        <w:pageBreakBefore w:val="0"/>
        <w:widowControl/>
        <w:numPr>
          <w:ilvl w:val="0"/>
          <w:numId w:val="1"/>
        </w:numPr>
        <w:kinsoku/>
        <w:wordWrap/>
        <w:overflowPunct/>
        <w:topLinePunct w:val="0"/>
        <w:autoSpaceDE/>
        <w:autoSpaceDN/>
        <w:bidi w:val="0"/>
        <w:adjustRightInd/>
        <w:snapToGrid/>
        <w:spacing w:line="400" w:lineRule="exact"/>
        <w:jc w:val="left"/>
        <w:textAlignment w:val="auto"/>
        <w:rPr>
          <w:rFonts w:hint="eastAsia" w:ascii="宋体" w:hAnsi="宋体" w:cs="宋体"/>
          <w:sz w:val="24"/>
          <w:szCs w:val="24"/>
        </w:rPr>
      </w:pPr>
      <w:r>
        <w:rPr>
          <w:rFonts w:hint="eastAsia" w:ascii="宋体" w:hAnsi="宋体" w:cs="宋体"/>
          <w:sz w:val="24"/>
          <w:szCs w:val="24"/>
          <w:lang w:val="en-US" w:eastAsia="zh-CN"/>
        </w:rPr>
        <w:t>一、</w:t>
      </w:r>
      <w:r>
        <w:rPr>
          <w:rFonts w:hint="eastAsia" w:ascii="宋体" w:hAnsi="宋体" w:cs="宋体"/>
          <w:sz w:val="24"/>
          <w:szCs w:val="24"/>
        </w:rPr>
        <w:t>报价</w:t>
      </w:r>
      <w:r>
        <w:rPr>
          <w:rFonts w:hint="eastAsia" w:ascii="宋体" w:hAnsi="宋体" w:cs="宋体"/>
          <w:color w:val="000000" w:themeColor="text1"/>
          <w:sz w:val="24"/>
          <w:lang w:val="en-US" w:eastAsia="zh-CN"/>
          <w14:textFill>
            <w14:solidFill>
              <w14:schemeClr w14:val="tx1"/>
            </w14:solidFill>
          </w14:textFill>
        </w:rPr>
        <w:t>（单位：人民币元）</w:t>
      </w:r>
    </w:p>
    <w:tbl>
      <w:tblPr>
        <w:tblStyle w:val="16"/>
        <w:tblW w:w="99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1"/>
        <w:gridCol w:w="4245"/>
        <w:gridCol w:w="1095"/>
        <w:gridCol w:w="915"/>
        <w:gridCol w:w="1740"/>
        <w:gridCol w:w="1287"/>
      </w:tblGrid>
      <w:tr w14:paraId="502CC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14:paraId="25A2D9A3">
            <w:pPr>
              <w:spacing w:line="440" w:lineRule="exact"/>
              <w:jc w:val="center"/>
              <w:rPr>
                <w:rFonts w:ascii="宋体" w:hAnsi="宋体"/>
              </w:rPr>
            </w:pPr>
            <w:r>
              <w:rPr>
                <w:rFonts w:hint="eastAsia" w:ascii="宋体" w:hAnsi="宋体"/>
              </w:rPr>
              <w:t>项号</w:t>
            </w:r>
          </w:p>
        </w:tc>
        <w:tc>
          <w:tcPr>
            <w:tcW w:w="4245" w:type="dxa"/>
            <w:tcBorders>
              <w:top w:val="single" w:color="auto" w:sz="4" w:space="0"/>
              <w:left w:val="single" w:color="auto" w:sz="4" w:space="0"/>
              <w:bottom w:val="single" w:color="auto" w:sz="4" w:space="0"/>
              <w:right w:val="single" w:color="auto" w:sz="4" w:space="0"/>
            </w:tcBorders>
            <w:vAlign w:val="center"/>
          </w:tcPr>
          <w:p w14:paraId="24862D8B">
            <w:pPr>
              <w:spacing w:line="440" w:lineRule="exact"/>
              <w:jc w:val="center"/>
              <w:rPr>
                <w:rFonts w:ascii="宋体" w:hAnsi="宋体"/>
              </w:rPr>
            </w:pPr>
            <w:r>
              <w:rPr>
                <w:rFonts w:hint="eastAsia" w:ascii="宋体" w:hAnsi="宋体"/>
              </w:rPr>
              <w:t>项目名称</w:t>
            </w:r>
          </w:p>
        </w:tc>
        <w:tc>
          <w:tcPr>
            <w:tcW w:w="1095" w:type="dxa"/>
            <w:tcBorders>
              <w:top w:val="single" w:color="auto" w:sz="4" w:space="0"/>
              <w:left w:val="single" w:color="auto" w:sz="4" w:space="0"/>
              <w:bottom w:val="single" w:color="auto" w:sz="4" w:space="0"/>
              <w:right w:val="single" w:color="auto" w:sz="4" w:space="0"/>
            </w:tcBorders>
            <w:vAlign w:val="center"/>
          </w:tcPr>
          <w:p w14:paraId="5BA05DEE">
            <w:pPr>
              <w:spacing w:line="440" w:lineRule="exact"/>
              <w:jc w:val="center"/>
              <w:rPr>
                <w:rFonts w:ascii="宋体" w:hAnsi="宋体"/>
              </w:rPr>
            </w:pPr>
            <w:r>
              <w:rPr>
                <w:rFonts w:hint="eastAsia" w:ascii="宋体" w:hAnsi="宋体"/>
              </w:rPr>
              <w:t>数量</w:t>
            </w:r>
          </w:p>
        </w:tc>
        <w:tc>
          <w:tcPr>
            <w:tcW w:w="915" w:type="dxa"/>
            <w:tcBorders>
              <w:top w:val="single" w:color="auto" w:sz="4" w:space="0"/>
              <w:left w:val="single" w:color="auto" w:sz="4" w:space="0"/>
              <w:bottom w:val="single" w:color="auto" w:sz="4" w:space="0"/>
              <w:right w:val="single" w:color="auto" w:sz="4" w:space="0"/>
            </w:tcBorders>
            <w:vAlign w:val="center"/>
          </w:tcPr>
          <w:p w14:paraId="4D67F88D">
            <w:pPr>
              <w:spacing w:line="440" w:lineRule="exact"/>
              <w:jc w:val="center"/>
              <w:rPr>
                <w:rFonts w:ascii="宋体" w:hAnsi="宋体"/>
              </w:rPr>
            </w:pPr>
            <w:r>
              <w:rPr>
                <w:rFonts w:hint="eastAsia" w:ascii="宋体" w:hAnsi="宋体"/>
              </w:rPr>
              <w:t>单位</w:t>
            </w:r>
          </w:p>
        </w:tc>
        <w:tc>
          <w:tcPr>
            <w:tcW w:w="1740" w:type="dxa"/>
            <w:tcBorders>
              <w:top w:val="single" w:color="auto" w:sz="4" w:space="0"/>
              <w:left w:val="single" w:color="auto" w:sz="4" w:space="0"/>
              <w:bottom w:val="single" w:color="auto" w:sz="4" w:space="0"/>
            </w:tcBorders>
            <w:vAlign w:val="center"/>
          </w:tcPr>
          <w:p w14:paraId="2D913216">
            <w:pPr>
              <w:spacing w:line="440" w:lineRule="exact"/>
              <w:jc w:val="center"/>
              <w:rPr>
                <w:rFonts w:hint="eastAsia" w:ascii="宋体" w:hAnsi="宋体" w:eastAsia="宋体"/>
                <w:lang w:val="en-US" w:eastAsia="zh-CN"/>
              </w:rPr>
            </w:pPr>
            <w:r>
              <w:rPr>
                <w:rFonts w:hint="eastAsia" w:ascii="宋体" w:hAnsi="宋体"/>
                <w:lang w:val="en-US" w:eastAsia="zh-CN"/>
              </w:rPr>
              <w:t>金额（元）</w:t>
            </w:r>
          </w:p>
        </w:tc>
        <w:tc>
          <w:tcPr>
            <w:tcW w:w="1287" w:type="dxa"/>
            <w:tcBorders>
              <w:top w:val="single" w:color="auto" w:sz="4" w:space="0"/>
              <w:left w:val="single" w:color="auto" w:sz="4" w:space="0"/>
              <w:bottom w:val="single" w:color="auto" w:sz="4" w:space="0"/>
            </w:tcBorders>
          </w:tcPr>
          <w:p w14:paraId="5E18E249">
            <w:pPr>
              <w:spacing w:line="440" w:lineRule="exact"/>
              <w:jc w:val="center"/>
              <w:rPr>
                <w:rFonts w:ascii="宋体" w:hAnsi="宋体"/>
              </w:rPr>
            </w:pPr>
            <w:r>
              <w:rPr>
                <w:rFonts w:hint="eastAsia" w:ascii="宋体" w:hAnsi="宋体"/>
              </w:rPr>
              <w:t>备注</w:t>
            </w:r>
          </w:p>
        </w:tc>
      </w:tr>
      <w:tr w14:paraId="376044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0"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14:paraId="4772F5A1">
            <w:pPr>
              <w:spacing w:line="440" w:lineRule="exact"/>
              <w:jc w:val="center"/>
              <w:rPr>
                <w:rFonts w:ascii="宋体" w:hAnsi="宋体" w:cs="宋体"/>
                <w:szCs w:val="21"/>
              </w:rPr>
            </w:pPr>
            <w:r>
              <w:rPr>
                <w:rFonts w:hint="eastAsia" w:ascii="宋体" w:hAnsi="宋体" w:cs="宋体"/>
                <w:szCs w:val="21"/>
              </w:rPr>
              <w:t>1</w:t>
            </w:r>
          </w:p>
        </w:tc>
        <w:tc>
          <w:tcPr>
            <w:tcW w:w="4245" w:type="dxa"/>
            <w:tcBorders>
              <w:top w:val="single" w:color="auto" w:sz="4" w:space="0"/>
              <w:left w:val="single" w:color="auto" w:sz="4" w:space="0"/>
              <w:bottom w:val="single" w:color="auto" w:sz="4" w:space="0"/>
              <w:right w:val="single" w:color="auto" w:sz="4" w:space="0"/>
            </w:tcBorders>
            <w:vAlign w:val="center"/>
          </w:tcPr>
          <w:p w14:paraId="55DA3129">
            <w:pPr>
              <w:spacing w:line="440" w:lineRule="exact"/>
              <w:jc w:val="center"/>
              <w:rPr>
                <w:rFonts w:ascii="宋体" w:hAnsi="宋体"/>
              </w:rPr>
            </w:pPr>
          </w:p>
        </w:tc>
        <w:tc>
          <w:tcPr>
            <w:tcW w:w="1095" w:type="dxa"/>
            <w:tcBorders>
              <w:top w:val="single" w:color="auto" w:sz="4" w:space="0"/>
              <w:left w:val="single" w:color="auto" w:sz="4" w:space="0"/>
              <w:bottom w:val="single" w:color="auto" w:sz="4" w:space="0"/>
              <w:right w:val="single" w:color="auto" w:sz="4" w:space="0"/>
            </w:tcBorders>
            <w:vAlign w:val="center"/>
          </w:tcPr>
          <w:p w14:paraId="78BBB74F">
            <w:pPr>
              <w:spacing w:line="440" w:lineRule="exact"/>
              <w:jc w:val="center"/>
              <w:rPr>
                <w:rFonts w:ascii="宋体" w:hAnsi="宋体" w:cs="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5FAB2689">
            <w:pPr>
              <w:spacing w:line="440" w:lineRule="exact"/>
              <w:jc w:val="center"/>
              <w:rPr>
                <w:rFonts w:ascii="宋体" w:hAnsi="宋体" w:cs="宋体"/>
                <w:szCs w:val="21"/>
              </w:rPr>
            </w:pPr>
          </w:p>
        </w:tc>
        <w:tc>
          <w:tcPr>
            <w:tcW w:w="1740" w:type="dxa"/>
            <w:tcBorders>
              <w:top w:val="single" w:color="auto" w:sz="4" w:space="0"/>
              <w:left w:val="single" w:color="auto" w:sz="4" w:space="0"/>
              <w:bottom w:val="single" w:color="auto" w:sz="4" w:space="0"/>
            </w:tcBorders>
            <w:vAlign w:val="center"/>
          </w:tcPr>
          <w:p w14:paraId="06A776B4">
            <w:pPr>
              <w:spacing w:line="440" w:lineRule="exact"/>
              <w:jc w:val="center"/>
              <w:rPr>
                <w:rFonts w:ascii="宋体" w:hAnsi="宋体"/>
                <w:b/>
                <w:bCs/>
              </w:rPr>
            </w:pPr>
          </w:p>
        </w:tc>
        <w:tc>
          <w:tcPr>
            <w:tcW w:w="1287" w:type="dxa"/>
            <w:tcBorders>
              <w:top w:val="single" w:color="auto" w:sz="4" w:space="0"/>
              <w:left w:val="single" w:color="auto" w:sz="4" w:space="0"/>
              <w:bottom w:val="single" w:color="auto" w:sz="4" w:space="0"/>
            </w:tcBorders>
          </w:tcPr>
          <w:p w14:paraId="701A0011">
            <w:pPr>
              <w:spacing w:line="440" w:lineRule="exact"/>
              <w:jc w:val="center"/>
              <w:rPr>
                <w:rFonts w:ascii="宋体" w:hAnsi="宋体"/>
                <w:b/>
                <w:bCs/>
              </w:rPr>
            </w:pPr>
          </w:p>
        </w:tc>
      </w:tr>
      <w:tr w14:paraId="1177CF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9923" w:type="dxa"/>
            <w:gridSpan w:val="6"/>
            <w:tcBorders>
              <w:top w:val="single" w:color="auto" w:sz="4" w:space="0"/>
              <w:left w:val="single" w:color="auto" w:sz="4" w:space="0"/>
              <w:bottom w:val="single" w:color="auto" w:sz="4" w:space="0"/>
            </w:tcBorders>
            <w:vAlign w:val="center"/>
          </w:tcPr>
          <w:p w14:paraId="5B9DA7E9">
            <w:pPr>
              <w:spacing w:line="440" w:lineRule="exact"/>
              <w:rPr>
                <w:rFonts w:ascii="宋体" w:hAnsi="宋体"/>
                <w:spacing w:val="-6"/>
              </w:rPr>
            </w:pPr>
            <w:r>
              <w:rPr>
                <w:rFonts w:hint="eastAsia" w:ascii="宋体" w:hAnsi="宋体"/>
                <w:spacing w:val="-6"/>
              </w:rPr>
              <w:t>总</w:t>
            </w:r>
            <w:r>
              <w:rPr>
                <w:rFonts w:ascii="宋体" w:hAnsi="宋体"/>
                <w:spacing w:val="-6"/>
              </w:rPr>
              <w:t xml:space="preserve">报价（大写）：                </w:t>
            </w:r>
            <w:r>
              <w:rPr>
                <w:rFonts w:hint="eastAsia" w:ascii="宋体" w:hAnsi="宋体"/>
                <w:spacing w:val="-6"/>
              </w:rPr>
              <w:t xml:space="preserve">                          </w:t>
            </w:r>
            <w:r>
              <w:rPr>
                <w:rFonts w:ascii="宋体" w:hAnsi="宋体"/>
                <w:spacing w:val="-6"/>
              </w:rPr>
              <w:t xml:space="preserve">  </w:t>
            </w:r>
            <w:r>
              <w:rPr>
                <w:rFonts w:hint="eastAsia" w:ascii="宋体" w:hAnsi="宋体"/>
                <w:spacing w:val="-6"/>
              </w:rPr>
              <w:t>元</w:t>
            </w:r>
            <w:r>
              <w:rPr>
                <w:rFonts w:ascii="宋体" w:hAnsi="宋体"/>
                <w:spacing w:val="-6"/>
              </w:rPr>
              <w:t>（￥                      ）人民币</w:t>
            </w:r>
          </w:p>
        </w:tc>
      </w:tr>
      <w:tr w14:paraId="75BF47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9923" w:type="dxa"/>
            <w:gridSpan w:val="6"/>
            <w:tcBorders>
              <w:top w:val="single" w:color="auto" w:sz="4" w:space="0"/>
              <w:left w:val="single" w:color="auto" w:sz="4" w:space="0"/>
              <w:bottom w:val="single" w:color="auto" w:sz="4" w:space="0"/>
            </w:tcBorders>
            <w:vAlign w:val="center"/>
          </w:tcPr>
          <w:p w14:paraId="36DF796C">
            <w:pPr>
              <w:spacing w:line="440" w:lineRule="exact"/>
              <w:rPr>
                <w:rFonts w:ascii="宋体" w:hAnsi="宋体"/>
                <w:spacing w:val="-6"/>
              </w:rPr>
            </w:pPr>
            <w:r>
              <w:rPr>
                <w:rFonts w:hint="eastAsia" w:ascii="宋体" w:hAnsi="宋体"/>
                <w:spacing w:val="-6"/>
              </w:rPr>
              <w:t>交付使用期:</w:t>
            </w:r>
          </w:p>
        </w:tc>
      </w:tr>
      <w:tr w14:paraId="0AEFE8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9923" w:type="dxa"/>
            <w:gridSpan w:val="6"/>
            <w:tcBorders>
              <w:top w:val="single" w:color="auto" w:sz="4" w:space="0"/>
              <w:left w:val="single" w:color="auto" w:sz="4" w:space="0"/>
              <w:bottom w:val="single" w:color="auto" w:sz="4" w:space="0"/>
            </w:tcBorders>
            <w:vAlign w:val="center"/>
          </w:tcPr>
          <w:p w14:paraId="46707D34">
            <w:pPr>
              <w:spacing w:line="440" w:lineRule="exact"/>
              <w:rPr>
                <w:rFonts w:ascii="宋体" w:hAnsi="宋体"/>
                <w:spacing w:val="-6"/>
              </w:rPr>
            </w:pPr>
            <w:r>
              <w:rPr>
                <w:rFonts w:hint="eastAsia" w:ascii="宋体" w:hAnsi="宋体"/>
                <w:spacing w:val="-6"/>
              </w:rPr>
              <w:t>免费维保期:</w:t>
            </w:r>
          </w:p>
        </w:tc>
      </w:tr>
    </w:tbl>
    <w:p w14:paraId="7C9117E0">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1.各供应商必须就“采购需求”中的所有内容作完整唯一报价，否则，其报价文件按无效处理。</w:t>
      </w:r>
    </w:p>
    <w:p w14:paraId="2BD7EE3F">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2.供应商应根据所提供的服务如实填写报价表的各项内容。</w:t>
      </w:r>
    </w:p>
    <w:p w14:paraId="46F99CE4">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cs="宋体"/>
          <w:sz w:val="24"/>
          <w:szCs w:val="24"/>
        </w:rPr>
      </w:pPr>
      <w:r>
        <w:rPr>
          <w:rFonts w:hint="eastAsia" w:ascii="宋体" w:hAnsi="宋体" w:cs="宋体"/>
          <w:sz w:val="24"/>
          <w:szCs w:val="24"/>
          <w:lang w:val="en-US" w:eastAsia="zh-CN"/>
        </w:rPr>
        <w:t>3.报价表须由法定代表人、负责人或相应的委托代理人签字或盖章并加盖供应商公章。当本表由多页构成时，需逐页加盖供应商公章。</w:t>
      </w:r>
    </w:p>
    <w:p w14:paraId="4D168546">
      <w:pPr>
        <w:keepNext w:val="0"/>
        <w:keepLines w:val="0"/>
        <w:pageBreakBefore w:val="0"/>
        <w:widowControl w:val="0"/>
        <w:kinsoku/>
        <w:wordWrap/>
        <w:overflowPunct/>
        <w:topLinePunct w:val="0"/>
        <w:autoSpaceDE/>
        <w:autoSpaceDN/>
        <w:bidi w:val="0"/>
        <w:adjustRightInd/>
        <w:snapToGrid/>
        <w:spacing w:line="410" w:lineRule="exact"/>
        <w:ind w:firstLine="420"/>
        <w:jc w:val="lef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sz w:val="24"/>
          <w:szCs w:val="24"/>
          <w:lang w:val="en-US" w:eastAsia="zh-CN"/>
        </w:rPr>
        <w:t>二、</w:t>
      </w:r>
      <w:r>
        <w:rPr>
          <w:rFonts w:hint="eastAsia" w:ascii="宋体" w:hAnsi="宋体" w:cs="宋体"/>
          <w:sz w:val="24"/>
          <w:szCs w:val="24"/>
        </w:rPr>
        <w:t>我方承诺已具备此次</w:t>
      </w:r>
      <w:r>
        <w:rPr>
          <w:rFonts w:hint="eastAsia" w:ascii="宋体" w:hAnsi="宋体" w:cs="宋体"/>
          <w:color w:val="000000" w:themeColor="text1"/>
          <w:sz w:val="24"/>
          <w:szCs w:val="24"/>
          <w:highlight w:val="none"/>
          <w14:textFill>
            <w14:solidFill>
              <w14:schemeClr w14:val="tx1"/>
            </w14:solidFill>
          </w14:textFill>
        </w:rPr>
        <w:t>议价供应商资格条件。</w:t>
      </w:r>
    </w:p>
    <w:p w14:paraId="0DB275C5">
      <w:pPr>
        <w:keepNext w:val="0"/>
        <w:keepLines w:val="0"/>
        <w:pageBreakBefore w:val="0"/>
        <w:widowControl w:val="0"/>
        <w:kinsoku/>
        <w:wordWrap/>
        <w:overflowPunct/>
        <w:topLinePunct w:val="0"/>
        <w:autoSpaceDE/>
        <w:autoSpaceDN/>
        <w:bidi w:val="0"/>
        <w:adjustRightInd/>
        <w:snapToGrid/>
        <w:spacing w:line="410" w:lineRule="exact"/>
        <w:ind w:firstLine="420"/>
        <w:jc w:val="lef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cs="宋体"/>
          <w:color w:val="000000" w:themeColor="text1"/>
          <w:sz w:val="24"/>
          <w:szCs w:val="24"/>
          <w:highlight w:val="none"/>
          <w14:textFill>
            <w14:solidFill>
              <w14:schemeClr w14:val="tx1"/>
            </w14:solidFill>
          </w14:textFill>
        </w:rPr>
        <w:t>我方已详细了解本项目，将自行承担因对本项目理解不正确或误解而产生的相应后果。</w:t>
      </w:r>
    </w:p>
    <w:p w14:paraId="1EEF8E06">
      <w:pPr>
        <w:keepNext w:val="0"/>
        <w:keepLines w:val="0"/>
        <w:pageBreakBefore w:val="0"/>
        <w:widowControl w:val="0"/>
        <w:kinsoku/>
        <w:wordWrap/>
        <w:overflowPunct/>
        <w:topLinePunct w:val="0"/>
        <w:autoSpaceDE/>
        <w:autoSpaceDN/>
        <w:bidi w:val="0"/>
        <w:adjustRightInd/>
        <w:snapToGrid/>
        <w:spacing w:line="410" w:lineRule="exact"/>
        <w:ind w:firstLine="420"/>
        <w:jc w:val="lef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与本项目有关的正式通讯地址为：</w:t>
      </w:r>
    </w:p>
    <w:p w14:paraId="5FD6B8E0">
      <w:pPr>
        <w:pStyle w:val="9"/>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地址： </w:t>
      </w:r>
      <w:r>
        <w:rPr>
          <w:rFonts w:hAnsi="宋体" w:cs="宋体"/>
          <w:color w:val="000000" w:themeColor="text1"/>
          <w:sz w:val="24"/>
          <w:szCs w:val="24"/>
          <w:highlight w:val="none"/>
          <w14:textFill>
            <w14:solidFill>
              <w14:schemeClr w14:val="tx1"/>
            </w14:solidFill>
          </w14:textFill>
        </w:rPr>
        <w:t xml:space="preserve">  </w:t>
      </w:r>
    </w:p>
    <w:p w14:paraId="7C6A4ADF">
      <w:pPr>
        <w:pStyle w:val="9"/>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邮编：  </w:t>
      </w:r>
      <w:r>
        <w:rPr>
          <w:rFonts w:hAnsi="宋体" w:cs="宋体"/>
          <w:color w:val="000000" w:themeColor="text1"/>
          <w:sz w:val="24"/>
          <w:szCs w:val="24"/>
          <w:highlight w:val="non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邮箱：</w:t>
      </w:r>
    </w:p>
    <w:p w14:paraId="4F34B81E">
      <w:pPr>
        <w:pStyle w:val="9"/>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办公电话：   </w:t>
      </w:r>
      <w:r>
        <w:rPr>
          <w:rFonts w:hAnsi="宋体" w:cs="宋体"/>
          <w:color w:val="000000" w:themeColor="text1"/>
          <w:sz w:val="24"/>
          <w:szCs w:val="24"/>
          <w:highlight w:val="non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传真：</w:t>
      </w:r>
    </w:p>
    <w:p w14:paraId="04016682">
      <w:pPr>
        <w:pStyle w:val="9"/>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委托代理人联系电话：</w:t>
      </w:r>
    </w:p>
    <w:p w14:paraId="12A6661E">
      <w:pPr>
        <w:pStyle w:val="9"/>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供应商（公章）：</w:t>
      </w:r>
    </w:p>
    <w:p w14:paraId="794987D1">
      <w:pPr>
        <w:pStyle w:val="9"/>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法定代表人（负责人）或相应的委托代理人签字：</w:t>
      </w:r>
    </w:p>
    <w:p w14:paraId="0D507A8D">
      <w:pPr>
        <w:pStyle w:val="9"/>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日期：</w:t>
      </w:r>
    </w:p>
    <w:p w14:paraId="5E917D98">
      <w:pPr>
        <w:spacing w:line="440" w:lineRule="exac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br w:type="page"/>
      </w:r>
    </w:p>
    <w:p w14:paraId="73020A8E">
      <w:pPr>
        <w:pStyle w:val="9"/>
        <w:keepNext w:val="0"/>
        <w:keepLines w:val="0"/>
        <w:pageBreakBefore w:val="0"/>
        <w:kinsoku/>
        <w:overflowPunct/>
        <w:topLinePunct w:val="0"/>
        <w:autoSpaceDE/>
        <w:autoSpaceDN/>
        <w:bidi w:val="0"/>
        <w:adjustRightInd/>
        <w:spacing w:line="440" w:lineRule="exact"/>
        <w:ind w:firstLine="590" w:firstLineChars="196"/>
        <w:jc w:val="center"/>
        <w:textAlignment w:val="auto"/>
        <w:rPr>
          <w:rFonts w:hAnsi="宋体" w:cs="宋体"/>
          <w:b/>
          <w:color w:val="000000" w:themeColor="text1"/>
          <w:sz w:val="30"/>
          <w:szCs w:val="30"/>
          <w:highlight w:val="none"/>
          <w14:textFill>
            <w14:solidFill>
              <w14:schemeClr w14:val="tx1"/>
            </w14:solidFill>
          </w14:textFill>
        </w:rPr>
      </w:pPr>
      <w:r>
        <w:rPr>
          <w:rFonts w:hint="eastAsia" w:hAnsi="宋体" w:cs="宋体"/>
          <w:b/>
          <w:color w:val="000000" w:themeColor="text1"/>
          <w:sz w:val="30"/>
          <w:szCs w:val="30"/>
          <w:highlight w:val="none"/>
          <w14:textFill>
            <w14:solidFill>
              <w14:schemeClr w14:val="tx1"/>
            </w14:solidFill>
          </w14:textFill>
        </w:rPr>
        <w:t>法人授权委托书（格式）</w:t>
      </w:r>
    </w:p>
    <w:p w14:paraId="32A410C4">
      <w:pPr>
        <w:keepNext w:val="0"/>
        <w:keepLines w:val="0"/>
        <w:pageBreakBefore w:val="0"/>
        <w:kinsoku/>
        <w:overflowPunct/>
        <w:topLinePunct w:val="0"/>
        <w:autoSpaceDE/>
        <w:autoSpaceDN/>
        <w:bidi w:val="0"/>
        <w:adjustRightInd/>
        <w:spacing w:line="440" w:lineRule="exact"/>
        <w:jc w:val="left"/>
        <w:textAlignment w:val="auto"/>
        <w:rPr>
          <w:rFonts w:ascii="宋体" w:hAnsi="宋体" w:eastAsia="宋体" w:cs="宋体"/>
          <w:color w:val="000000" w:themeColor="text1"/>
          <w:sz w:val="20"/>
          <w:highlight w:val="none"/>
          <w14:textFill>
            <w14:solidFill>
              <w14:schemeClr w14:val="tx1"/>
            </w14:solidFill>
          </w14:textFill>
        </w:rPr>
      </w:pPr>
    </w:p>
    <w:p w14:paraId="3B4B3D95">
      <w:pPr>
        <w:spacing w:line="50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致：</w:t>
      </w:r>
      <w:r>
        <w:rPr>
          <w:rFonts w:hint="eastAsia" w:ascii="宋体" w:hAnsi="宋体" w:cs="宋体"/>
          <w:color w:val="000000" w:themeColor="text1"/>
          <w:sz w:val="24"/>
          <w:szCs w:val="24"/>
          <w:highlight w:val="none"/>
          <w:u w:val="single"/>
          <w14:textFill>
            <w14:solidFill>
              <w14:schemeClr w14:val="tx1"/>
            </w14:solidFill>
          </w14:textFill>
        </w:rPr>
        <w:t>桂林市人民医院</w:t>
      </w:r>
    </w:p>
    <w:p w14:paraId="5ED09F82">
      <w:pPr>
        <w:spacing w:line="500" w:lineRule="exact"/>
        <w:ind w:firstLine="420"/>
        <w:jc w:val="left"/>
        <w:rPr>
          <w:rFonts w:ascii="宋体" w:hAnsi="宋体" w:cs="宋体"/>
          <w:sz w:val="24"/>
          <w:szCs w:val="24"/>
        </w:rPr>
      </w:pPr>
      <w:r>
        <w:rPr>
          <w:rFonts w:hint="eastAsia" w:ascii="宋体" w:hAnsi="宋体" w:cs="宋体"/>
          <w:color w:val="000000" w:themeColor="text1"/>
          <w:sz w:val="24"/>
          <w:szCs w:val="24"/>
          <w:highlight w:val="none"/>
          <w14:textFill>
            <w14:solidFill>
              <w14:schemeClr w14:val="tx1"/>
            </w14:solidFill>
          </w14:textFill>
        </w:rPr>
        <w:t>我（姓名）系（供应商名称）的法定代表人（负责人），现授权委托本单位在职职工（姓名）以我方名义参加</w:t>
      </w:r>
      <w:r>
        <w:rPr>
          <w:rFonts w:hint="eastAsia" w:ascii="宋体" w:hAnsi="宋体" w:cs="宋体"/>
          <w:color w:val="000000" w:themeColor="text1"/>
          <w:sz w:val="24"/>
          <w:szCs w:val="24"/>
          <w:highlight w:val="none"/>
          <w:u w:val="single"/>
          <w14:textFill>
            <w14:solidFill>
              <w14:schemeClr w14:val="tx1"/>
            </w14:solidFill>
          </w14:textFill>
        </w:rPr>
        <w:t xml:space="preserve">      （项目名称及项目编号）        </w:t>
      </w:r>
      <w:r>
        <w:rPr>
          <w:rFonts w:hint="eastAsia" w:ascii="宋体" w:hAnsi="宋体" w:cs="宋体"/>
          <w:color w:val="000000" w:themeColor="text1"/>
          <w:sz w:val="24"/>
          <w:szCs w:val="24"/>
          <w:highlight w:val="none"/>
          <w14:textFill>
            <w14:solidFill>
              <w14:schemeClr w14:val="tx1"/>
            </w14:solidFill>
          </w14:textFill>
        </w:rPr>
        <w:t>项目的议价采购活</w:t>
      </w:r>
      <w:r>
        <w:rPr>
          <w:rFonts w:hint="eastAsia" w:ascii="宋体" w:hAnsi="宋体" w:cs="宋体"/>
          <w:sz w:val="24"/>
          <w:szCs w:val="24"/>
        </w:rPr>
        <w:t>动，并代表我方全权办理针对上述项目的具体事务和签署相关文件。</w:t>
      </w:r>
    </w:p>
    <w:p w14:paraId="552E5161">
      <w:pPr>
        <w:spacing w:line="500" w:lineRule="exact"/>
        <w:ind w:firstLine="420"/>
        <w:jc w:val="left"/>
        <w:rPr>
          <w:rFonts w:ascii="宋体" w:hAnsi="宋体" w:cs="宋体"/>
          <w:sz w:val="24"/>
          <w:szCs w:val="24"/>
        </w:rPr>
      </w:pPr>
      <w:r>
        <w:rPr>
          <w:rFonts w:hint="eastAsia" w:ascii="宋体" w:hAnsi="宋体" w:cs="宋体"/>
          <w:sz w:val="24"/>
          <w:szCs w:val="24"/>
        </w:rPr>
        <w:t>我方对被授权人的签字事项负全部责任。</w:t>
      </w:r>
    </w:p>
    <w:p w14:paraId="6D326B25">
      <w:pPr>
        <w:spacing w:line="500" w:lineRule="exact"/>
        <w:ind w:firstLine="420"/>
        <w:jc w:val="left"/>
        <w:rPr>
          <w:rFonts w:ascii="宋体" w:hAnsi="宋体" w:cs="宋体"/>
          <w:sz w:val="24"/>
          <w:szCs w:val="24"/>
          <w:u w:val="single"/>
        </w:rPr>
      </w:pPr>
      <w:r>
        <w:rPr>
          <w:rFonts w:hint="eastAsia" w:ascii="宋体" w:hAnsi="宋体" w:cs="宋体"/>
          <w:sz w:val="24"/>
          <w:szCs w:val="24"/>
        </w:rPr>
        <w:t xml:space="preserve">授权委托代理期限：从 </w:t>
      </w:r>
      <w:r>
        <w:rPr>
          <w:rFonts w:ascii="宋体" w:hAnsi="宋体" w:cs="宋体"/>
          <w:sz w:val="24"/>
          <w:szCs w:val="24"/>
        </w:rPr>
        <w:t xml:space="preserve"> </w:t>
      </w:r>
      <w:r>
        <w:rPr>
          <w:rFonts w:hint="eastAsia" w:ascii="宋体" w:hAnsi="宋体" w:cs="宋体"/>
          <w:sz w:val="24"/>
          <w:szCs w:val="24"/>
        </w:rPr>
        <w:t xml:space="preserve">年 </w:t>
      </w:r>
      <w:r>
        <w:rPr>
          <w:rFonts w:ascii="宋体" w:hAnsi="宋体" w:cs="宋体"/>
          <w:sz w:val="24"/>
          <w:szCs w:val="24"/>
        </w:rPr>
        <w:t xml:space="preserve"> </w:t>
      </w:r>
      <w:r>
        <w:rPr>
          <w:rFonts w:hint="eastAsia" w:ascii="宋体" w:hAnsi="宋体" w:cs="宋体"/>
          <w:sz w:val="24"/>
          <w:szCs w:val="24"/>
        </w:rPr>
        <w:t xml:space="preserve">月  日起至 </w:t>
      </w:r>
      <w:r>
        <w:rPr>
          <w:rFonts w:ascii="宋体" w:hAnsi="宋体" w:cs="宋体"/>
          <w:sz w:val="24"/>
          <w:szCs w:val="24"/>
        </w:rPr>
        <w:t xml:space="preserve">    </w:t>
      </w:r>
      <w:r>
        <w:rPr>
          <w:rFonts w:hint="eastAsia" w:ascii="宋体" w:hAnsi="宋体" w:cs="宋体"/>
          <w:sz w:val="24"/>
          <w:szCs w:val="24"/>
        </w:rPr>
        <w:t xml:space="preserve">年 </w:t>
      </w:r>
      <w:r>
        <w:rPr>
          <w:rFonts w:ascii="宋体" w:hAnsi="宋体" w:cs="宋体"/>
          <w:sz w:val="24"/>
          <w:szCs w:val="24"/>
        </w:rPr>
        <w:t xml:space="preserve"> </w:t>
      </w:r>
      <w:r>
        <w:rPr>
          <w:rFonts w:hint="eastAsia" w:ascii="宋体" w:hAnsi="宋体" w:cs="宋体"/>
          <w:sz w:val="24"/>
          <w:szCs w:val="24"/>
        </w:rPr>
        <w:t>月 日止。</w:t>
      </w:r>
    </w:p>
    <w:p w14:paraId="18FA8AC3">
      <w:pPr>
        <w:spacing w:line="440" w:lineRule="exact"/>
        <w:jc w:val="left"/>
        <w:rPr>
          <w:rFonts w:ascii="宋体" w:hAnsi="宋体" w:cs="宋体"/>
          <w:sz w:val="24"/>
          <w:szCs w:val="24"/>
          <w:u w:val="single"/>
        </w:rPr>
      </w:pPr>
    </w:p>
    <w:p w14:paraId="56F4ABE4">
      <w:pPr>
        <w:spacing w:line="440" w:lineRule="exact"/>
        <w:ind w:firstLine="420"/>
        <w:jc w:val="left"/>
        <w:rPr>
          <w:rFonts w:ascii="宋体" w:hAnsi="宋体" w:cs="宋体"/>
          <w:sz w:val="24"/>
          <w:szCs w:val="24"/>
        </w:rPr>
      </w:pPr>
      <w:r>
        <w:rPr>
          <w:rFonts w:hint="eastAsia" w:ascii="宋体" w:hAnsi="宋体" w:cs="宋体"/>
          <w:sz w:val="24"/>
          <w:szCs w:val="24"/>
        </w:rPr>
        <w:t xml:space="preserve">代理人无转委托权,特此委托。 </w:t>
      </w:r>
    </w:p>
    <w:p w14:paraId="08070D33">
      <w:pPr>
        <w:snapToGrid w:val="0"/>
        <w:spacing w:line="440" w:lineRule="exact"/>
        <w:ind w:firstLine="525"/>
        <w:jc w:val="left"/>
        <w:rPr>
          <w:rFonts w:ascii="宋体" w:hAnsi="宋体" w:cs="宋体"/>
          <w:sz w:val="24"/>
          <w:szCs w:val="24"/>
        </w:rPr>
      </w:pPr>
    </w:p>
    <w:p w14:paraId="1806920B">
      <w:pPr>
        <w:snapToGrid w:val="0"/>
        <w:spacing w:line="440" w:lineRule="exact"/>
        <w:ind w:firstLine="420"/>
        <w:jc w:val="left"/>
        <w:rPr>
          <w:rFonts w:ascii="宋体" w:hAnsi="宋体" w:cs="宋体"/>
          <w:sz w:val="24"/>
          <w:szCs w:val="24"/>
        </w:rPr>
      </w:pPr>
      <w:r>
        <w:rPr>
          <w:rFonts w:hint="eastAsia" w:ascii="宋体" w:hAnsi="宋体" w:cs="宋体"/>
          <w:sz w:val="24"/>
          <w:szCs w:val="24"/>
        </w:rPr>
        <w:t>我已在下面签字，以资证明。</w:t>
      </w:r>
    </w:p>
    <w:p w14:paraId="325434A6">
      <w:pPr>
        <w:snapToGrid w:val="0"/>
        <w:spacing w:line="440" w:lineRule="exact"/>
        <w:ind w:firstLine="420"/>
        <w:jc w:val="left"/>
        <w:rPr>
          <w:rFonts w:ascii="宋体" w:hAnsi="宋体" w:cs="宋体"/>
          <w:sz w:val="24"/>
          <w:szCs w:val="24"/>
        </w:rPr>
      </w:pPr>
    </w:p>
    <w:p w14:paraId="0DB50118">
      <w:pPr>
        <w:snapToGrid w:val="0"/>
        <w:spacing w:line="440" w:lineRule="exact"/>
        <w:ind w:firstLine="420"/>
        <w:jc w:val="left"/>
        <w:rPr>
          <w:rFonts w:ascii="宋体" w:hAnsi="宋体" w:cs="宋体"/>
          <w:sz w:val="24"/>
          <w:szCs w:val="24"/>
        </w:rPr>
      </w:pPr>
    </w:p>
    <w:p w14:paraId="69613677">
      <w:pPr>
        <w:snapToGrid w:val="0"/>
        <w:spacing w:line="440" w:lineRule="exact"/>
        <w:ind w:firstLine="420"/>
        <w:jc w:val="left"/>
        <w:rPr>
          <w:rFonts w:ascii="宋体" w:hAnsi="宋体" w:cs="宋体"/>
          <w:sz w:val="24"/>
          <w:szCs w:val="24"/>
          <w:u w:val="single"/>
        </w:rPr>
      </w:pPr>
      <w:r>
        <w:rPr>
          <w:rFonts w:hint="eastAsia" w:ascii="宋体" w:hAnsi="宋体" w:cs="宋体"/>
          <w:sz w:val="24"/>
          <w:szCs w:val="24"/>
        </w:rPr>
        <w:t>供应商（公章）：</w:t>
      </w:r>
    </w:p>
    <w:p w14:paraId="1A5AAF62">
      <w:pPr>
        <w:snapToGrid w:val="0"/>
        <w:spacing w:line="440" w:lineRule="exact"/>
        <w:ind w:firstLine="420"/>
        <w:jc w:val="left"/>
        <w:rPr>
          <w:rFonts w:ascii="宋体" w:hAnsi="宋体" w:cs="宋体"/>
          <w:sz w:val="24"/>
          <w:szCs w:val="24"/>
        </w:rPr>
      </w:pPr>
    </w:p>
    <w:p w14:paraId="3984E237">
      <w:pPr>
        <w:snapToGrid w:val="0"/>
        <w:spacing w:line="440" w:lineRule="exact"/>
        <w:ind w:firstLine="420"/>
        <w:jc w:val="left"/>
        <w:rPr>
          <w:rFonts w:ascii="宋体" w:hAnsi="宋体" w:cs="宋体"/>
          <w:sz w:val="24"/>
          <w:szCs w:val="24"/>
        </w:rPr>
      </w:pPr>
      <w:r>
        <w:rPr>
          <w:rFonts w:hint="eastAsia" w:ascii="宋体" w:hAnsi="宋体" w:cs="宋体"/>
          <w:sz w:val="24"/>
          <w:szCs w:val="24"/>
        </w:rPr>
        <w:t xml:space="preserve">法定代表人（负责人）签字或盖章： </w:t>
      </w:r>
      <w:r>
        <w:rPr>
          <w:rFonts w:ascii="宋体" w:hAnsi="宋体" w:cs="宋体"/>
          <w:sz w:val="24"/>
          <w:szCs w:val="24"/>
        </w:rPr>
        <w:t xml:space="preserve"> </w:t>
      </w:r>
      <w:r>
        <w:rPr>
          <w:rFonts w:hint="eastAsia" w:ascii="宋体" w:hAnsi="宋体" w:cs="宋体"/>
          <w:sz w:val="24"/>
          <w:szCs w:val="24"/>
        </w:rPr>
        <w:t xml:space="preserve">年  月 </w:t>
      </w:r>
      <w:r>
        <w:rPr>
          <w:rFonts w:ascii="宋体" w:hAnsi="宋体" w:cs="宋体"/>
          <w:sz w:val="24"/>
          <w:szCs w:val="24"/>
        </w:rPr>
        <w:t xml:space="preserve"> </w:t>
      </w:r>
      <w:r>
        <w:rPr>
          <w:rFonts w:hint="eastAsia" w:ascii="宋体" w:hAnsi="宋体" w:cs="宋体"/>
          <w:sz w:val="24"/>
          <w:szCs w:val="24"/>
        </w:rPr>
        <w:t>日</w:t>
      </w:r>
    </w:p>
    <w:p w14:paraId="6A23C701">
      <w:pPr>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br w:type="page"/>
      </w:r>
    </w:p>
    <w:p w14:paraId="6CBC01E3">
      <w:pPr>
        <w:spacing w:line="0" w:lineRule="atLeast"/>
        <w:jc w:val="center"/>
        <w:rPr>
          <w:rFonts w:hint="eastAsia" w:ascii="宋体" w:hAnsi="宋体" w:eastAsia="宋体" w:cs="宋体"/>
          <w:b/>
          <w:color w:val="auto"/>
          <w:sz w:val="30"/>
          <w:szCs w:val="30"/>
          <w:highlight w:val="none"/>
        </w:rPr>
      </w:pPr>
      <w:r>
        <w:rPr>
          <w:rFonts w:hint="eastAsia" w:ascii="宋体" w:hAnsi="宋体" w:cs="宋体"/>
          <w:b/>
          <w:sz w:val="30"/>
          <w:szCs w:val="30"/>
          <w:lang w:val="en-US" w:eastAsia="zh-CN"/>
        </w:rPr>
        <w:t>技术</w:t>
      </w:r>
      <w:r>
        <w:rPr>
          <w:rFonts w:hint="eastAsia" w:ascii="宋体" w:hAnsi="宋体" w:eastAsia="宋体" w:cs="宋体"/>
          <w:b/>
          <w:sz w:val="30"/>
          <w:szCs w:val="30"/>
          <w:lang w:val="en-US" w:eastAsia="zh-CN"/>
        </w:rPr>
        <w:t>需求</w:t>
      </w:r>
      <w:r>
        <w:rPr>
          <w:rFonts w:hint="eastAsia" w:ascii="宋体" w:hAnsi="宋体" w:eastAsia="宋体" w:cs="宋体"/>
          <w:b/>
          <w:sz w:val="30"/>
          <w:szCs w:val="30"/>
        </w:rPr>
        <w:t>响应表</w:t>
      </w:r>
    </w:p>
    <w:p w14:paraId="3E0E1206">
      <w:pPr>
        <w:keepNext w:val="0"/>
        <w:keepLines w:val="0"/>
        <w:pageBreakBefore w:val="0"/>
        <w:kinsoku/>
        <w:wordWrap/>
        <w:overflowPunct/>
        <w:topLinePunct w:val="0"/>
        <w:autoSpaceDE/>
        <w:autoSpaceDN/>
        <w:bidi w:val="0"/>
        <w:spacing w:line="420" w:lineRule="exact"/>
        <w:rPr>
          <w:rFonts w:hint="eastAsia" w:ascii="宋体" w:hAnsi="宋体" w:eastAsia="宋体" w:cs="宋体"/>
          <w:color w:val="auto"/>
          <w:sz w:val="24"/>
          <w:szCs w:val="24"/>
          <w:highlight w:val="none"/>
        </w:rPr>
      </w:pPr>
    </w:p>
    <w:p w14:paraId="5FECE3C2">
      <w:pPr>
        <w:keepNext w:val="0"/>
        <w:keepLines w:val="0"/>
        <w:pageBreakBefore w:val="0"/>
        <w:kinsoku/>
        <w:wordWrap/>
        <w:overflowPunct/>
        <w:topLinePunct w:val="0"/>
        <w:autoSpaceDE/>
        <w:autoSpaceDN/>
        <w:bidi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74F0EF7D">
      <w:pPr>
        <w:pStyle w:val="9"/>
        <w:keepNext w:val="0"/>
        <w:keepLines w:val="0"/>
        <w:pageBreakBefore w:val="0"/>
        <w:widowControl w:val="0"/>
        <w:kinsoku/>
        <w:wordWrap/>
        <w:overflowPunct/>
        <w:topLinePunct w:val="0"/>
        <w:autoSpaceDE/>
        <w:autoSpaceDN/>
        <w:bidi w:val="0"/>
        <w:adjustRightInd/>
        <w:spacing w:line="420" w:lineRule="exact"/>
        <w:ind w:left="0" w:right="0" w:righ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CEC7B01">
      <w:pPr>
        <w:pStyle w:val="5"/>
        <w:ind w:left="0" w:leftChars="0" w:firstLine="0" w:firstLineChars="0"/>
        <w:rPr>
          <w:rFonts w:hint="eastAsia" w:ascii="宋体" w:hAnsi="宋体" w:eastAsia="宋体" w:cs="宋体"/>
          <w:sz w:val="24"/>
          <w:szCs w:val="24"/>
        </w:rPr>
      </w:pPr>
    </w:p>
    <w:tbl>
      <w:tblPr>
        <w:tblStyle w:val="16"/>
        <w:tblW w:w="10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55"/>
        <w:gridCol w:w="4912"/>
        <w:gridCol w:w="2700"/>
        <w:gridCol w:w="853"/>
      </w:tblGrid>
      <w:tr w14:paraId="5B04E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09" w:type="dxa"/>
            <w:shd w:val="clear" w:color="auto" w:fill="auto"/>
            <w:vAlign w:val="center"/>
          </w:tcPr>
          <w:p w14:paraId="0E5505E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155" w:type="dxa"/>
            <w:shd w:val="clear" w:color="auto" w:fill="auto"/>
            <w:vAlign w:val="center"/>
          </w:tcPr>
          <w:p w14:paraId="0B43A84C">
            <w:pPr>
              <w:keepNext w:val="0"/>
              <w:keepLines w:val="0"/>
              <w:widowControl/>
              <w:suppressLineNumbers w:val="0"/>
              <w:jc w:val="center"/>
              <w:textAlignment w:val="center"/>
              <w:rPr>
                <w:rFonts w:hint="eastAsia" w:ascii="宋体" w:hAnsi="宋体" w:eastAsia="宋体" w:cs="宋体"/>
                <w:b/>
                <w:bCs w:val="0"/>
                <w:color w:val="auto"/>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功能需求</w:t>
            </w:r>
          </w:p>
        </w:tc>
        <w:tc>
          <w:tcPr>
            <w:tcW w:w="4912" w:type="dxa"/>
            <w:shd w:val="clear" w:color="auto" w:fill="auto"/>
            <w:vAlign w:val="center"/>
          </w:tcPr>
          <w:p w14:paraId="7072CAE0">
            <w:pPr>
              <w:keepNext w:val="0"/>
              <w:keepLines w:val="0"/>
              <w:widowControl/>
              <w:suppressLineNumbers w:val="0"/>
              <w:jc w:val="center"/>
              <w:textAlignment w:val="center"/>
              <w:rPr>
                <w:rFonts w:hint="eastAsia" w:ascii="宋体" w:hAnsi="宋体" w:eastAsia="宋体" w:cs="宋体"/>
                <w:b/>
                <w:bCs w:val="0"/>
                <w:color w:val="auto"/>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需求内容</w:t>
            </w:r>
          </w:p>
        </w:tc>
        <w:tc>
          <w:tcPr>
            <w:tcW w:w="2700" w:type="dxa"/>
            <w:shd w:val="clear" w:color="auto" w:fill="auto"/>
            <w:vAlign w:val="center"/>
          </w:tcPr>
          <w:p w14:paraId="17C85504">
            <w:pPr>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响应内容</w:t>
            </w:r>
          </w:p>
        </w:tc>
        <w:tc>
          <w:tcPr>
            <w:tcW w:w="853" w:type="dxa"/>
            <w:shd w:val="clear" w:color="auto" w:fill="auto"/>
            <w:vAlign w:val="center"/>
          </w:tcPr>
          <w:p w14:paraId="55C4B985">
            <w:pPr>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响应情况</w:t>
            </w:r>
          </w:p>
        </w:tc>
      </w:tr>
      <w:tr w14:paraId="02A76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09" w:type="dxa"/>
            <w:shd w:val="clear" w:color="auto" w:fill="auto"/>
            <w:vAlign w:val="center"/>
          </w:tcPr>
          <w:p w14:paraId="3EACE6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55" w:type="dxa"/>
            <w:shd w:val="clear" w:color="auto" w:fill="auto"/>
            <w:vAlign w:val="center"/>
          </w:tcPr>
          <w:p w14:paraId="6257D0BE">
            <w:pPr>
              <w:keepNext w:val="0"/>
              <w:keepLines w:val="0"/>
              <w:widowControl/>
              <w:suppressLineNumbers w:val="0"/>
              <w:jc w:val="center"/>
              <w:textAlignment w:val="center"/>
              <w:rPr>
                <w:rFonts w:hint="eastAsia" w:ascii="宋体" w:hAnsi="宋体" w:eastAsia="宋体" w:cs="宋体"/>
                <w:b/>
                <w:bCs w:val="0"/>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基层医院信息管理系统（HIS）</w:t>
            </w:r>
          </w:p>
        </w:tc>
        <w:tc>
          <w:tcPr>
            <w:tcW w:w="4912" w:type="dxa"/>
            <w:shd w:val="clear" w:color="auto" w:fill="auto"/>
            <w:vAlign w:val="center"/>
          </w:tcPr>
          <w:p w14:paraId="3B463F8E">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层医院信息管理系统（HIS）具有门急诊、住院、药房等基本业务管理功能。系统需嵌入《国家基本药物处方集》和《国家基本药物临床应用指南》等资料，以协助医务人员的诊疗工作。系统需满足门诊、住院、药房药库、物资管理、财务等实际业务需要，从而进一步规范基层医务人员诊疗行为，改善医疗服务质量。</w:t>
            </w:r>
          </w:p>
          <w:p w14:paraId="2C336BC5">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color w:val="auto"/>
                <w:sz w:val="24"/>
              </w:rPr>
              <w:t>★</w:t>
            </w:r>
            <w:r>
              <w:rPr>
                <w:rFonts w:hint="eastAsia" w:ascii="宋体" w:hAnsi="宋体" w:cs="宋体"/>
                <w:color w:val="auto"/>
                <w:kern w:val="0"/>
                <w:sz w:val="21"/>
                <w:szCs w:val="21"/>
                <w:u w:val="none"/>
                <w:lang w:val="en-US" w:eastAsia="zh-CN" w:bidi="ar"/>
              </w:rPr>
              <w:t>系统</w:t>
            </w:r>
            <w:r>
              <w:rPr>
                <w:rFonts w:hint="eastAsia" w:ascii="宋体" w:hAnsi="宋体" w:cs="宋体"/>
                <w:i w:val="0"/>
                <w:iCs w:val="0"/>
                <w:color w:val="auto"/>
                <w:kern w:val="0"/>
                <w:sz w:val="21"/>
                <w:szCs w:val="21"/>
                <w:u w:val="none"/>
                <w:lang w:val="en-US" w:eastAsia="zh-CN" w:bidi="ar"/>
              </w:rPr>
              <w:t>与我院现有信息集成平台实现数据对接，包括但不限于病人信息，诊疗信息，检验检查结果等信息。</w:t>
            </w:r>
          </w:p>
          <w:p w14:paraId="46B1866E">
            <w:pPr>
              <w:keepNext w:val="0"/>
              <w:keepLines w:val="0"/>
              <w:widowControl/>
              <w:suppressLineNumbers w:val="0"/>
              <w:jc w:val="both"/>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▲系统需支持与电子病历、基本公共卫生服务系统、家庭医生签约服务系统</w:t>
            </w:r>
            <w:r>
              <w:rPr>
                <w:rFonts w:hint="eastAsia" w:ascii="宋体" w:hAnsi="宋体" w:cs="宋体"/>
                <w:i w:val="0"/>
                <w:iCs w:val="0"/>
                <w:color w:val="auto"/>
                <w:kern w:val="0"/>
                <w:sz w:val="21"/>
                <w:szCs w:val="21"/>
                <w:u w:val="none"/>
                <w:lang w:val="en-US" w:eastAsia="zh-CN" w:bidi="ar"/>
              </w:rPr>
              <w:t>、传染病前置软件、飞图影像、飞图检验检查互认、全民健康平台</w:t>
            </w:r>
            <w:r>
              <w:rPr>
                <w:rFonts w:hint="eastAsia" w:ascii="宋体" w:hAnsi="宋体" w:eastAsia="宋体" w:cs="宋体"/>
                <w:i w:val="0"/>
                <w:iCs w:val="0"/>
                <w:color w:val="000000"/>
                <w:kern w:val="0"/>
                <w:sz w:val="21"/>
                <w:szCs w:val="21"/>
                <w:u w:val="none"/>
                <w:lang w:val="en-US" w:eastAsia="zh-CN" w:bidi="ar"/>
              </w:rPr>
              <w:t>互联互通，并提供成熟度应用效果截图。系统需具备以下功能：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1.门诊业务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提供基于SOAP格式电子病历或全科诊疗记录服务。包括诊疗登记、书写SOAP、门诊病历、电子处方、治疗处置、收费管理等功能。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2.住院业务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提供住院业务的综合管理。主要包括住院病人入出转业务、住院医生站业务、住院护士站业务等。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3.门诊收费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门急诊挂号管理及收费功能。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4.药房管理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实现对药品的科室入库、发退领、盘点、报损、对账等进行管理。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5.药库管理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用于管理药品从入库、储存到出库、药品盘点、药品调价等过程的管理。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6.基本药物管理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对基本药物的信息、价格进行管理。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7.物资（耗材）管理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为开展业务活动及其他活动而储存的卫生材料、低值易耗品、其他材料、专项物资等低值易耗品的管理。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8.设备管理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针对设备固定资产的管理。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9.财务管理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对机构中资金的收入、支出以及国有资产进行管理和监督。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10.综合管理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统计分析与综合查询主要用于基层机构各部门及管理者对机构的业务收支、基本医疗服务、基本公共卫生服务情况等业务数据进行统计分析，提供各类统计图表，并可进一步查询获取详细的信息列表。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11.乡村一体化管理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对辖区内村</w:t>
            </w:r>
            <w:r>
              <w:rPr>
                <w:rFonts w:hint="eastAsia" w:ascii="宋体" w:hAnsi="宋体" w:cs="宋体"/>
                <w:i w:val="0"/>
                <w:iCs w:val="0"/>
                <w:color w:val="auto"/>
                <w:kern w:val="0"/>
                <w:sz w:val="21"/>
                <w:szCs w:val="21"/>
                <w:u w:val="none"/>
                <w:lang w:val="en-US" w:eastAsia="zh-CN" w:bidi="ar"/>
              </w:rPr>
              <w:t>卫生</w:t>
            </w:r>
            <w:r>
              <w:rPr>
                <w:rFonts w:hint="eastAsia" w:ascii="宋体" w:hAnsi="宋体" w:eastAsia="宋体" w:cs="宋体"/>
                <w:i w:val="0"/>
                <w:iCs w:val="0"/>
                <w:color w:val="auto"/>
                <w:kern w:val="0"/>
                <w:sz w:val="21"/>
                <w:szCs w:val="21"/>
                <w:u w:val="none"/>
                <w:lang w:val="en-US" w:eastAsia="zh-CN" w:bidi="ar"/>
              </w:rPr>
              <w:t>室</w:t>
            </w:r>
            <w:r>
              <w:rPr>
                <w:rFonts w:hint="eastAsia" w:ascii="宋体" w:hAnsi="宋体" w:eastAsia="宋体" w:cs="宋体"/>
                <w:i w:val="0"/>
                <w:iCs w:val="0"/>
                <w:color w:val="000000"/>
                <w:kern w:val="0"/>
                <w:sz w:val="21"/>
                <w:szCs w:val="21"/>
                <w:u w:val="none"/>
                <w:lang w:val="en-US" w:eastAsia="zh-CN" w:bidi="ar"/>
              </w:rPr>
              <w:t>开展工作监督、业务指导、药品配送等工作，主要包括门急诊收费管理、物资管理、设备管理、财务管理。以及统计、分析及查询和咨询等综合管理模块。以实现管理的规范化，标准化。</w:t>
            </w:r>
          </w:p>
        </w:tc>
        <w:tc>
          <w:tcPr>
            <w:tcW w:w="2700" w:type="dxa"/>
            <w:shd w:val="clear" w:color="auto" w:fill="auto"/>
            <w:vAlign w:val="center"/>
          </w:tcPr>
          <w:p w14:paraId="094EBE82">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rPr>
            </w:pPr>
          </w:p>
        </w:tc>
        <w:tc>
          <w:tcPr>
            <w:tcW w:w="853" w:type="dxa"/>
            <w:shd w:val="clear" w:color="auto" w:fill="auto"/>
            <w:vAlign w:val="center"/>
          </w:tcPr>
          <w:p w14:paraId="7DD0F913">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rPr>
            </w:pPr>
          </w:p>
        </w:tc>
      </w:tr>
      <w:tr w14:paraId="47AF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709" w:type="dxa"/>
            <w:shd w:val="clear" w:color="auto" w:fill="auto"/>
            <w:vAlign w:val="center"/>
          </w:tcPr>
          <w:p w14:paraId="500FCF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55" w:type="dxa"/>
            <w:shd w:val="clear" w:color="auto" w:fill="auto"/>
            <w:vAlign w:val="center"/>
          </w:tcPr>
          <w:p w14:paraId="2040EF59">
            <w:pPr>
              <w:keepNext w:val="0"/>
              <w:keepLines w:val="0"/>
              <w:widowControl/>
              <w:suppressLineNumbers w:val="0"/>
              <w:jc w:val="center"/>
              <w:textAlignment w:val="center"/>
              <w:rPr>
                <w:rFonts w:hint="eastAsia" w:ascii="宋体" w:hAnsi="宋体" w:eastAsia="宋体" w:cs="宋体"/>
                <w:b w:val="0"/>
                <w:bCs/>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基层电子病历系统（EMR）</w:t>
            </w:r>
          </w:p>
        </w:tc>
        <w:tc>
          <w:tcPr>
            <w:tcW w:w="4912" w:type="dxa"/>
            <w:shd w:val="clear" w:color="auto" w:fill="auto"/>
            <w:vAlign w:val="center"/>
          </w:tcPr>
          <w:p w14:paraId="05076AD6">
            <w:pPr>
              <w:keepNext w:val="0"/>
              <w:keepLines w:val="0"/>
              <w:widowControl/>
              <w:suppressLineNumbers w:val="0"/>
              <w:jc w:val="both"/>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▲实现与HIS系统的无缝对接，提供截图证明。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主要包括病历管理、病历模板、内容管理、病历模板等基本内容。系统功能包括不限于：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1.病历管理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1）患者信息管理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主要是对患者信息的统一管理，患者办理入院后，通过与HIS系统对接，同步患者住院信息。HIS系统中患者信息不准确时，完善并修改患者基本信息。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2）病案首页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支持填写电子病历的患者基础信息。包含患者身份信息、入院诊断、其他诊断等患者基本信息的功能。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3）入院记录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记录患者的住院基本情况，基本体征信息、主诉、既往史、现病史、体格检查等体征信息。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4）住院医嘱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显示HIS中开立的长期医嘱、临时医嘱，医嘱病历只能查看、打印，不能进行编辑保存操作。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5）出院记录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记录患者的出院记录，包含入院时间、入院诊断、出院时间、出院诊断、出院医嘱、出院情况等信息。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6）死亡记录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记录患者入院后死亡的病历记录，包括入院基本情况、死亡时间、死亡原因、死亡讨论等信息。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7）病程记录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记录</w:t>
            </w:r>
            <w:r>
              <w:rPr>
                <w:rFonts w:hint="eastAsia" w:ascii="宋体" w:hAnsi="宋体" w:eastAsia="宋体" w:cs="宋体"/>
                <w:i w:val="0"/>
                <w:iCs w:val="0"/>
                <w:color w:val="000000"/>
                <w:kern w:val="0"/>
                <w:sz w:val="21"/>
                <w:szCs w:val="21"/>
                <w:u w:val="none"/>
                <w:lang w:val="en-US" w:eastAsia="zh-CN" w:bidi="ar"/>
              </w:rPr>
              <w:t>患者在院期间的病程详细记录，包括首次病程记录、日常病程记录、查房记录，主任医师查房记录等记录信息。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8）产科文书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记录的产科患者生产过程中的病历文书，包括分娩记录、产程图等文书。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9）手术记录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记录住院患者在院期间手术、麻醉的病历记录。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10）其他文书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记录患者的传染病，健康指导等病历文书。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11）护理文书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住院患者护理相关的文书，包括：体温单、护理记录、重症护理记录。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12）检查、检验报告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检查、检验报告调用的基层医疗系统中的检查、检验结果报告。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13）知情文书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记录患者</w:t>
            </w:r>
            <w:r>
              <w:rPr>
                <w:rFonts w:hint="eastAsia" w:ascii="宋体" w:hAnsi="宋体" w:cs="宋体"/>
                <w:i w:val="0"/>
                <w:iCs w:val="0"/>
                <w:color w:val="000000"/>
                <w:kern w:val="0"/>
                <w:sz w:val="21"/>
                <w:szCs w:val="21"/>
                <w:u w:val="none"/>
                <w:lang w:val="en-US" w:eastAsia="zh-CN" w:bidi="ar"/>
              </w:rPr>
              <w:t>在医</w:t>
            </w:r>
            <w:r>
              <w:rPr>
                <w:rFonts w:hint="eastAsia" w:ascii="宋体" w:hAnsi="宋体" w:eastAsia="宋体" w:cs="宋体"/>
                <w:i w:val="0"/>
                <w:iCs w:val="0"/>
                <w:color w:val="000000"/>
                <w:kern w:val="0"/>
                <w:sz w:val="21"/>
                <w:szCs w:val="21"/>
                <w:u w:val="none"/>
                <w:lang w:val="en-US" w:eastAsia="zh-CN" w:bidi="ar"/>
              </w:rPr>
              <w:t>院开立的知情文书。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14）病历质控查询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进行病历质控流程及质控记录查询，同时可以查看上级反馈的点评信息，便于对</w:t>
            </w:r>
            <w:r>
              <w:rPr>
                <w:rFonts w:hint="eastAsia" w:ascii="宋体" w:hAnsi="宋体" w:cs="宋体"/>
                <w:i w:val="0"/>
                <w:iCs w:val="0"/>
                <w:color w:val="000000"/>
                <w:kern w:val="0"/>
                <w:sz w:val="21"/>
                <w:szCs w:val="21"/>
                <w:u w:val="none"/>
                <w:lang w:val="en-US" w:eastAsia="zh-CN" w:bidi="ar"/>
              </w:rPr>
              <w:t>病历</w:t>
            </w:r>
            <w:r>
              <w:rPr>
                <w:rFonts w:hint="eastAsia" w:ascii="宋体" w:hAnsi="宋体" w:eastAsia="宋体" w:cs="宋体"/>
                <w:i w:val="0"/>
                <w:iCs w:val="0"/>
                <w:color w:val="000000"/>
                <w:kern w:val="0"/>
                <w:sz w:val="21"/>
                <w:szCs w:val="21"/>
                <w:u w:val="none"/>
                <w:lang w:val="en-US" w:eastAsia="zh-CN" w:bidi="ar"/>
              </w:rPr>
              <w:t>进行调整。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15）病历借阅申请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实现已归档病历的借阅管理，不可进行修改，病历查看完成后进行归还病历操作。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2.病历模板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1）病历模板列表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基于系统标准模板维护本院内私有模板、科室模板、个人模板。提供复制、编辑、删除、预览等模板的常用操作。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2）科室模板设置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基于系统标准模板维护本院内私有模板、科室模板、个人模板提供启用和停用操作。科室可以控制只使用符合本科室的母版模板。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3.内容模板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内容模板方便医生书写电子病历过程中将固定的书写内容，文本编辑为特定的模板，在书写过程中调用方便书写，包括词条管理和元素维护。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4.病案管理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1）病案归档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可以查看住院医生提交的电子病历，可以对提交的病历进行退回和归档、评分操作。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2）已归档病案管理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可以查看病案室提交的电子病历，可以对提交的病历进行保存和回退归档。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3）病历借阅审批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可对他人申请借阅的病历进行批准借阅或者拒绝借阅。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4.质控管理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1）时间质控设置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可以对本机构书写病历的分类进行时间的质控设置；以便监管各科室医生病历的书写时限。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2）质控流程设置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可以设置多级质控，可以对每级质控添加评分设置，进行拓展，通过科室、角色与权限来控制不同人员的质控内容和评分权限，主要是根据科室给相应人员分配对应的质控等级和打分权限。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3）病历质控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各级质控医生可以根据自己权限对病历内容进行审查或评分，可以对病历进行审查、提交、评分和驳回操作。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4）评分项目设置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主要是维护机构的评分项目及评分内容，可以自定义维护，也可以使用初始化的评分项目。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5）回退病案审核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病案室已归档病历可以操作回退申请，该模块可以对病案室发起的回退申请进行审核，可以操作同意或驳回。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6）质控病历查询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展示各个科室超时未书写的病历，质控室可以对超时的病历进行锁定。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7）质控病历解锁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对超时病历进行手动锁定或系统自动锁定后，科室医生可以对锁定的病历申请解锁。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5.统计分析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实现对患者病历信息统计分析的功能。</w:t>
            </w:r>
          </w:p>
        </w:tc>
        <w:tc>
          <w:tcPr>
            <w:tcW w:w="2700" w:type="dxa"/>
            <w:shd w:val="clear" w:color="auto" w:fill="auto"/>
            <w:vAlign w:val="center"/>
          </w:tcPr>
          <w:p w14:paraId="18246BF9">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c>
          <w:tcPr>
            <w:tcW w:w="853" w:type="dxa"/>
            <w:shd w:val="clear" w:color="auto" w:fill="auto"/>
            <w:vAlign w:val="center"/>
          </w:tcPr>
          <w:p w14:paraId="39C6B8EF">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r>
      <w:tr w14:paraId="10AA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09" w:type="dxa"/>
            <w:shd w:val="clear" w:color="auto" w:fill="auto"/>
            <w:vAlign w:val="center"/>
          </w:tcPr>
          <w:p w14:paraId="414FA2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55" w:type="dxa"/>
            <w:shd w:val="clear" w:color="auto" w:fill="auto"/>
            <w:vAlign w:val="center"/>
          </w:tcPr>
          <w:p w14:paraId="52D9778A">
            <w:pPr>
              <w:keepNext w:val="0"/>
              <w:keepLines w:val="0"/>
              <w:widowControl/>
              <w:suppressLineNumbers w:val="0"/>
              <w:jc w:val="center"/>
              <w:textAlignment w:val="center"/>
              <w:rPr>
                <w:rFonts w:hint="eastAsia" w:ascii="宋体" w:hAnsi="宋体" w:eastAsia="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基层医学检验信息系统（LIS）</w:t>
            </w:r>
          </w:p>
        </w:tc>
        <w:tc>
          <w:tcPr>
            <w:tcW w:w="4912" w:type="dxa"/>
            <w:shd w:val="clear" w:color="auto" w:fill="auto"/>
            <w:vAlign w:val="center"/>
          </w:tcPr>
          <w:p w14:paraId="5319B632">
            <w:pPr>
              <w:keepNext w:val="0"/>
              <w:keepLines w:val="0"/>
              <w:widowControl/>
              <w:suppressLineNumbers w:val="0"/>
              <w:ind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实现医院检验室自动化、智能化检验仪器设备联机通讯；集中存储、管理和分析检验报告与数据；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1.检验申请模块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1）提供专业化检验申请模块，支持独立终端部署、嵌入式调用多种应用场景。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2）针对门诊、住院等多种应用场景，提供个性化应用页面，支持对接HIS系统快捷调取患者信息。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▲3）对检验医嘱分类管理，支持多条件医嘱检索，支持医嘱模板。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▲4）支持跟踪查询历史检验申请信息及状态，提供检验报告查询查阅。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5）提供特殊检验申请单录入模板。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2.标本备管-住院条码打印模块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1）提供在未打印标本条码的院患者列表，支持患者ID索引精准检索。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▲2）自动对检验申请项目分组共管，支持手动自定义编辑共管分管。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3）支持对已打印标本条码进行检索查询，支持补打及重编。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3.标本备管-门诊条码打印模块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1）支持患者ID索引快捷检索。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▲2）支持预设标本采集分组，自动过滤非本工作岗位采集标本。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3）提供当前打印标本条码记录缓存，减少误操作带来的冗余操作。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4.标本采集模块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1）支持标本条码扫描操作，快捷提取标本信息。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2）针对临床住院，提供已打印标本条码的患者列表。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▲3）提供退签拒签标本提醒，支持快捷检索待重采集标本。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4）提供标本重采集快捷操作入口，完成标本补打及重采登记。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5.标本转运模块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1）提供标本转运送检双签认证，登记记录标本交接人与转运人。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▲2）自动对转运标本产生送检批次，可在交接操作过程中自动对送检批次打印清单，便于标本交接核对。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6.标本签收模块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1）提供标本送检签收双签认证，登记记录标本转运人与签收人。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2）支持批次标本签收，提供签收标本信息核对。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▲3）自动对批次签收标本产生签收批次，可在签收操作过程中自动对签收批次打印清单，便于核对。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▲4）提供标本自动拆分，根据实际检测情况自动打印实验室内标本条码。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7.标本退签模块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1）根据实际应用需求提供多种功能：不合格标本退签重采、不合格标本登记、项目退费退签。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2）不合格标本登记仅对标本不合格情况进行登记，不做标本退签。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▲3）不合格标本退签重采在的登记标本不合格情况的同时记录退签通知信息，并对临床发出提醒。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4）项目退费是检验项目申请的取消退费或项目退费申请确认。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5）标本退签过程中，自动判断标本是否登记上机检测，提示是否作废报告。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8.标本管理模块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1）支持查询追踪标本信息，提供标本全流程记录查阅。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▲2）实现对标本周转过程的全流程监管与记录，对标本TAT进行实时监控，自动分析计算标本周转时间。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3）支持自定义分组分类对标本检测项目周转时间进行配置，并依据设置对标本TAT数据进行超时分析和百分位数计算。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9.常规检测模块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1）提供多种登记上机方式：依据标本条码、病人ID等多种关键索引登记上机，检索在院患者或已签收标本信息登记上机，纯手工录入信息登记上机等。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2）提供报告列表多条件筛选查询，支持报告流程状态快速筛选及汇总数量，提供多种标识标记标本报告的特殊信息。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3）支持自定义配置参考值及适用对象，自动获取检验项目的参考值，自动对结果分析判读。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▲4）提供历史结果对比、特定项目检验结果对比、历史报告追踪等多种检测数据分析检索工具。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5）提供常用结果枚举、自动计算、科学计数法换算、报告剪切复制、结果批量修改等报告结果编辑工具。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6）支持图片文件上传编辑。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▲7）支持同标本复检、跨仪器复检等多种复检方式。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8）提供标本及报告过程记录、项目结果修改记录查询。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9）提供检验项目临床试验含义知识库，解析检测结果的生理、病理表现，提高检测报告可读性，</w:t>
            </w:r>
            <w:r>
              <w:rPr>
                <w:rFonts w:hint="eastAsia" w:ascii="宋体" w:hAnsi="宋体" w:cs="宋体"/>
                <w:i w:val="0"/>
                <w:iCs w:val="0"/>
                <w:color w:val="000000"/>
                <w:kern w:val="0"/>
                <w:sz w:val="21"/>
                <w:szCs w:val="21"/>
                <w:u w:val="none"/>
                <w:lang w:val="en-US" w:eastAsia="zh-CN" w:bidi="ar"/>
              </w:rPr>
              <w:t>适</w:t>
            </w:r>
            <w:r>
              <w:rPr>
                <w:rFonts w:hint="eastAsia" w:ascii="宋体" w:hAnsi="宋体" w:eastAsia="宋体" w:cs="宋体"/>
                <w:i w:val="0"/>
                <w:iCs w:val="0"/>
                <w:color w:val="000000"/>
                <w:kern w:val="0"/>
                <w:sz w:val="21"/>
                <w:szCs w:val="21"/>
                <w:u w:val="none"/>
                <w:lang w:val="en-US" w:eastAsia="zh-CN" w:bidi="ar"/>
              </w:rPr>
              <w:t>用于检验科室的标本检测与临床申请科室的报告查阅。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10.报告审核管理模块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1）报告审核支持多级审核制度、CA认证与电子签名。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2）提供报告完整性、合理性分析，对不符合审核规则的报告进行提醒。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3）提供实验室检测报告集中审核及发布，支持对报告依据结果进行分类过滤筛选。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4）支持特殊报告模板维护。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11.报告查阅模块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1）支持独立终端部署与嵌入式调用。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2）支持根据使用者进行查询权限控制。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3）支持查阅项目试验含义知识库。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▲4）支持对检测项目历史结果对比。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▲5）支持查询标本流转过程。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6）支持下载检测报告PDF。</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12.数据统计分析模块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1）整合数据，统计分析。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▲2）支持标本量、报告量、危急报告、不合格标本、检验项目结果、微生物细菌药敏、WHONET、传染病等多类数据统计分析。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3）支持各类统计数据的图表分析，如饼状图、变化曲线图、柱状图等。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4）支持统计数据形成数据报表或导出电子表格。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5）支持根据实验室的具体要求和特色化管理需求自定义统计分析报表。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13.排班与交接班模块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支持排班交班分班管理。</w:t>
            </w:r>
          </w:p>
        </w:tc>
        <w:tc>
          <w:tcPr>
            <w:tcW w:w="2700" w:type="dxa"/>
            <w:shd w:val="clear" w:color="auto" w:fill="auto"/>
            <w:vAlign w:val="center"/>
          </w:tcPr>
          <w:p w14:paraId="27F5E54E">
            <w:pPr>
              <w:pageBreakBefore w:val="0"/>
              <w:widowControl/>
              <w:kinsoku/>
              <w:wordWrap/>
              <w:overflowPunct/>
              <w:topLinePunct w:val="0"/>
              <w:autoSpaceDE/>
              <w:autoSpaceDN/>
              <w:bidi w:val="0"/>
              <w:adjustRightInd/>
              <w:spacing w:line="300" w:lineRule="exact"/>
              <w:jc w:val="left"/>
              <w:textAlignment w:val="auto"/>
              <w:rPr>
                <w:rFonts w:hint="eastAsia" w:ascii="宋体" w:hAnsi="宋体" w:eastAsia="宋体" w:cs="宋体"/>
                <w:sz w:val="21"/>
                <w:szCs w:val="21"/>
              </w:rPr>
            </w:pPr>
          </w:p>
        </w:tc>
        <w:tc>
          <w:tcPr>
            <w:tcW w:w="853" w:type="dxa"/>
            <w:shd w:val="clear" w:color="auto" w:fill="auto"/>
            <w:vAlign w:val="center"/>
          </w:tcPr>
          <w:p w14:paraId="7421A596">
            <w:pPr>
              <w:pageBreakBefore w:val="0"/>
              <w:widowControl/>
              <w:kinsoku/>
              <w:wordWrap/>
              <w:overflowPunct/>
              <w:topLinePunct w:val="0"/>
              <w:autoSpaceDE/>
              <w:autoSpaceDN/>
              <w:bidi w:val="0"/>
              <w:adjustRightInd/>
              <w:spacing w:line="300" w:lineRule="exact"/>
              <w:jc w:val="left"/>
              <w:textAlignment w:val="auto"/>
              <w:rPr>
                <w:rFonts w:hint="eastAsia" w:ascii="宋体" w:hAnsi="宋体" w:eastAsia="宋体" w:cs="宋体"/>
                <w:sz w:val="21"/>
                <w:szCs w:val="21"/>
              </w:rPr>
            </w:pPr>
          </w:p>
        </w:tc>
      </w:tr>
      <w:tr w14:paraId="3ADD2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09" w:type="dxa"/>
            <w:shd w:val="clear" w:color="auto" w:fill="auto"/>
            <w:vAlign w:val="center"/>
          </w:tcPr>
          <w:p w14:paraId="125699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55" w:type="dxa"/>
            <w:shd w:val="clear" w:color="auto" w:fill="auto"/>
            <w:vAlign w:val="center"/>
          </w:tcPr>
          <w:p w14:paraId="42A241FC">
            <w:pPr>
              <w:keepNext w:val="0"/>
              <w:keepLines w:val="0"/>
              <w:widowControl/>
              <w:suppressLineNumbers w:val="0"/>
              <w:jc w:val="center"/>
              <w:textAlignment w:val="center"/>
              <w:rPr>
                <w:rFonts w:hint="eastAsia" w:ascii="宋体" w:hAnsi="宋体" w:eastAsia="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基层影像信息系统（PACS）</w:t>
            </w:r>
          </w:p>
        </w:tc>
        <w:tc>
          <w:tcPr>
            <w:tcW w:w="4912" w:type="dxa"/>
            <w:shd w:val="clear" w:color="auto" w:fill="auto"/>
            <w:vAlign w:val="center"/>
          </w:tcPr>
          <w:p w14:paraId="25A1F895">
            <w:pPr>
              <w:keepNext w:val="0"/>
              <w:keepLines w:val="0"/>
              <w:widowControl/>
              <w:suppressLineNumbers w:val="0"/>
              <w:jc w:val="left"/>
              <w:textAlignment w:val="center"/>
              <w:rPr>
                <w:rFonts w:hint="eastAsia" w:ascii="宋体" w:hAnsi="宋体" w:eastAsia="宋体" w:cs="宋体"/>
                <w:b w:val="0"/>
                <w:bCs/>
                <w:kern w:val="0"/>
                <w:sz w:val="21"/>
                <w:szCs w:val="21"/>
              </w:rPr>
            </w:pPr>
            <w:r>
              <w:rPr>
                <w:rFonts w:hint="eastAsia" w:ascii="宋体" w:hAnsi="宋体" w:eastAsia="宋体" w:cs="宋体"/>
                <w:i w:val="0"/>
                <w:iCs w:val="0"/>
                <w:color w:val="000000"/>
                <w:kern w:val="0"/>
                <w:sz w:val="21"/>
                <w:szCs w:val="21"/>
                <w:u w:val="none"/>
                <w:lang w:val="en-US" w:eastAsia="zh-CN" w:bidi="ar"/>
              </w:rPr>
              <w:t>实现放射科、超声科、内镜科设备接入，图像存储，报告编辑以及数据的共享。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1.PACS服务器模块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提供DICOM遵从性声明，包含基本的DICOM服务：ECHOSCU/SCP、StoreSCU/SCP、Query/RetrieveSCU/SCP、StorageCommitmentSCU/SCP、StorageSCU/SCP、ModalityWorklistSCU/SCP、ModalityPerformedProcedureStepManagementSCU/SCP、PrintSCU/SCP、VerificationSCU/SCP、StructuredReporting、DICOMGrayscaleSoftcopyPresentationState、HangingProtocol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2）遵循DICOM3.0,IHE-C,HL7等标准和协议。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3）提供完善的数据加密与解密浏览。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4）数据库支持一体化设计，同时满足放射、超声、内镜、心电等科室系统管理。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5）系统提供统一接口，实现PACS系统与第三方系统融合。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6）支持集群体系架构，支持双机热备。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7）支持将归档数据上传到云平台，作为异地容灾备份。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8）可针对各种非DICOM标准影像，进行单帧或者多帧采集，并转换为标准DICOM格式，能够对非DICOM标准影像采集实时显示，调节图像对比度、亮度、饱和度、色度等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9）拥有登记、预约、检查、报告、审核、发布等完整的影像科工作流程功能。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10）支持用户管理功能，提供包括用户添加、修改、删除、权限管理、工作组管理等。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11）有完整的影像状态日志记录系统，对图像、报告等信息及系统的修改、增加、删除均有日志记录。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12）全中文操作界面，并提供全中文说明书。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13）可进行客户端版本管理，发布客户端升级程序，可让客户端自动更新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14）对从设备接收</w:t>
            </w:r>
            <w:r>
              <w:rPr>
                <w:rFonts w:hint="eastAsia" w:ascii="宋体" w:hAnsi="宋体" w:cs="宋体"/>
                <w:i w:val="0"/>
                <w:iCs w:val="0"/>
                <w:color w:val="000000"/>
                <w:kern w:val="0"/>
                <w:sz w:val="21"/>
                <w:szCs w:val="21"/>
                <w:u w:val="none"/>
                <w:lang w:val="en-US" w:eastAsia="zh-CN" w:bidi="ar"/>
              </w:rPr>
              <w:t>到</w:t>
            </w:r>
            <w:r>
              <w:rPr>
                <w:rFonts w:hint="eastAsia" w:ascii="宋体" w:hAnsi="宋体" w:eastAsia="宋体" w:cs="宋体"/>
                <w:i w:val="0"/>
                <w:iCs w:val="0"/>
                <w:color w:val="000000"/>
                <w:kern w:val="0"/>
                <w:sz w:val="21"/>
                <w:szCs w:val="21"/>
                <w:u w:val="none"/>
                <w:lang w:val="en-US" w:eastAsia="zh-CN" w:bidi="ar"/>
              </w:rPr>
              <w:t>的图像进行归档，并支持自动登记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15）支持用户管理和用户权限管理。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16）支持系统日志管理，提供系统DICOM图像传输日志，系统设置修改日志等；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17）支持客户端同步服务器时间，当客户端和服务器时间不一致情况下，客户端自动同步服务器时间。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18）支持接口回传程序异常中断后重连。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19）支持危急值设置和流程管理，医生根据危急值设置选择患者是否</w:t>
            </w:r>
            <w:r>
              <w:rPr>
                <w:rFonts w:hint="eastAsia" w:ascii="宋体" w:hAnsi="宋体" w:cs="宋体"/>
                <w:i w:val="0"/>
                <w:iCs w:val="0"/>
                <w:color w:val="000000"/>
                <w:kern w:val="0"/>
                <w:sz w:val="21"/>
                <w:szCs w:val="21"/>
                <w:u w:val="none"/>
                <w:lang w:val="en-US" w:eastAsia="zh-CN" w:bidi="ar"/>
              </w:rPr>
              <w:t>危急</w:t>
            </w:r>
            <w:r>
              <w:rPr>
                <w:rFonts w:hint="eastAsia" w:ascii="宋体" w:hAnsi="宋体" w:eastAsia="宋体" w:cs="宋体"/>
                <w:i w:val="0"/>
                <w:iCs w:val="0"/>
                <w:color w:val="000000"/>
                <w:kern w:val="0"/>
                <w:sz w:val="21"/>
                <w:szCs w:val="21"/>
                <w:u w:val="none"/>
                <w:lang w:val="en-US" w:eastAsia="zh-CN" w:bidi="ar"/>
              </w:rPr>
              <w:t>，发送</w:t>
            </w:r>
            <w:r>
              <w:rPr>
                <w:rFonts w:hint="eastAsia" w:ascii="宋体" w:hAnsi="宋体" w:cs="宋体"/>
                <w:i w:val="0"/>
                <w:iCs w:val="0"/>
                <w:color w:val="000000"/>
                <w:kern w:val="0"/>
                <w:sz w:val="21"/>
                <w:szCs w:val="21"/>
                <w:u w:val="none"/>
                <w:lang w:val="en-US" w:eastAsia="zh-CN" w:bidi="ar"/>
              </w:rPr>
              <w:t>危急</w:t>
            </w:r>
            <w:r>
              <w:rPr>
                <w:rFonts w:hint="eastAsia" w:ascii="宋体" w:hAnsi="宋体" w:eastAsia="宋体" w:cs="宋体"/>
                <w:i w:val="0"/>
                <w:iCs w:val="0"/>
                <w:color w:val="000000"/>
                <w:kern w:val="0"/>
                <w:sz w:val="21"/>
                <w:szCs w:val="21"/>
                <w:u w:val="none"/>
                <w:lang w:val="en-US" w:eastAsia="zh-CN" w:bidi="ar"/>
              </w:rPr>
              <w:t>值给</w:t>
            </w:r>
            <w:r>
              <w:rPr>
                <w:rFonts w:hint="eastAsia" w:ascii="宋体" w:hAnsi="宋体" w:cs="宋体"/>
                <w:i w:val="0"/>
                <w:iCs w:val="0"/>
                <w:color w:val="000000"/>
                <w:kern w:val="0"/>
                <w:sz w:val="21"/>
                <w:szCs w:val="21"/>
                <w:u w:val="none"/>
                <w:lang w:val="en-US" w:eastAsia="zh-CN" w:bidi="ar"/>
              </w:rPr>
              <w:t>危急</w:t>
            </w:r>
            <w:r>
              <w:rPr>
                <w:rFonts w:hint="eastAsia" w:ascii="宋体" w:hAnsi="宋体" w:eastAsia="宋体" w:cs="宋体"/>
                <w:i w:val="0"/>
                <w:iCs w:val="0"/>
                <w:color w:val="000000"/>
                <w:kern w:val="0"/>
                <w:sz w:val="21"/>
                <w:szCs w:val="21"/>
                <w:u w:val="none"/>
                <w:lang w:val="en-US" w:eastAsia="zh-CN" w:bidi="ar"/>
              </w:rPr>
              <w:t>值系统。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20）支持DICOM3.0相关存储标准。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21）支持DICOM3.0数据压缩算法，支持Jpeg、Jpeg-Lossless、Jpeg2000、Jpeg-LS、Deflate等有损及无损压缩模式。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22）系统支持在线、近线和离线三种存储状态，支持影像数据的短期存储管理和长期存储管理。采用冗余存储技术和镜像存储方式。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23）采用数据库与影像数据分离存储方式，用优化的算法进行数据库管理，保障海量数据存储与检索。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24）具有影像数据存储状态提示功能。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25）数据离线又需要诊断时，可随时通过PACS系统读取病人数据。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26）具有严格的用户分级数据访问安全管理机制。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27）具有优秀的可升级性与扩展性，存档图像进行自动管理，可以对存储空间进行自动控制，具有自动备份及手动备份功能，有完善的系统监控及警示功能，并有详细的日志记录。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2.登记预约模块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1）支持患者基本信息的新建、保存、修改、删除。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）支</w:t>
            </w:r>
            <w:r>
              <w:rPr>
                <w:rFonts w:hint="eastAsia" w:ascii="宋体" w:hAnsi="宋体" w:eastAsia="宋体" w:cs="宋体"/>
                <w:i w:val="0"/>
                <w:iCs w:val="0"/>
                <w:color w:val="000000"/>
                <w:kern w:val="0"/>
                <w:sz w:val="21"/>
                <w:szCs w:val="21"/>
                <w:u w:val="none"/>
                <w:lang w:val="en-US" w:eastAsia="zh-CN" w:bidi="ar"/>
              </w:rPr>
              <w:t>持多种病人信息录入方式(包括病人的基本信息及申请单信息)：包括手工录入、条形码识别、HIS获取、磁卡读取等。同时支持通过扫描仪、数码相机等方式将申请单输入到计算机,保存临床申请信息，并与患者信息、影像对应存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不同数据来源登记，分为普通登记、体检登记、HIS登记三种等级数据来源，编辑患者的基本信息、住院信息、检查项目等，进行患者登记或者预约操作，其中体检登记和HIS登记可通过扫码获取患者信息进行登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4）支持快速批量登记。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5）支持急诊、门诊、住院、体检等各种病人类型的登记，并支持优先级设置。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6）支持复诊功能，非首次诊断可直接转为复诊，或者就诊中需要增加检查项目。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7）支持患者信息的多条件查询（姓名、编号、设备类型、检查时间等）。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8）支持数据字典的维护（患者来源、检查号设置、费用类别、检查部位、申请科室管理、医院名称、检查医师、设备管理、胶片尺寸维护等）。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9）支持调取重复检查的老患者信息（根据检查号、姓名自动调取）。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10）支持患者申请单的扫描、DICOM方式保存、删除。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11）支持ModalityWorklist，支持中文转拼音，中文转拼音转中文等多种传送模式。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12）支持预约登记功能，可根据需要预约未来任意日期，任意时间，并提供预约单打印功能。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13）提供全面的系统设置界面，包括条码打印设置、输入法设置、流水号设置、输入项目设置等多项参数设置。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14）支持预约列表查看，提供患者姓名、门诊号、送诊科室、查询时间等多条件综合检索。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15）支持病人姓名、性别、检查时间、住院信息、报告/送诊/审核医师、诊断结论等多条件检索功能。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16）支持申请单查看。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17）支持有权限的用户进行报告查看、删除、病人信息修改等功能。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18）支持图像查看、病人检查状态等信息查看。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19）支持登记分打印机打印功能，可以同时设置分诊单、报告、条码等多个默认打印机。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20）支持自定义生成检查号，可按照医院的要求对检查号进行自定义设置。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3.排队叫号模块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1）排队叫号支持动态排序、固定排序方式。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2）排队叫号分组规则支持按照设备类型、按科室分组。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3）排队叫号登记时间支持1天，2天，3天，1周并且支持不限制时间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4）排队叫号显示界面支持患者姓名加密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5）排队叫号显示界面支持播放语速、播放次数、滚动速度、滚动</w:t>
            </w:r>
            <w:r>
              <w:rPr>
                <w:rFonts w:hint="eastAsia" w:ascii="宋体" w:hAnsi="宋体" w:cs="宋体"/>
                <w:i w:val="0"/>
                <w:iCs w:val="0"/>
                <w:color w:val="000000"/>
                <w:kern w:val="0"/>
                <w:sz w:val="21"/>
                <w:szCs w:val="21"/>
                <w:u w:val="none"/>
                <w:lang w:val="en-US" w:eastAsia="zh-CN" w:bidi="ar"/>
              </w:rPr>
              <w:t>方向</w:t>
            </w:r>
            <w:r>
              <w:rPr>
                <w:rFonts w:hint="eastAsia" w:ascii="宋体" w:hAnsi="宋体" w:eastAsia="宋体" w:cs="宋体"/>
                <w:i w:val="0"/>
                <w:iCs w:val="0"/>
                <w:color w:val="000000"/>
                <w:kern w:val="0"/>
                <w:sz w:val="21"/>
                <w:szCs w:val="21"/>
                <w:u w:val="none"/>
                <w:lang w:val="en-US" w:eastAsia="zh-CN" w:bidi="ar"/>
              </w:rPr>
              <w:t>等多种方式的调整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6）排队叫号支持自定义文本呼叫，支持多种语音切换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7）排队叫号呼叫端与技师工作站在同一界面，方便技师操作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8）呼叫段支持检测完成标记，支持过号功能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9）排队叫号护士工作站支持患者队列排序，支持置顶，转移等操作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4.放射诊断报告模块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1）支持报告的诊断、审核、打印、浏览、对比等完善的报告诊断流程功能。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2）支持检查状态的自动变更（已预约、已登记、已检查、已诊断、已审核等）且为不同检查状态赋予不同颜色提醒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3）支持报告签名与CA电子签名对接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4）支持自定义条件查询，可通过自定义条件快速查找病人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5）支持结构化报告功能，且可根据结构化报告相应字段进行统计分析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6）报告格式的任意自定义、历史报告自动查询、浏览、引入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7）报告模板的自动切换功能，可根据不同设备类型或用户习惯自动切换报告模板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8）保留患者报告的所有修改痕迹，且可以对进行修改的痕迹进行对比、追踪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9）图文报告模块（可在报告中添加图片）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10）ICD10编码归类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11）对患者可进行标记，通过标记教学、典型作为病例收藏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12）收藏病理的查询和管理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13）可对影像质量、报告质量</w:t>
            </w:r>
            <w:r>
              <w:rPr>
                <w:rFonts w:hint="eastAsia" w:ascii="宋体" w:hAnsi="宋体" w:cs="宋体"/>
                <w:i w:val="0"/>
                <w:iCs w:val="0"/>
                <w:color w:val="000000"/>
                <w:kern w:val="0"/>
                <w:sz w:val="21"/>
                <w:szCs w:val="21"/>
                <w:u w:val="none"/>
                <w:lang w:val="en-US" w:eastAsia="zh-CN" w:bidi="ar"/>
              </w:rPr>
              <w:t>进行</w:t>
            </w:r>
            <w:r>
              <w:rPr>
                <w:rFonts w:hint="eastAsia" w:ascii="宋体" w:hAnsi="宋体" w:eastAsia="宋体" w:cs="宋体"/>
                <w:i w:val="0"/>
                <w:iCs w:val="0"/>
                <w:color w:val="000000"/>
                <w:kern w:val="0"/>
                <w:sz w:val="21"/>
                <w:szCs w:val="21"/>
                <w:u w:val="none"/>
                <w:lang w:val="en-US" w:eastAsia="zh-CN" w:bidi="ar"/>
              </w:rPr>
              <w:t>质量评价（评级、评分等）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14）通过配置不同权限，用户可在报告列表刷新、修改患者信息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15）可以按检查状态，如已预约、已登记、已检查、已诊断、已审核、已打印进行快速查询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16）可以按检查类型，如超声、内镜、病理、CR、DR、体检、数字胃肠、CT、MR、DSA等进行快速查询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17）可按起止日期查询患者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18）可按照急诊、普通、未知等优先级分类患者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19）可通过患者关键字检索查询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20）患者补打条形码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21）支持报告锁定与解锁功能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22）支持报告退回功能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23）对已审核、已打印状态的患者报告的特殊处理渠道，对应需要权限控制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24）可随时调阅患者病历数据、既往报告和影像或其他影像检查数据（超声、心电、内镜等）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25）支持危急值手动、自动上报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26）支持对已诊断（已完成图像采集）的信息发起会诊，会诊类型包括视频会诊和报告会诊，发起后可取消会诊。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5.放射影像工作站模块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1）提供灵活的影像预览布局；提供多序列格布局、序列联动、多序列联动、关键影像/复选联动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2）提供完善的调窗设置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3）支持水平镜像、垂直镜像、左、右、任意旋转；增强；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4）提供丰富的图像对比功能，浏览不同平面的系列图像时，自动显示交叉定位线可更好地展示相互间的关系；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5）支持DICOM打印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6）支持直线、矩形、多边形、椭圆、圆等多种长度、面积测量方式。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7）支持文字、箭头等多种标注方式。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8）支持测量标注的添加和删除。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9）支持标记文字的自由移动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10）支持显示全部定位线、单一定位线、首尾定位线、当前序列定位线。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11）支持胶片打印，对打印图像进行调窗、缩放、平移、反白、旋转等操作。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12）提供丰富的三维后处理模块，MPR多平面重建(支持任意旋转)；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13）提供CPR任意曲线切面重建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14）支持MIP最大密度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15）支持SSD表面重建；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6.超声诊断工作站模块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1）支持调阅患者申请单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2）编辑患者影像所见、影像意见等报告内容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3）可通过各种筛选条件对报告信息进行检索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4）查询患者所有历史检查报告信息（包括放射、心电等其他影像科室影像和报告）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5）患者历史报告对比，包括影像调阅对比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6）对患者报告质量、影像质量进行评价操作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7）提供报告所有修改操作记录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8）调阅患者第三方系统中对应申请单数据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9）提供报告应急处理，已审核已打印的患者重新修改报告，属于特殊权限流程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10）支持各种高清、标清采集卡采集图像、支持DICOM传输影像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11）支持对已诊断（已完成图像采集）的信息发起会诊，会诊类型包括“视频会诊”和“报告会诊”，发起后可取消会诊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12）支持实时叫号功能，可直接通过诊断工作站进行叫号，并通过登记列表自动调入患者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13）支持在诊断页面中添加检查项目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14）提供手动采集图像、实时影像查看、导入本地图像、采集录制视频、缓存采集到的图像功能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15）支持危急值手动、自动上报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超声影像处理，支持平移、缩放、调整窗宽窗位、序列切换、复位、放大镜、四角信息、影像排列、左右标记、测量、标注、清除、保存、播放、翻页、定位线、排序、拼接、拆分、打印、视窗、显示调节、反色、伪彩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17）对超声进行质量评价打分，并输入质量评价报告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7.内镜诊断工作站模块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1）支持调阅患者申请单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2）编辑患者影像所见、影像意见等报告内容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3）可通过各种筛选条件对报告信息进行检索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4）查询患者所有历史检查报告信息（包括放射、心电等其他影像科室影像和报告）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5）患者历史报告对比，包括影像调阅对比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6）对患者报告质量、影像质量进行评价操作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7）提供报告所有修改操作记录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8）调阅患者第三方系统中对应申请单数据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9）提供报告应急处理，已审核已打印的患者重新修改报告，属于特殊权限流程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10）支持各种高清、标清采集卡采集图像、支持DICOM传输影像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11）支持对已诊断（已完成图像采集）的信息发起会诊，会诊类型包括“视频会诊”和“报告会诊”，发起后可取消会诊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12）支持实时叫号功能，可直接通过诊断工作站进行叫号，并通过登记列表自动调入患者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13）支持在诊断页面中添加检查项目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14）提供手动采集图像、实时影像查看、导入本地图像、采集录制视频、缓存采集到的图像功能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15）支持危急值手动、自动上报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内镜影像处理，支持平移、缩放、调整窗宽窗位、序列切换、复位、放大镜、四角信息、影像排列、左右标记、测量、标注、清除、保存、播放、翻页、定位线、排序、拼接、拆分、打印、视窗、显示调节、反色、伪彩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17）对内镜进行质量评价打分，并输入质量评价报告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8.统计分析模块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1）登记医生工作量统计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2）送诊医师送诊人数和收入统计。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3）检查医师检查人数统计。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4）报告医师工作量和收入统计。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5）审核医师工作量统计。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6）送诊科室送诊人数和收入统计。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7）按病区进行人数统计和收入统计。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8）按每类设备进行检查人数和收入统计。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9）按每台设备进行检查人数和收入统计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10）病人来源人数和收入统计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11）按疾病编码ICD10统计人数和收入。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12）按疾病编码ACR统计人数和收入。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13）胶片使用情况统计分析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14）按检查项目统计人数和收入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15）按检查部位统计人数和收入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16）图像质量统计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17）报告评分工作量统计。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18）曝光次数统计。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19）影像诊断和入院诊断符合率统计。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20）影像诊断和出院诊断符合率统计。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21）影像诊断和病理诊断符合率统计。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22）报告医师、审核医师、检查医师工作量的年度对比分析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23）检查设备检查人数的年度对比分析。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24）检查项目收入分类统计。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25）送诊科室、送诊医生收入统计。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26）检查设备收入统计。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27）支持可以通过配置快速实现用户自定义统计需求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9.临床调阅模块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1）支持通过查询条件查询检查信息，支持姓名、检查编号、门诊号、住院号、身份证号等方式的查询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2）支持患者当前报告，历史报告的调阅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3）支持患者当前检查影像数据，历史影像数据的调阅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4）支持查看申请单及数据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5）支持查看危机值信息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6）支持影像数据的导出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7）支持报告的打印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影像处理，支持平移、缩放、调整窗宽窗位、序列切换、复位、放大镜、四角信息、影像排列、左右标记、测量、标注、清除、保存、播放、翻页、定位线、排序、拼接、拆分、打印、视窗、显示调节、反色、伪彩色。</w:t>
            </w:r>
          </w:p>
        </w:tc>
        <w:tc>
          <w:tcPr>
            <w:tcW w:w="2700" w:type="dxa"/>
            <w:shd w:val="clear" w:color="auto" w:fill="auto"/>
            <w:vAlign w:val="center"/>
          </w:tcPr>
          <w:p w14:paraId="475DA580">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bCs/>
                <w:sz w:val="21"/>
                <w:szCs w:val="21"/>
              </w:rPr>
            </w:pPr>
          </w:p>
        </w:tc>
        <w:tc>
          <w:tcPr>
            <w:tcW w:w="853" w:type="dxa"/>
            <w:shd w:val="clear" w:color="auto" w:fill="auto"/>
            <w:vAlign w:val="center"/>
          </w:tcPr>
          <w:p w14:paraId="3AF2EEB9">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bCs/>
                <w:sz w:val="21"/>
                <w:szCs w:val="21"/>
              </w:rPr>
            </w:pPr>
          </w:p>
        </w:tc>
      </w:tr>
      <w:tr w14:paraId="767D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709" w:type="dxa"/>
            <w:shd w:val="clear" w:color="auto" w:fill="auto"/>
            <w:vAlign w:val="center"/>
          </w:tcPr>
          <w:p w14:paraId="7559B3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1155" w:type="dxa"/>
            <w:shd w:val="clear" w:color="auto" w:fill="auto"/>
            <w:vAlign w:val="center"/>
          </w:tcPr>
          <w:p w14:paraId="4D4B4F57">
            <w:pPr>
              <w:keepNext w:val="0"/>
              <w:keepLines w:val="0"/>
              <w:widowControl/>
              <w:suppressLineNumbers w:val="0"/>
              <w:jc w:val="center"/>
              <w:textAlignment w:val="center"/>
              <w:rPr>
                <w:rFonts w:hint="eastAsia" w:ascii="宋体" w:hAnsi="宋体" w:eastAsia="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移动公卫系统（含两卡制</w:t>
            </w:r>
            <w:r>
              <w:rPr>
                <w:rFonts w:hint="eastAsia" w:ascii="宋体" w:hAnsi="宋体" w:cs="宋体"/>
                <w:i w:val="0"/>
                <w:iCs w:val="0"/>
                <w:color w:val="000000"/>
                <w:kern w:val="0"/>
                <w:sz w:val="21"/>
                <w:szCs w:val="21"/>
                <w:u w:val="none"/>
                <w:lang w:val="en-US" w:eastAsia="zh-CN" w:bidi="ar"/>
              </w:rPr>
              <w:t>管理系统及</w:t>
            </w:r>
            <w:r>
              <w:rPr>
                <w:rFonts w:hint="eastAsia" w:ascii="宋体" w:hAnsi="宋体" w:eastAsia="宋体" w:cs="宋体"/>
                <w:i w:val="0"/>
                <w:iCs w:val="0"/>
                <w:color w:val="000000"/>
                <w:kern w:val="0"/>
                <w:sz w:val="21"/>
                <w:szCs w:val="21"/>
                <w:u w:val="none"/>
                <w:lang w:val="en-US" w:eastAsia="zh-CN" w:bidi="ar"/>
              </w:rPr>
              <w:t>人脸识别）</w:t>
            </w:r>
          </w:p>
        </w:tc>
        <w:tc>
          <w:tcPr>
            <w:tcW w:w="4912" w:type="dxa"/>
            <w:shd w:val="clear" w:color="auto" w:fill="auto"/>
            <w:vAlign w:val="center"/>
          </w:tcPr>
          <w:p w14:paraId="3556AAD3">
            <w:pPr>
              <w:keepNext w:val="0"/>
              <w:keepLines w:val="0"/>
              <w:widowControl/>
              <w:suppressLineNumbers w:val="0"/>
              <w:ind w:firstLine="420" w:firstLineChars="200"/>
              <w:jc w:val="both"/>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移动公卫系统主要是为村医/家庭医生做基本公共卫生服务时提供基本公卫服务数据的录入软件。乡镇卫生院和村卫生室的医生手持移动端进行公共卫生服务时，可实时在线调阅居民健康档案、记录随访数据，随访数据在PAD录入后将同步上传到基本公卫系统，保证公卫数据采集的实时性、一致性</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系统需具备以下功能：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1.新增家庭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管理家庭信息，包含查询家庭、新增家庭电子档案录入家庭基本信息、编辑家庭基本信息、以及新增家庭成员。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2.新增成员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添加及维护居民档案信息，包括基本信息、各类人群专项档案信息以及体检信息。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3.高血压随访管理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新增、编辑、修改、删除高血压患者随访记录。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4.二型糖尿病随访管理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新增、编辑、修改、删除糖尿病患者随访记录。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5.肺结核管理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新增、编辑、修改、删除肺结核患者随访记录。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6.冠心病管理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新增、编辑、修改、删除冠心病患者随访记录。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7.脑卒中管理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新增、编辑、修改、删除脑卒中患者随访记录。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8.残疾人管理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新增、编辑、修改、删除残疾人随访记录。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9.老年人管理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通过老年人管理功能，实现老年人自理能力评估、老人抑郁调查、老人认知调查等。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10.严重精神障碍患者管理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新增、编辑、修改、删除严重精神障碍患者随访记录。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11.儿童管理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新增、编辑、修改、删除0~6岁儿童随访记录。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12.孕产妇管理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通过妇女健康管理功能，实现孕产妇登记、第一次产前随访、第2~5次产前随访、分娩登记、产后访视、产后42天随访管理。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13.体检管理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新增、编辑、修改、删除残体检记录。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14.老年人中医药健康管理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通过老年人中医保健管理功能，实现老年人中医药健康管理服务内容的新增，对老年人中医保健随访等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15.查询统计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可按时间段，查询统计各类人群服务数量。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16.数据上传管理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通过上传功能将数据上传到冠新公卫系统中。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17.两卡制人脸识别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通过移动终端进行活体检测，并提交采集的身份信息及人脸照片到中心，实现人脸识别；用于基本公共卫生服务的真实性确认环节</w:t>
            </w:r>
            <w:r>
              <w:rPr>
                <w:rFonts w:hint="eastAsia" w:ascii="宋体" w:hAnsi="宋体" w:cs="宋体"/>
                <w:i w:val="0"/>
                <w:iCs w:val="0"/>
                <w:color w:val="000000"/>
                <w:kern w:val="0"/>
                <w:sz w:val="21"/>
                <w:szCs w:val="21"/>
                <w:u w:val="none"/>
                <w:lang w:val="en-US" w:eastAsia="zh-CN" w:bidi="ar"/>
              </w:rPr>
              <w:t>。</w:t>
            </w:r>
          </w:p>
        </w:tc>
        <w:tc>
          <w:tcPr>
            <w:tcW w:w="2700" w:type="dxa"/>
            <w:shd w:val="clear" w:color="auto" w:fill="auto"/>
            <w:vAlign w:val="center"/>
          </w:tcPr>
          <w:p w14:paraId="6B250A4C">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pacing w:val="-2"/>
                <w:sz w:val="21"/>
                <w:szCs w:val="21"/>
              </w:rPr>
            </w:pPr>
          </w:p>
        </w:tc>
        <w:tc>
          <w:tcPr>
            <w:tcW w:w="853" w:type="dxa"/>
            <w:shd w:val="clear" w:color="auto" w:fill="auto"/>
            <w:vAlign w:val="center"/>
          </w:tcPr>
          <w:p w14:paraId="7565F39D">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pacing w:val="-2"/>
                <w:sz w:val="21"/>
                <w:szCs w:val="21"/>
              </w:rPr>
            </w:pPr>
          </w:p>
        </w:tc>
      </w:tr>
      <w:tr w14:paraId="1DBE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shd w:val="clear" w:color="auto" w:fill="auto"/>
            <w:vAlign w:val="center"/>
          </w:tcPr>
          <w:p w14:paraId="143A29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1155" w:type="dxa"/>
            <w:shd w:val="clear" w:color="auto" w:fill="auto"/>
            <w:vAlign w:val="center"/>
          </w:tcPr>
          <w:p w14:paraId="78CD264C">
            <w:pPr>
              <w:keepNext w:val="0"/>
              <w:keepLines w:val="0"/>
              <w:widowControl/>
              <w:suppressLineNumbers w:val="0"/>
              <w:jc w:val="center"/>
              <w:textAlignment w:val="center"/>
              <w:rPr>
                <w:rFonts w:hint="eastAsia" w:ascii="宋体" w:hAnsi="宋体" w:eastAsia="宋体" w:cs="宋体"/>
                <w:b w:val="0"/>
                <w:bCs/>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基层数据智能采集系统</w:t>
            </w:r>
          </w:p>
        </w:tc>
        <w:tc>
          <w:tcPr>
            <w:tcW w:w="4912" w:type="dxa"/>
            <w:shd w:val="clear" w:color="auto" w:fill="auto"/>
            <w:vAlign w:val="center"/>
          </w:tcPr>
          <w:p w14:paraId="1EBACCBB">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系统需支持通过接口对接的方式与LIS和PACS系统进行对接，实现检查检验的结构化数据的自动上传。</w:t>
            </w:r>
          </w:p>
        </w:tc>
        <w:tc>
          <w:tcPr>
            <w:tcW w:w="2700" w:type="dxa"/>
            <w:shd w:val="clear" w:color="auto" w:fill="auto"/>
            <w:vAlign w:val="center"/>
          </w:tcPr>
          <w:p w14:paraId="4C440275">
            <w:pPr>
              <w:pageBreakBefore w:val="0"/>
              <w:widowControl/>
              <w:kinsoku/>
              <w:wordWrap/>
              <w:overflowPunct/>
              <w:topLinePunct w:val="0"/>
              <w:autoSpaceDE/>
              <w:autoSpaceDN/>
              <w:bidi w:val="0"/>
              <w:adjustRightInd/>
              <w:spacing w:line="300" w:lineRule="exact"/>
              <w:jc w:val="left"/>
              <w:textAlignment w:val="auto"/>
              <w:rPr>
                <w:rFonts w:hint="eastAsia" w:ascii="宋体" w:hAnsi="宋体" w:eastAsia="宋体" w:cs="宋体"/>
                <w:spacing w:val="-2"/>
                <w:sz w:val="21"/>
                <w:szCs w:val="21"/>
              </w:rPr>
            </w:pPr>
          </w:p>
        </w:tc>
        <w:tc>
          <w:tcPr>
            <w:tcW w:w="853" w:type="dxa"/>
            <w:shd w:val="clear" w:color="auto" w:fill="auto"/>
            <w:vAlign w:val="center"/>
          </w:tcPr>
          <w:p w14:paraId="171B5727">
            <w:pPr>
              <w:pageBreakBefore w:val="0"/>
              <w:widowControl/>
              <w:kinsoku/>
              <w:wordWrap/>
              <w:overflowPunct/>
              <w:topLinePunct w:val="0"/>
              <w:autoSpaceDE/>
              <w:autoSpaceDN/>
              <w:bidi w:val="0"/>
              <w:adjustRightInd/>
              <w:spacing w:line="300" w:lineRule="exact"/>
              <w:jc w:val="left"/>
              <w:textAlignment w:val="auto"/>
              <w:rPr>
                <w:rFonts w:hint="eastAsia" w:ascii="宋体" w:hAnsi="宋体" w:eastAsia="宋体" w:cs="宋体"/>
                <w:spacing w:val="-2"/>
                <w:sz w:val="21"/>
                <w:szCs w:val="21"/>
              </w:rPr>
            </w:pPr>
          </w:p>
        </w:tc>
      </w:tr>
      <w:tr w14:paraId="12E8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09" w:type="dxa"/>
            <w:shd w:val="clear" w:color="auto" w:fill="auto"/>
            <w:vAlign w:val="center"/>
          </w:tcPr>
          <w:p w14:paraId="34D04A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1155" w:type="dxa"/>
            <w:shd w:val="clear" w:color="auto" w:fill="auto"/>
            <w:vAlign w:val="center"/>
          </w:tcPr>
          <w:p w14:paraId="6C237397">
            <w:pPr>
              <w:keepNext w:val="0"/>
              <w:keepLines w:val="0"/>
              <w:widowControl/>
              <w:suppressLineNumbers w:val="0"/>
              <w:jc w:val="center"/>
              <w:textAlignment w:val="center"/>
              <w:rPr>
                <w:rFonts w:hint="eastAsia" w:ascii="宋体" w:hAnsi="宋体" w:eastAsia="宋体" w:cs="宋体"/>
                <w:b w:val="0"/>
                <w:bCs/>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平板电脑</w:t>
            </w:r>
          </w:p>
        </w:tc>
        <w:tc>
          <w:tcPr>
            <w:tcW w:w="4912" w:type="dxa"/>
            <w:shd w:val="clear" w:color="auto" w:fill="auto"/>
            <w:vAlign w:val="center"/>
          </w:tcPr>
          <w:p w14:paraId="330699D8">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CPU型号：高通骁龙™888：八核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屏幕尺寸：11英寸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屏幕类型：IPS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屏幕色彩：1670万色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分辨率：2800×1840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屏幕像素密度：WQXGA2560x1600像素，275PPI</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对比度：1000:1（典型值）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亮度：300nits（典型值）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电池：8300mAh（典型值）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多点触控：10点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传输功能：支持WLAN、USB、蓝牙、无线投屏、数据流量等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机身内存（ROM）：128GB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运行内存（RAM）：8GB</w:t>
            </w:r>
          </w:p>
        </w:tc>
        <w:tc>
          <w:tcPr>
            <w:tcW w:w="2700" w:type="dxa"/>
            <w:shd w:val="clear" w:color="auto" w:fill="auto"/>
            <w:vAlign w:val="center"/>
          </w:tcPr>
          <w:p w14:paraId="03A61622">
            <w:pPr>
              <w:pageBreakBefore w:val="0"/>
              <w:widowControl/>
              <w:kinsoku/>
              <w:wordWrap/>
              <w:overflowPunct/>
              <w:topLinePunct w:val="0"/>
              <w:autoSpaceDE/>
              <w:autoSpaceDN/>
              <w:bidi w:val="0"/>
              <w:adjustRightInd/>
              <w:spacing w:line="300" w:lineRule="exact"/>
              <w:jc w:val="left"/>
              <w:textAlignment w:val="auto"/>
              <w:rPr>
                <w:rFonts w:hint="eastAsia" w:ascii="宋体" w:hAnsi="宋体" w:eastAsia="宋体" w:cs="宋体"/>
                <w:spacing w:val="-2"/>
                <w:sz w:val="21"/>
                <w:szCs w:val="21"/>
              </w:rPr>
            </w:pPr>
          </w:p>
        </w:tc>
        <w:tc>
          <w:tcPr>
            <w:tcW w:w="853" w:type="dxa"/>
            <w:shd w:val="clear" w:color="auto" w:fill="auto"/>
            <w:vAlign w:val="center"/>
          </w:tcPr>
          <w:p w14:paraId="055CA492">
            <w:pPr>
              <w:pageBreakBefore w:val="0"/>
              <w:widowControl/>
              <w:kinsoku/>
              <w:wordWrap/>
              <w:overflowPunct/>
              <w:topLinePunct w:val="0"/>
              <w:autoSpaceDE/>
              <w:autoSpaceDN/>
              <w:bidi w:val="0"/>
              <w:adjustRightInd/>
              <w:spacing w:line="300" w:lineRule="exact"/>
              <w:jc w:val="left"/>
              <w:textAlignment w:val="auto"/>
              <w:rPr>
                <w:rFonts w:hint="eastAsia" w:ascii="宋体" w:hAnsi="宋体" w:eastAsia="宋体" w:cs="宋体"/>
                <w:spacing w:val="-2"/>
                <w:sz w:val="21"/>
                <w:szCs w:val="21"/>
              </w:rPr>
            </w:pPr>
          </w:p>
        </w:tc>
      </w:tr>
      <w:tr w14:paraId="1FF8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09" w:type="dxa"/>
            <w:shd w:val="clear" w:color="auto" w:fill="auto"/>
            <w:vAlign w:val="center"/>
          </w:tcPr>
          <w:p w14:paraId="198FDD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1155" w:type="dxa"/>
            <w:shd w:val="clear" w:color="auto" w:fill="auto"/>
            <w:vAlign w:val="center"/>
          </w:tcPr>
          <w:p w14:paraId="19545DB2">
            <w:pPr>
              <w:keepNext w:val="0"/>
              <w:keepLines w:val="0"/>
              <w:widowControl/>
              <w:suppressLineNumbers w:val="0"/>
              <w:jc w:val="center"/>
              <w:textAlignment w:val="center"/>
              <w:rPr>
                <w:rFonts w:hint="eastAsia" w:ascii="宋体" w:hAnsi="宋体" w:eastAsia="宋体" w:cs="宋体"/>
                <w:b w:val="0"/>
                <w:bCs/>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蓝牙指纹身份证读卡器</w:t>
            </w:r>
          </w:p>
        </w:tc>
        <w:tc>
          <w:tcPr>
            <w:tcW w:w="4912" w:type="dxa"/>
            <w:shd w:val="clear" w:color="auto" w:fill="auto"/>
            <w:vAlign w:val="center"/>
          </w:tcPr>
          <w:p w14:paraId="4995FA71">
            <w:pPr>
              <w:keepNext w:val="0"/>
              <w:keepLines w:val="0"/>
              <w:widowControl/>
              <w:suppressLineNumbers w:val="0"/>
              <w:jc w:val="both"/>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连接方式：USB2.0接口有线连接和蓝牙无线传输二合一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1.读取证件类型：居民身份证、港澳台居住证、外国人永久居住证；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2.读卡距离：0-3cm；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3.阅读时间：&lt;1.0s（带指纹信息证件&lt;1.5s）；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4.天线能量输出：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（1）天线表面磁场强度（Hmax）≤7.5A/mrms；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（2）天线表面法线方向5cm处电磁场强度（Hmin）≥1.5A/mrms；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5.工作频率(fc)13.56MHz±7kHz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6.蓝牙接口：遵循BluetoothV2.0、V4.0双模+EDR蓝牙规范，Class2功率级别。内置2.4GPCB蓝牙射频天线空旷、无遮挡地带，收发距离可达20米，具备加密与安全验证功能；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7.指纹采集器参数（采集器选配内置或外接）。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（1）传感器类型：半导体电容式；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（2）采集模式：按压式；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（3）传感器大小：23.0*35.0mm；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（3）有效图像尺寸：12.8*18.0mm；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（4）图像大小：256*360pixel；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（5）图像分辨率：508dpi；</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（6）比对方式：1：1；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（7）比对时间：≤0.1s；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8.USB接口：USB2.0接口规范；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9．适用平台：Android/IOS/WindowsXP、Windows7、Windows10等常见操作系统/Linux/UNIX；</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10.充电器：DC5V/2.0A；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11.充电接口：typec采用PC-USB或5V/2A电源适配器充电器，电流不能超过2.0A；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12.电池：4000mAh锂电池；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13.工作温度：0℃～50℃；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14.工作相对湿度：20%～90%RH；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15.贮运温度及相对湿度：-10℃～55℃；20%～93%；</w:t>
            </w:r>
          </w:p>
        </w:tc>
        <w:tc>
          <w:tcPr>
            <w:tcW w:w="2700" w:type="dxa"/>
            <w:shd w:val="clear" w:color="auto" w:fill="auto"/>
            <w:vAlign w:val="center"/>
          </w:tcPr>
          <w:p w14:paraId="46093FDC">
            <w:pPr>
              <w:pageBreakBefore w:val="0"/>
              <w:widowControl/>
              <w:kinsoku/>
              <w:wordWrap/>
              <w:overflowPunct/>
              <w:topLinePunct w:val="0"/>
              <w:autoSpaceDE/>
              <w:autoSpaceDN/>
              <w:bidi w:val="0"/>
              <w:adjustRightInd/>
              <w:spacing w:line="300" w:lineRule="exact"/>
              <w:jc w:val="left"/>
              <w:textAlignment w:val="auto"/>
              <w:rPr>
                <w:rFonts w:hint="eastAsia" w:ascii="宋体" w:hAnsi="宋体" w:eastAsia="宋体" w:cs="宋体"/>
                <w:spacing w:val="-2"/>
                <w:sz w:val="21"/>
                <w:szCs w:val="21"/>
              </w:rPr>
            </w:pPr>
          </w:p>
        </w:tc>
        <w:tc>
          <w:tcPr>
            <w:tcW w:w="853" w:type="dxa"/>
            <w:shd w:val="clear" w:color="auto" w:fill="auto"/>
            <w:vAlign w:val="center"/>
          </w:tcPr>
          <w:p w14:paraId="75E0578B">
            <w:pPr>
              <w:pageBreakBefore w:val="0"/>
              <w:widowControl/>
              <w:kinsoku/>
              <w:wordWrap/>
              <w:overflowPunct/>
              <w:topLinePunct w:val="0"/>
              <w:autoSpaceDE/>
              <w:autoSpaceDN/>
              <w:bidi w:val="0"/>
              <w:adjustRightInd/>
              <w:spacing w:line="300" w:lineRule="exact"/>
              <w:jc w:val="left"/>
              <w:textAlignment w:val="auto"/>
              <w:rPr>
                <w:rFonts w:hint="eastAsia" w:ascii="宋体" w:hAnsi="宋体" w:eastAsia="宋体" w:cs="宋体"/>
                <w:spacing w:val="-2"/>
                <w:sz w:val="21"/>
                <w:szCs w:val="21"/>
              </w:rPr>
            </w:pPr>
          </w:p>
        </w:tc>
      </w:tr>
      <w:tr w14:paraId="0267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09" w:type="dxa"/>
            <w:shd w:val="clear" w:color="auto" w:fill="auto"/>
            <w:vAlign w:val="center"/>
          </w:tcPr>
          <w:p w14:paraId="221453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w:t>
            </w:r>
          </w:p>
        </w:tc>
        <w:tc>
          <w:tcPr>
            <w:tcW w:w="1155" w:type="dxa"/>
            <w:shd w:val="clear" w:color="auto" w:fill="auto"/>
            <w:vAlign w:val="center"/>
          </w:tcPr>
          <w:p w14:paraId="7718332A">
            <w:pPr>
              <w:keepNext w:val="0"/>
              <w:keepLines w:val="0"/>
              <w:widowControl/>
              <w:suppressLineNumbers w:val="0"/>
              <w:jc w:val="center"/>
              <w:textAlignment w:val="center"/>
              <w:rPr>
                <w:rFonts w:hint="eastAsia" w:ascii="宋体" w:hAnsi="宋体" w:eastAsia="宋体" w:cs="宋体"/>
                <w:b w:val="0"/>
                <w:bCs/>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蓝牙条码打印机</w:t>
            </w:r>
          </w:p>
        </w:tc>
        <w:tc>
          <w:tcPr>
            <w:tcW w:w="4912" w:type="dxa"/>
            <w:shd w:val="clear" w:color="auto" w:fill="auto"/>
            <w:vAlign w:val="center"/>
          </w:tcPr>
          <w:p w14:paraId="40AE1D24">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1.分辨率：8点/毫米(203DPI)；</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2.打印模式：热感式；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3.最大打印速度：50.8毫米(2")/秒；最大打印宽度：72毫米(2.83")；最大打印长度：2,794毫米(110”)；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5.内存：16MBFlashmemory，64MBSDRAM；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6.接口：USB2.0，内接式蓝牙4.2；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7.电池：充电式电池(7.4VDC,2000mAh锂电池)；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8.电源规格：交流输入AC100-240V,2.0A,50-60Hz；直流输出DC5V,2.0A；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9.传感器：纸张间距传感器、黑线标记传感器、印字头抬起传感器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10.内建字型：八种位图字体、可透过软件下载Windows字型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11.使用环境条件：操作环境:0~40°C,湿度(非凝结)10~85%，储存环境:-20~60°C湿度(非凝结)5~90%</w:t>
            </w:r>
          </w:p>
        </w:tc>
        <w:tc>
          <w:tcPr>
            <w:tcW w:w="2700" w:type="dxa"/>
            <w:shd w:val="clear" w:color="auto" w:fill="auto"/>
            <w:vAlign w:val="center"/>
          </w:tcPr>
          <w:p w14:paraId="0B851DC1">
            <w:pPr>
              <w:pageBreakBefore w:val="0"/>
              <w:widowControl/>
              <w:kinsoku/>
              <w:wordWrap/>
              <w:overflowPunct/>
              <w:topLinePunct w:val="0"/>
              <w:autoSpaceDE/>
              <w:autoSpaceDN/>
              <w:bidi w:val="0"/>
              <w:adjustRightInd/>
              <w:spacing w:line="300" w:lineRule="exact"/>
              <w:jc w:val="left"/>
              <w:textAlignment w:val="auto"/>
              <w:rPr>
                <w:rFonts w:hint="eastAsia" w:ascii="宋体" w:hAnsi="宋体" w:eastAsia="宋体" w:cs="宋体"/>
                <w:spacing w:val="-2"/>
                <w:sz w:val="21"/>
                <w:szCs w:val="21"/>
              </w:rPr>
            </w:pPr>
          </w:p>
        </w:tc>
        <w:tc>
          <w:tcPr>
            <w:tcW w:w="853" w:type="dxa"/>
            <w:shd w:val="clear" w:color="auto" w:fill="auto"/>
            <w:vAlign w:val="center"/>
          </w:tcPr>
          <w:p w14:paraId="37FDA0A7">
            <w:pPr>
              <w:pageBreakBefore w:val="0"/>
              <w:widowControl/>
              <w:kinsoku/>
              <w:wordWrap/>
              <w:overflowPunct/>
              <w:topLinePunct w:val="0"/>
              <w:autoSpaceDE/>
              <w:autoSpaceDN/>
              <w:bidi w:val="0"/>
              <w:adjustRightInd/>
              <w:spacing w:line="300" w:lineRule="exact"/>
              <w:jc w:val="left"/>
              <w:textAlignment w:val="auto"/>
              <w:rPr>
                <w:rFonts w:hint="eastAsia" w:ascii="宋体" w:hAnsi="宋体" w:eastAsia="宋体" w:cs="宋体"/>
                <w:spacing w:val="-2"/>
                <w:sz w:val="21"/>
                <w:szCs w:val="21"/>
              </w:rPr>
            </w:pPr>
          </w:p>
        </w:tc>
      </w:tr>
      <w:tr w14:paraId="159B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10329" w:type="dxa"/>
            <w:gridSpan w:val="5"/>
            <w:shd w:val="clear" w:color="auto" w:fill="auto"/>
            <w:vAlign w:val="center"/>
          </w:tcPr>
          <w:p w14:paraId="5BB87319">
            <w:pPr>
              <w:pageBreakBefore w:val="0"/>
              <w:widowControl/>
              <w:kinsoku/>
              <w:wordWrap/>
              <w:overflowPunct/>
              <w:topLinePunct w:val="0"/>
              <w:autoSpaceDE/>
              <w:autoSpaceDN/>
              <w:bidi w:val="0"/>
              <w:adjustRightInd/>
              <w:spacing w:line="300" w:lineRule="exact"/>
              <w:jc w:val="left"/>
              <w:textAlignment w:val="auto"/>
              <w:rPr>
                <w:rFonts w:hint="eastAsia" w:ascii="宋体" w:hAnsi="宋体" w:eastAsia="宋体" w:cs="宋体"/>
                <w:spacing w:val="-2"/>
                <w:sz w:val="21"/>
                <w:szCs w:val="21"/>
              </w:rPr>
            </w:pPr>
            <w:r>
              <w:rPr>
                <w:rFonts w:hint="eastAsia" w:ascii="宋体" w:hAnsi="宋体" w:cs="宋体"/>
                <w:b/>
                <w:bCs/>
                <w:color w:val="auto"/>
                <w:sz w:val="24"/>
                <w:szCs w:val="24"/>
              </w:rPr>
              <w:t>注：</w:t>
            </w:r>
            <w:r>
              <w:rPr>
                <w:rFonts w:hint="eastAsia" w:ascii="宋体" w:hAnsi="宋体" w:cs="宋体"/>
                <w:b/>
                <w:bCs/>
                <w:color w:val="auto"/>
                <w:sz w:val="24"/>
                <w:lang w:val="en-US" w:eastAsia="zh-CN"/>
              </w:rPr>
              <w:t>供应商</w:t>
            </w:r>
            <w:r>
              <w:rPr>
                <w:rFonts w:hint="eastAsia" w:ascii="宋体" w:hAnsi="宋体" w:cs="宋体"/>
                <w:b/>
                <w:bCs/>
                <w:color w:val="auto"/>
                <w:sz w:val="24"/>
              </w:rPr>
              <w:t>请认真评估本项目所有技术要求表</w:t>
            </w:r>
            <w:r>
              <w:rPr>
                <w:rFonts w:hint="eastAsia" w:ascii="宋体" w:hAnsi="宋体" w:cs="宋体"/>
                <w:b/>
                <w:bCs/>
                <w:color w:val="auto"/>
                <w:sz w:val="24"/>
                <w:lang w:eastAsia="zh-CN"/>
              </w:rPr>
              <w:t>，</w:t>
            </w:r>
            <w:r>
              <w:rPr>
                <w:rFonts w:hint="eastAsia" w:ascii="宋体" w:hAnsi="宋体" w:cs="宋体"/>
                <w:b/>
                <w:bCs/>
                <w:color w:val="auto"/>
                <w:sz w:val="24"/>
              </w:rPr>
              <w:t>“▲”均要求供应商提供截图证明等文件，否则被视为不响应</w:t>
            </w:r>
            <w:r>
              <w:rPr>
                <w:rFonts w:hint="eastAsia" w:ascii="宋体" w:hAnsi="宋体" w:cs="宋体"/>
                <w:b/>
                <w:bCs/>
                <w:color w:val="auto"/>
                <w:sz w:val="24"/>
                <w:lang w:val="en-US" w:eastAsia="zh-CN"/>
              </w:rPr>
              <w:t>该条款</w:t>
            </w:r>
            <w:r>
              <w:rPr>
                <w:rFonts w:hint="eastAsia" w:ascii="宋体" w:hAnsi="宋体" w:cs="宋体"/>
                <w:b/>
                <w:bCs/>
                <w:color w:val="auto"/>
                <w:sz w:val="24"/>
                <w:lang w:eastAsia="zh-CN"/>
              </w:rPr>
              <w:t>。</w:t>
            </w:r>
            <w:r>
              <w:rPr>
                <w:rFonts w:hint="eastAsia" w:ascii="宋体" w:hAnsi="宋体" w:cs="宋体"/>
                <w:b/>
                <w:bCs/>
                <w:color w:val="auto"/>
                <w:sz w:val="24"/>
              </w:rPr>
              <w:t>“★”均为实际响应要求，需按要求响应</w:t>
            </w:r>
            <w:r>
              <w:rPr>
                <w:rFonts w:hint="eastAsia" w:ascii="宋体" w:hAnsi="宋体" w:cs="宋体"/>
                <w:b/>
                <w:bCs/>
                <w:color w:val="auto"/>
                <w:sz w:val="24"/>
                <w:lang w:val="en-US" w:eastAsia="zh-CN"/>
              </w:rPr>
              <w:t>并</w:t>
            </w:r>
            <w:r>
              <w:rPr>
                <w:rFonts w:hint="eastAsia" w:ascii="宋体" w:hAnsi="宋体" w:cs="宋体"/>
                <w:b/>
                <w:bCs/>
                <w:color w:val="auto"/>
                <w:sz w:val="24"/>
              </w:rPr>
              <w:t>提供截图证明等文件，若有任意一项偏离，</w:t>
            </w:r>
            <w:r>
              <w:rPr>
                <w:rFonts w:hint="eastAsia" w:ascii="宋体" w:hAnsi="宋体" w:cs="宋体"/>
                <w:b/>
                <w:bCs/>
                <w:color w:val="auto"/>
                <w:sz w:val="24"/>
                <w:lang w:val="en-US" w:eastAsia="zh-CN"/>
              </w:rPr>
              <w:t>报价文件按无效处理。</w:t>
            </w:r>
          </w:p>
        </w:tc>
      </w:tr>
    </w:tbl>
    <w:p w14:paraId="622EB523">
      <w:pPr>
        <w:pStyle w:val="4"/>
        <w:rPr>
          <w:rFonts w:hint="eastAsia" w:ascii="宋体" w:hAnsi="宋体" w:eastAsia="宋体" w:cs="宋体"/>
          <w:color w:val="auto"/>
          <w:kern w:val="0"/>
          <w:sz w:val="24"/>
          <w:szCs w:val="24"/>
          <w:highlight w:val="none"/>
          <w:lang w:val="en-US" w:eastAsia="zh-CN"/>
        </w:rPr>
      </w:pPr>
    </w:p>
    <w:p w14:paraId="7240395E">
      <w:pPr>
        <w:rPr>
          <w:rFonts w:hint="eastAsia" w:ascii="宋体" w:hAnsi="宋体" w:eastAsia="宋体" w:cs="宋体"/>
          <w:color w:val="auto"/>
          <w:kern w:val="0"/>
          <w:sz w:val="24"/>
          <w:szCs w:val="24"/>
          <w:highlight w:val="none"/>
          <w:lang w:val="en-US" w:eastAsia="zh-CN"/>
        </w:rPr>
      </w:pPr>
    </w:p>
    <w:p w14:paraId="4573775E">
      <w:pPr>
        <w:pStyle w:val="4"/>
        <w:rPr>
          <w:rFonts w:hint="eastAsia" w:ascii="宋体" w:hAnsi="宋体" w:eastAsia="宋体" w:cs="宋体"/>
          <w:color w:val="auto"/>
          <w:kern w:val="0"/>
          <w:sz w:val="24"/>
          <w:szCs w:val="24"/>
          <w:highlight w:val="none"/>
          <w:lang w:val="en-US" w:eastAsia="zh-CN"/>
        </w:rPr>
      </w:pPr>
    </w:p>
    <w:p w14:paraId="71C31140">
      <w:pPr>
        <w:rPr>
          <w:rFonts w:hint="eastAsia" w:ascii="宋体" w:hAnsi="宋体" w:eastAsia="宋体" w:cs="宋体"/>
          <w:color w:val="auto"/>
          <w:kern w:val="0"/>
          <w:sz w:val="24"/>
          <w:szCs w:val="24"/>
          <w:highlight w:val="none"/>
          <w:lang w:val="en-US" w:eastAsia="zh-CN"/>
        </w:rPr>
      </w:pPr>
    </w:p>
    <w:p w14:paraId="5F9A235E">
      <w:pPr>
        <w:pStyle w:val="4"/>
        <w:rPr>
          <w:rFonts w:hint="eastAsia" w:ascii="宋体" w:hAnsi="宋体" w:eastAsia="宋体" w:cs="宋体"/>
          <w:color w:val="auto"/>
          <w:kern w:val="0"/>
          <w:sz w:val="24"/>
          <w:szCs w:val="24"/>
          <w:highlight w:val="none"/>
          <w:lang w:val="en-US" w:eastAsia="zh-CN"/>
        </w:rPr>
      </w:pPr>
    </w:p>
    <w:p w14:paraId="6FDD1446">
      <w:pPr>
        <w:rPr>
          <w:rFonts w:hint="eastAsia" w:ascii="宋体" w:hAnsi="宋体" w:eastAsia="宋体" w:cs="宋体"/>
          <w:color w:val="auto"/>
          <w:kern w:val="0"/>
          <w:sz w:val="24"/>
          <w:szCs w:val="24"/>
          <w:highlight w:val="none"/>
          <w:lang w:val="en-US" w:eastAsia="zh-CN"/>
        </w:rPr>
      </w:pPr>
    </w:p>
    <w:p w14:paraId="4642B2D3">
      <w:pPr>
        <w:rPr>
          <w:rFonts w:hint="eastAsia"/>
          <w:lang w:val="en-US" w:eastAsia="zh-CN"/>
        </w:rPr>
      </w:pPr>
    </w:p>
    <w:p w14:paraId="71D05D0D">
      <w:pPr>
        <w:rPr>
          <w:rFonts w:hint="eastAsia" w:ascii="宋体" w:hAnsi="宋体" w:eastAsia="宋体" w:cs="宋体"/>
          <w:color w:val="auto"/>
          <w:kern w:val="0"/>
          <w:sz w:val="24"/>
          <w:szCs w:val="24"/>
          <w:highlight w:val="none"/>
          <w:lang w:val="en-US" w:eastAsia="zh-CN"/>
        </w:rPr>
      </w:pPr>
    </w:p>
    <w:p w14:paraId="16964486">
      <w:pPr>
        <w:spacing w:line="0" w:lineRule="atLeast"/>
        <w:jc w:val="center"/>
        <w:rPr>
          <w:rFonts w:hint="eastAsia" w:ascii="宋体" w:hAnsi="宋体" w:cs="宋体"/>
          <w:b/>
          <w:sz w:val="30"/>
          <w:szCs w:val="30"/>
          <w:lang w:val="en-US" w:eastAsia="zh-CN"/>
        </w:rPr>
      </w:pPr>
    </w:p>
    <w:p w14:paraId="7E7D2D70">
      <w:pPr>
        <w:spacing w:line="0" w:lineRule="atLeast"/>
        <w:jc w:val="center"/>
        <w:rPr>
          <w:rFonts w:hint="eastAsia" w:ascii="宋体" w:hAnsi="宋体" w:cs="宋体"/>
          <w:b/>
          <w:sz w:val="30"/>
          <w:szCs w:val="30"/>
          <w:lang w:val="en-US" w:eastAsia="zh-CN"/>
        </w:rPr>
      </w:pPr>
    </w:p>
    <w:p w14:paraId="5049268F">
      <w:pPr>
        <w:spacing w:line="0" w:lineRule="atLeast"/>
        <w:jc w:val="center"/>
        <w:rPr>
          <w:rFonts w:hint="eastAsia" w:ascii="宋体" w:hAnsi="宋体" w:cs="宋体"/>
          <w:b/>
          <w:sz w:val="30"/>
          <w:szCs w:val="30"/>
          <w:lang w:val="en-US" w:eastAsia="zh-CN"/>
        </w:rPr>
      </w:pPr>
    </w:p>
    <w:p w14:paraId="75300455">
      <w:pPr>
        <w:spacing w:line="0" w:lineRule="atLeast"/>
        <w:jc w:val="center"/>
        <w:rPr>
          <w:rFonts w:hint="eastAsia" w:ascii="宋体" w:hAnsi="宋体" w:cs="宋体"/>
          <w:b/>
          <w:sz w:val="30"/>
          <w:szCs w:val="30"/>
          <w:lang w:val="en-US" w:eastAsia="zh-CN"/>
        </w:rPr>
      </w:pPr>
    </w:p>
    <w:p w14:paraId="05052696">
      <w:pPr>
        <w:spacing w:line="0" w:lineRule="atLeast"/>
        <w:jc w:val="center"/>
        <w:rPr>
          <w:rFonts w:hint="eastAsia" w:ascii="宋体" w:hAnsi="宋体" w:cs="宋体"/>
          <w:b/>
          <w:sz w:val="30"/>
          <w:szCs w:val="30"/>
          <w:lang w:val="en-US" w:eastAsia="zh-CN"/>
        </w:rPr>
      </w:pPr>
    </w:p>
    <w:p w14:paraId="1B8251FB">
      <w:pPr>
        <w:spacing w:line="0" w:lineRule="atLeast"/>
        <w:jc w:val="center"/>
        <w:rPr>
          <w:rFonts w:hint="eastAsia" w:ascii="宋体" w:hAnsi="宋体" w:cs="宋体"/>
          <w:b/>
          <w:sz w:val="30"/>
          <w:szCs w:val="30"/>
          <w:lang w:val="en-US" w:eastAsia="zh-CN"/>
        </w:rPr>
      </w:pPr>
    </w:p>
    <w:p w14:paraId="77F32818">
      <w:pPr>
        <w:spacing w:line="0" w:lineRule="atLeast"/>
        <w:jc w:val="center"/>
        <w:rPr>
          <w:rFonts w:hint="eastAsia" w:ascii="宋体" w:hAnsi="宋体" w:cs="宋体"/>
          <w:b/>
          <w:sz w:val="30"/>
          <w:szCs w:val="30"/>
          <w:lang w:val="en-US" w:eastAsia="zh-CN"/>
        </w:rPr>
      </w:pPr>
    </w:p>
    <w:p w14:paraId="342C8A59">
      <w:pPr>
        <w:spacing w:line="0" w:lineRule="atLeast"/>
        <w:jc w:val="center"/>
        <w:rPr>
          <w:rFonts w:hint="eastAsia" w:ascii="宋体" w:hAnsi="宋体" w:cs="宋体"/>
          <w:b/>
          <w:sz w:val="30"/>
          <w:szCs w:val="30"/>
          <w:lang w:val="en-US" w:eastAsia="zh-CN"/>
        </w:rPr>
      </w:pPr>
    </w:p>
    <w:p w14:paraId="7614A557">
      <w:pPr>
        <w:spacing w:line="0" w:lineRule="atLeast"/>
        <w:jc w:val="center"/>
        <w:rPr>
          <w:rFonts w:hint="eastAsia" w:ascii="宋体" w:hAnsi="宋体" w:cs="宋体"/>
          <w:b/>
          <w:sz w:val="30"/>
          <w:szCs w:val="30"/>
          <w:lang w:val="en-US" w:eastAsia="zh-CN"/>
        </w:rPr>
      </w:pPr>
    </w:p>
    <w:p w14:paraId="575CFBD7">
      <w:pPr>
        <w:spacing w:line="0" w:lineRule="atLeast"/>
        <w:jc w:val="center"/>
        <w:rPr>
          <w:rFonts w:hint="eastAsia" w:ascii="宋体" w:hAnsi="宋体" w:cs="宋体"/>
          <w:b/>
          <w:sz w:val="30"/>
          <w:szCs w:val="30"/>
          <w:lang w:val="en-US" w:eastAsia="zh-CN"/>
        </w:rPr>
      </w:pPr>
    </w:p>
    <w:p w14:paraId="6FAA63E7">
      <w:pPr>
        <w:spacing w:line="0" w:lineRule="atLeast"/>
        <w:jc w:val="center"/>
        <w:rPr>
          <w:rFonts w:hint="eastAsia" w:ascii="宋体" w:hAnsi="宋体" w:cs="宋体"/>
          <w:b/>
          <w:sz w:val="30"/>
          <w:szCs w:val="30"/>
          <w:lang w:val="en-US" w:eastAsia="zh-CN"/>
        </w:rPr>
      </w:pPr>
    </w:p>
    <w:p w14:paraId="47093A97">
      <w:pPr>
        <w:spacing w:line="0" w:lineRule="atLeast"/>
        <w:jc w:val="center"/>
        <w:rPr>
          <w:rFonts w:hint="eastAsia" w:ascii="宋体" w:hAnsi="宋体" w:cs="宋体"/>
          <w:b/>
          <w:sz w:val="30"/>
          <w:szCs w:val="30"/>
          <w:lang w:val="en-US" w:eastAsia="zh-CN"/>
        </w:rPr>
      </w:pPr>
    </w:p>
    <w:p w14:paraId="4D54F2A6">
      <w:pPr>
        <w:spacing w:line="0" w:lineRule="atLeast"/>
        <w:jc w:val="center"/>
        <w:rPr>
          <w:rFonts w:hint="eastAsia" w:ascii="宋体" w:hAnsi="宋体" w:cs="宋体"/>
          <w:b/>
          <w:sz w:val="30"/>
          <w:szCs w:val="30"/>
          <w:lang w:val="en-US" w:eastAsia="zh-CN"/>
        </w:rPr>
      </w:pPr>
    </w:p>
    <w:p w14:paraId="356ED35A">
      <w:pPr>
        <w:spacing w:line="0" w:lineRule="atLeast"/>
        <w:jc w:val="center"/>
        <w:rPr>
          <w:rFonts w:hint="eastAsia" w:ascii="宋体" w:hAnsi="宋体" w:cs="宋体"/>
          <w:b/>
          <w:sz w:val="30"/>
          <w:szCs w:val="30"/>
          <w:lang w:val="en-US" w:eastAsia="zh-CN"/>
        </w:rPr>
      </w:pPr>
    </w:p>
    <w:p w14:paraId="207FB1FB">
      <w:pPr>
        <w:spacing w:line="0" w:lineRule="atLeast"/>
        <w:jc w:val="center"/>
        <w:rPr>
          <w:rFonts w:hint="eastAsia" w:ascii="宋体" w:hAnsi="宋体" w:eastAsia="宋体" w:cs="宋体"/>
          <w:b/>
          <w:color w:val="auto"/>
          <w:sz w:val="30"/>
          <w:szCs w:val="30"/>
          <w:highlight w:val="none"/>
        </w:rPr>
      </w:pPr>
      <w:r>
        <w:rPr>
          <w:rFonts w:hint="eastAsia" w:ascii="宋体" w:hAnsi="宋体" w:cs="宋体"/>
          <w:b/>
          <w:sz w:val="30"/>
          <w:szCs w:val="30"/>
          <w:lang w:val="en-US" w:eastAsia="zh-CN"/>
        </w:rPr>
        <w:t>商务</w:t>
      </w:r>
      <w:r>
        <w:rPr>
          <w:rFonts w:hint="eastAsia" w:ascii="宋体" w:hAnsi="宋体" w:eastAsia="宋体" w:cs="宋体"/>
          <w:b/>
          <w:sz w:val="30"/>
          <w:szCs w:val="30"/>
          <w:lang w:val="en-US" w:eastAsia="zh-CN"/>
        </w:rPr>
        <w:t>需求</w:t>
      </w:r>
      <w:r>
        <w:rPr>
          <w:rFonts w:hint="eastAsia" w:ascii="宋体" w:hAnsi="宋体" w:eastAsia="宋体" w:cs="宋体"/>
          <w:b/>
          <w:sz w:val="30"/>
          <w:szCs w:val="30"/>
        </w:rPr>
        <w:t>响应表</w:t>
      </w:r>
    </w:p>
    <w:p w14:paraId="642289C8">
      <w:pPr>
        <w:keepNext w:val="0"/>
        <w:keepLines w:val="0"/>
        <w:pageBreakBefore w:val="0"/>
        <w:kinsoku/>
        <w:wordWrap/>
        <w:overflowPunct/>
        <w:topLinePunct w:val="0"/>
        <w:autoSpaceDE/>
        <w:autoSpaceDN/>
        <w:bidi w:val="0"/>
        <w:spacing w:line="420" w:lineRule="exact"/>
        <w:rPr>
          <w:rFonts w:hint="eastAsia" w:ascii="宋体" w:hAnsi="宋体" w:eastAsia="宋体" w:cs="宋体"/>
          <w:color w:val="auto"/>
          <w:sz w:val="24"/>
          <w:szCs w:val="24"/>
          <w:highlight w:val="none"/>
        </w:rPr>
      </w:pPr>
    </w:p>
    <w:p w14:paraId="498D1F85">
      <w:pPr>
        <w:keepNext w:val="0"/>
        <w:keepLines w:val="0"/>
        <w:pageBreakBefore w:val="0"/>
        <w:kinsoku/>
        <w:wordWrap/>
        <w:overflowPunct/>
        <w:topLinePunct w:val="0"/>
        <w:autoSpaceDE/>
        <w:autoSpaceDN/>
        <w:bidi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61297810">
      <w:pPr>
        <w:pStyle w:val="9"/>
        <w:keepNext w:val="0"/>
        <w:keepLines w:val="0"/>
        <w:pageBreakBefore w:val="0"/>
        <w:widowControl w:val="0"/>
        <w:kinsoku/>
        <w:wordWrap/>
        <w:overflowPunct/>
        <w:topLinePunct w:val="0"/>
        <w:autoSpaceDE/>
        <w:autoSpaceDN/>
        <w:bidi w:val="0"/>
        <w:adjustRightInd/>
        <w:spacing w:line="420" w:lineRule="exact"/>
        <w:ind w:left="0" w:right="0" w:righ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D23C1CB">
      <w:pPr>
        <w:pStyle w:val="5"/>
        <w:ind w:left="0" w:leftChars="0" w:firstLine="0" w:firstLineChars="0"/>
        <w:rPr>
          <w:rFonts w:hint="eastAsia" w:ascii="宋体" w:hAnsi="宋体" w:eastAsia="宋体" w:cs="宋体"/>
          <w:sz w:val="24"/>
          <w:szCs w:val="24"/>
        </w:rPr>
      </w:pPr>
    </w:p>
    <w:tbl>
      <w:tblPr>
        <w:tblStyle w:val="16"/>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5149"/>
        <w:gridCol w:w="2891"/>
        <w:gridCol w:w="1005"/>
      </w:tblGrid>
      <w:tr w14:paraId="00BB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060" w:type="dxa"/>
            <w:shd w:val="clear" w:color="auto" w:fill="auto"/>
            <w:vAlign w:val="center"/>
          </w:tcPr>
          <w:p w14:paraId="21281601">
            <w:pPr>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服务要求</w:t>
            </w:r>
          </w:p>
        </w:tc>
        <w:tc>
          <w:tcPr>
            <w:tcW w:w="5149" w:type="dxa"/>
            <w:shd w:val="clear" w:color="auto" w:fill="auto"/>
            <w:vAlign w:val="center"/>
          </w:tcPr>
          <w:p w14:paraId="11B3EAAD">
            <w:pPr>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服务要求内容</w:t>
            </w:r>
          </w:p>
        </w:tc>
        <w:tc>
          <w:tcPr>
            <w:tcW w:w="2891" w:type="dxa"/>
            <w:shd w:val="clear" w:color="auto" w:fill="auto"/>
            <w:vAlign w:val="center"/>
          </w:tcPr>
          <w:p w14:paraId="129B36B0">
            <w:pPr>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响应内容</w:t>
            </w:r>
          </w:p>
        </w:tc>
        <w:tc>
          <w:tcPr>
            <w:tcW w:w="1005" w:type="dxa"/>
            <w:shd w:val="clear" w:color="auto" w:fill="auto"/>
            <w:vAlign w:val="center"/>
          </w:tcPr>
          <w:p w14:paraId="1D6263F9">
            <w:pPr>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响应情况</w:t>
            </w:r>
          </w:p>
        </w:tc>
      </w:tr>
      <w:tr w14:paraId="0F6C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060" w:type="dxa"/>
            <w:vMerge w:val="restart"/>
            <w:shd w:val="clear" w:color="auto" w:fill="auto"/>
            <w:vAlign w:val="center"/>
          </w:tcPr>
          <w:p w14:paraId="07F05D08">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bCs w:val="0"/>
                <w:color w:val="000000"/>
                <w:sz w:val="21"/>
                <w:szCs w:val="21"/>
                <w:lang w:val="en-US" w:eastAsia="zh-CN"/>
              </w:rPr>
            </w:pPr>
            <w:r>
              <w:rPr>
                <w:rFonts w:hint="eastAsia" w:ascii="宋体" w:hAnsi="宋体" w:eastAsia="宋体" w:cs="宋体"/>
                <w:b/>
                <w:bCs w:val="0"/>
                <w:color w:val="000000"/>
                <w:sz w:val="21"/>
                <w:szCs w:val="21"/>
                <w:lang w:val="en-US" w:eastAsia="zh-CN"/>
              </w:rPr>
              <w:t>商务要求</w:t>
            </w:r>
          </w:p>
        </w:tc>
        <w:tc>
          <w:tcPr>
            <w:tcW w:w="5149" w:type="dxa"/>
            <w:shd w:val="clear" w:color="auto" w:fill="auto"/>
            <w:vAlign w:val="center"/>
          </w:tcPr>
          <w:p w14:paraId="7C0BDDBF">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w:t>
            </w:r>
            <w:r>
              <w:rPr>
                <w:rFonts w:hint="eastAsia" w:ascii="宋体" w:hAnsi="宋体" w:eastAsia="宋体" w:cs="宋体"/>
                <w:b w:val="0"/>
                <w:bCs w:val="0"/>
                <w:sz w:val="21"/>
                <w:szCs w:val="21"/>
                <w:lang w:val="en-US" w:eastAsia="zh-CN"/>
              </w:rPr>
              <w:t>供应商资质</w:t>
            </w:r>
            <w:r>
              <w:rPr>
                <w:rFonts w:hint="eastAsia" w:ascii="宋体" w:hAnsi="宋体" w:eastAsia="宋体" w:cs="宋体"/>
                <w:b w:val="0"/>
                <w:bCs/>
                <w:kern w:val="0"/>
                <w:sz w:val="21"/>
                <w:szCs w:val="21"/>
                <w:lang w:val="en-US" w:eastAsia="zh-CN"/>
              </w:rPr>
              <w:t>：</w:t>
            </w:r>
          </w:p>
          <w:p w14:paraId="3C129140">
            <w:pPr>
              <w:pStyle w:val="23"/>
              <w:keepNext w:val="0"/>
              <w:keepLines w:val="0"/>
              <w:pageBreakBefore w:val="0"/>
              <w:widowControl/>
              <w:kinsoku/>
              <w:wordWrap/>
              <w:overflowPunct/>
              <w:topLinePunct w:val="0"/>
              <w:autoSpaceDE/>
              <w:autoSpaceDN/>
              <w:bidi w:val="0"/>
              <w:adjustRightInd/>
              <w:spacing w:line="300" w:lineRule="exact"/>
              <w:ind w:left="0" w:leftChars="0" w:firstLine="0" w:firstLineChars="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国内注册【依法在市场监督管理部门（或行政审批部门）登记注册】的，具备合法资格的供应商。</w:t>
            </w:r>
          </w:p>
        </w:tc>
        <w:tc>
          <w:tcPr>
            <w:tcW w:w="2891" w:type="dxa"/>
            <w:shd w:val="clear" w:color="auto" w:fill="auto"/>
            <w:vAlign w:val="center"/>
          </w:tcPr>
          <w:p w14:paraId="50BDDDD9">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c>
          <w:tcPr>
            <w:tcW w:w="1005" w:type="dxa"/>
            <w:shd w:val="clear" w:color="auto" w:fill="auto"/>
            <w:vAlign w:val="center"/>
          </w:tcPr>
          <w:p w14:paraId="13F06005">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r>
      <w:tr w14:paraId="665A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jc w:val="center"/>
        </w:trPr>
        <w:tc>
          <w:tcPr>
            <w:tcW w:w="1060" w:type="dxa"/>
            <w:vMerge w:val="continue"/>
            <w:shd w:val="clear" w:color="auto" w:fill="auto"/>
            <w:vAlign w:val="center"/>
          </w:tcPr>
          <w:p w14:paraId="7A041519">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val="0"/>
                <w:bCs/>
                <w:color w:val="000000"/>
                <w:sz w:val="21"/>
                <w:szCs w:val="21"/>
                <w:lang w:eastAsia="zh-CN"/>
              </w:rPr>
            </w:pPr>
          </w:p>
        </w:tc>
        <w:tc>
          <w:tcPr>
            <w:tcW w:w="5149" w:type="dxa"/>
            <w:shd w:val="clear" w:color="auto" w:fill="auto"/>
            <w:vAlign w:val="center"/>
          </w:tcPr>
          <w:p w14:paraId="1F5EA177">
            <w:pPr>
              <w:pStyle w:val="23"/>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rPr>
                <w:rFonts w:hint="eastAsia" w:ascii="宋体" w:hAnsi="宋体" w:eastAsia="宋体" w:cs="宋体"/>
                <w:b w:val="0"/>
                <w:bCs/>
                <w:kern w:val="0"/>
                <w:sz w:val="21"/>
                <w:szCs w:val="21"/>
                <w:vertAlign w:val="baseline"/>
                <w:lang w:val="en-US" w:eastAsia="zh-CN" w:bidi="ar-SA"/>
              </w:rPr>
            </w:pPr>
            <w:r>
              <w:rPr>
                <w:rFonts w:hint="eastAsia" w:cs="宋体"/>
                <w:b w:val="0"/>
                <w:bCs/>
                <w:kern w:val="0"/>
                <w:sz w:val="21"/>
                <w:szCs w:val="21"/>
                <w:vertAlign w:val="baseline"/>
                <w:lang w:val="en-US" w:eastAsia="zh-CN" w:bidi="ar-SA"/>
              </w:rPr>
              <w:t>2.</w:t>
            </w:r>
            <w:r>
              <w:rPr>
                <w:rFonts w:hint="eastAsia" w:ascii="宋体" w:hAnsi="宋体" w:eastAsia="宋体" w:cs="宋体"/>
                <w:b w:val="0"/>
                <w:bCs/>
                <w:kern w:val="0"/>
                <w:sz w:val="21"/>
                <w:szCs w:val="21"/>
                <w:vertAlign w:val="baseline"/>
                <w:lang w:val="en-US" w:eastAsia="zh-CN" w:bidi="ar-SA"/>
              </w:rPr>
              <w:t>提供免费技术培训：</w:t>
            </w:r>
          </w:p>
          <w:p w14:paraId="16ED1C35">
            <w:pPr>
              <w:pStyle w:val="23"/>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vertAlign w:val="baseline"/>
                <w:lang w:val="en-US" w:eastAsia="zh-CN" w:bidi="ar-SA"/>
              </w:rPr>
              <w:t>须提供详细的项目培训计划；对系统使用人员、系统运行维护管理人员等不同对象的培训计划；培训课程安排、培训方式及时间；地点场所由采购人提供；提供系统操作培训：主要面向医院医务人员及相关管理部门等使用系统的人员，提供操作培训；提供系统日常维护系统培训：主要面向医院信息管理技术人员进行培训，使其具备独立进行系统日常维护、故障的诊断与处理等方面的培训。</w:t>
            </w:r>
          </w:p>
        </w:tc>
        <w:tc>
          <w:tcPr>
            <w:tcW w:w="2891" w:type="dxa"/>
            <w:shd w:val="clear" w:color="auto" w:fill="auto"/>
            <w:vAlign w:val="center"/>
          </w:tcPr>
          <w:p w14:paraId="00F38294">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c>
          <w:tcPr>
            <w:tcW w:w="1005" w:type="dxa"/>
            <w:shd w:val="clear" w:color="auto" w:fill="auto"/>
            <w:vAlign w:val="center"/>
          </w:tcPr>
          <w:p w14:paraId="370D0250">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r>
      <w:tr w14:paraId="2DF3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060" w:type="dxa"/>
            <w:vMerge w:val="continue"/>
            <w:shd w:val="clear" w:color="auto" w:fill="auto"/>
            <w:vAlign w:val="center"/>
          </w:tcPr>
          <w:p w14:paraId="4EF15D7C">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val="0"/>
                <w:bCs/>
                <w:color w:val="000000"/>
                <w:sz w:val="21"/>
                <w:szCs w:val="21"/>
                <w:lang w:eastAsia="zh-CN"/>
              </w:rPr>
            </w:pPr>
          </w:p>
        </w:tc>
        <w:tc>
          <w:tcPr>
            <w:tcW w:w="5149" w:type="dxa"/>
            <w:shd w:val="clear" w:color="auto" w:fill="auto"/>
            <w:vAlign w:val="center"/>
          </w:tcPr>
          <w:p w14:paraId="721F6439">
            <w:pPr>
              <w:pStyle w:val="23"/>
              <w:keepNext w:val="0"/>
              <w:keepLines w:val="0"/>
              <w:pageBreakBefore w:val="0"/>
              <w:widowControl/>
              <w:numPr>
                <w:ilvl w:val="0"/>
                <w:numId w:val="2"/>
              </w:numPr>
              <w:kinsoku/>
              <w:wordWrap/>
              <w:overflowPunct/>
              <w:topLinePunct w:val="0"/>
              <w:autoSpaceDE/>
              <w:autoSpaceDN/>
              <w:bidi w:val="0"/>
              <w:adjustRightInd/>
              <w:spacing w:line="300" w:lineRule="exact"/>
              <w:ind w:left="0" w:leftChars="0" w:firstLine="0" w:firstLineChars="0"/>
              <w:jc w:val="left"/>
              <w:textAlignment w:val="auto"/>
              <w:rPr>
                <w:rFonts w:hint="eastAsia" w:ascii="宋体" w:hAnsi="宋体" w:eastAsia="宋体" w:cs="宋体"/>
                <w:b w:val="0"/>
                <w:bCs/>
                <w:kern w:val="0"/>
                <w:sz w:val="21"/>
                <w:szCs w:val="21"/>
                <w:vertAlign w:val="baseline"/>
                <w:lang w:val="en-US" w:eastAsia="zh-CN" w:bidi="ar-SA"/>
              </w:rPr>
            </w:pPr>
            <w:r>
              <w:rPr>
                <w:rFonts w:hint="eastAsia" w:ascii="宋体" w:hAnsi="宋体" w:eastAsia="宋体" w:cs="宋体"/>
                <w:b w:val="0"/>
                <w:bCs/>
                <w:kern w:val="0"/>
                <w:sz w:val="21"/>
                <w:szCs w:val="21"/>
                <w:vertAlign w:val="baseline"/>
                <w:lang w:val="en-US" w:eastAsia="zh-CN" w:bidi="ar-SA"/>
              </w:rPr>
              <w:t>交付地点：</w:t>
            </w:r>
          </w:p>
          <w:p w14:paraId="29783D04">
            <w:pPr>
              <w:pStyle w:val="23"/>
              <w:keepNext w:val="0"/>
              <w:keepLines w:val="0"/>
              <w:pageBreakBefore w:val="0"/>
              <w:widowControl/>
              <w:numPr>
                <w:ilvl w:val="0"/>
                <w:numId w:val="3"/>
              </w:numPr>
              <w:kinsoku/>
              <w:wordWrap/>
              <w:overflowPunct/>
              <w:topLinePunct w:val="0"/>
              <w:autoSpaceDE/>
              <w:autoSpaceDN/>
              <w:bidi w:val="0"/>
              <w:adjustRightInd/>
              <w:spacing w:line="300" w:lineRule="exact"/>
              <w:ind w:left="425" w:leftChars="0" w:hanging="425" w:firstLineChars="0"/>
              <w:jc w:val="left"/>
              <w:textAlignment w:val="auto"/>
              <w:rPr>
                <w:rFonts w:hint="eastAsia" w:ascii="宋体" w:hAnsi="宋体" w:eastAsia="宋体" w:cs="宋体"/>
                <w:b w:val="0"/>
                <w:bCs/>
                <w:kern w:val="0"/>
                <w:sz w:val="21"/>
                <w:szCs w:val="21"/>
                <w:vertAlign w:val="baseline"/>
                <w:lang w:val="en-US" w:eastAsia="zh-CN" w:bidi="ar-SA"/>
              </w:rPr>
            </w:pPr>
            <w:r>
              <w:rPr>
                <w:rFonts w:hint="eastAsia" w:ascii="宋体" w:hAnsi="宋体" w:eastAsia="宋体" w:cs="宋体"/>
                <w:b w:val="0"/>
                <w:bCs/>
                <w:kern w:val="0"/>
                <w:sz w:val="21"/>
                <w:szCs w:val="21"/>
                <w:vertAlign w:val="baseline"/>
                <w:lang w:val="en-US" w:eastAsia="zh-CN" w:bidi="ar-SA"/>
              </w:rPr>
              <w:t>交付期：自签订合同之日起60日历日内验收合格并交付采购人使用。</w:t>
            </w:r>
          </w:p>
          <w:p w14:paraId="182B3A48">
            <w:pPr>
              <w:pStyle w:val="23"/>
              <w:keepNext w:val="0"/>
              <w:keepLines w:val="0"/>
              <w:pageBreakBefore w:val="0"/>
              <w:widowControl/>
              <w:numPr>
                <w:ilvl w:val="0"/>
                <w:numId w:val="3"/>
              </w:numPr>
              <w:kinsoku/>
              <w:wordWrap/>
              <w:overflowPunct/>
              <w:topLinePunct w:val="0"/>
              <w:autoSpaceDE/>
              <w:autoSpaceDN/>
              <w:bidi w:val="0"/>
              <w:adjustRightInd/>
              <w:spacing w:line="300" w:lineRule="exact"/>
              <w:ind w:left="425" w:leftChars="0" w:hanging="425" w:firstLineChars="0"/>
              <w:jc w:val="left"/>
              <w:textAlignment w:val="auto"/>
              <w:rPr>
                <w:rFonts w:hint="eastAsia" w:ascii="宋体" w:hAnsi="宋体" w:eastAsia="宋体" w:cs="宋体"/>
                <w:b w:val="0"/>
                <w:bCs/>
                <w:kern w:val="0"/>
                <w:sz w:val="21"/>
                <w:szCs w:val="21"/>
                <w:lang w:val="en-US" w:eastAsia="zh-CN"/>
              </w:rPr>
            </w:pPr>
            <w:r>
              <w:rPr>
                <w:rFonts w:hint="eastAsia" w:cs="宋体"/>
                <w:b w:val="0"/>
                <w:bCs/>
                <w:kern w:val="0"/>
                <w:sz w:val="21"/>
                <w:szCs w:val="21"/>
                <w:vertAlign w:val="baseline"/>
                <w:lang w:val="en-US" w:eastAsia="zh-CN" w:bidi="ar-SA"/>
              </w:rPr>
              <w:t>采购</w:t>
            </w:r>
            <w:r>
              <w:rPr>
                <w:rFonts w:hint="eastAsia" w:ascii="宋体" w:hAnsi="宋体" w:eastAsia="宋体" w:cs="宋体"/>
                <w:b w:val="0"/>
                <w:bCs/>
                <w:kern w:val="0"/>
                <w:sz w:val="21"/>
                <w:szCs w:val="21"/>
                <w:vertAlign w:val="baseline"/>
                <w:lang w:val="en-US" w:eastAsia="zh-CN" w:bidi="ar-SA"/>
              </w:rPr>
              <w:t>人指定地点。</w:t>
            </w:r>
          </w:p>
        </w:tc>
        <w:tc>
          <w:tcPr>
            <w:tcW w:w="2891" w:type="dxa"/>
            <w:shd w:val="clear" w:color="auto" w:fill="auto"/>
            <w:vAlign w:val="center"/>
          </w:tcPr>
          <w:p w14:paraId="27D5AC16">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c>
          <w:tcPr>
            <w:tcW w:w="1005" w:type="dxa"/>
            <w:shd w:val="clear" w:color="auto" w:fill="auto"/>
            <w:vAlign w:val="center"/>
          </w:tcPr>
          <w:p w14:paraId="2B333CE1">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r>
      <w:tr w14:paraId="1F65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060" w:type="dxa"/>
            <w:vMerge w:val="continue"/>
            <w:shd w:val="clear" w:color="auto" w:fill="auto"/>
            <w:vAlign w:val="center"/>
          </w:tcPr>
          <w:p w14:paraId="4C66290F">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val="0"/>
                <w:bCs/>
                <w:color w:val="000000"/>
                <w:sz w:val="21"/>
                <w:szCs w:val="21"/>
                <w:lang w:eastAsia="zh-CN"/>
              </w:rPr>
            </w:pPr>
          </w:p>
        </w:tc>
        <w:tc>
          <w:tcPr>
            <w:tcW w:w="5149" w:type="dxa"/>
            <w:shd w:val="clear" w:color="auto" w:fill="auto"/>
            <w:vAlign w:val="center"/>
          </w:tcPr>
          <w:p w14:paraId="5FBE3469">
            <w:pPr>
              <w:pStyle w:val="23"/>
              <w:keepNext w:val="0"/>
              <w:keepLines w:val="0"/>
              <w:pageBreakBefore w:val="0"/>
              <w:widowControl/>
              <w:kinsoku/>
              <w:wordWrap/>
              <w:overflowPunct/>
              <w:topLinePunct w:val="0"/>
              <w:autoSpaceDE/>
              <w:autoSpaceDN/>
              <w:bidi w:val="0"/>
              <w:adjustRightInd/>
              <w:spacing w:line="300" w:lineRule="exact"/>
              <w:ind w:left="0" w:leftChars="0" w:firstLine="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4.付款方式：1.付款方式：合同签订之后，乙方将尽快安排入场安装，在软件上线并验收合格后，乙方开具对应金额的有效发票，甲方在收到发票后，60个工作日后将终验款（合同金额95%），一次性支付给乙方；合同总额中包含不少于 1 年的维保，维保到期后乙方提出履约保证金付款申请，甲方收到申请30个工作日后将履约保证金（合同金额5%）一次性支付给乙方。合同维保到期以后每年的维保费用不超过合同总额的 10 %，维保协议双方另行签订。</w:t>
            </w:r>
          </w:p>
          <w:p w14:paraId="17BF40F5">
            <w:pPr>
              <w:pStyle w:val="23"/>
              <w:keepNext w:val="0"/>
              <w:keepLines w:val="0"/>
              <w:pageBreakBefore w:val="0"/>
              <w:widowControl/>
              <w:kinsoku/>
              <w:wordWrap/>
              <w:overflowPunct/>
              <w:topLinePunct w:val="0"/>
              <w:autoSpaceDE/>
              <w:autoSpaceDN/>
              <w:bidi w:val="0"/>
              <w:adjustRightInd/>
              <w:spacing w:line="300" w:lineRule="exact"/>
              <w:ind w:left="0" w:leftChars="0" w:firstLine="0" w:firstLineChars="0"/>
              <w:jc w:val="both"/>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rPr>
              <w:t>2.</w:t>
            </w:r>
            <w:r>
              <w:rPr>
                <w:rFonts w:hint="eastAsia" w:cs="宋体"/>
                <w:b w:val="0"/>
                <w:bCs/>
                <w:kern w:val="0"/>
                <w:sz w:val="21"/>
                <w:szCs w:val="21"/>
                <w:lang w:val="en-US" w:eastAsia="zh-CN"/>
              </w:rPr>
              <w:t>供应商</w:t>
            </w:r>
            <w:r>
              <w:rPr>
                <w:rFonts w:hint="eastAsia" w:ascii="宋体" w:hAnsi="宋体" w:eastAsia="宋体" w:cs="宋体"/>
                <w:b w:val="0"/>
                <w:bCs/>
                <w:kern w:val="0"/>
                <w:sz w:val="21"/>
                <w:szCs w:val="21"/>
                <w:lang w:val="en-US" w:eastAsia="zh-CN"/>
              </w:rPr>
              <w:t>申请款项时需同时开具正式足额发票给</w:t>
            </w:r>
            <w:r>
              <w:rPr>
                <w:rFonts w:hint="eastAsia" w:cs="宋体"/>
                <w:b w:val="0"/>
                <w:bCs/>
                <w:kern w:val="0"/>
                <w:sz w:val="21"/>
                <w:szCs w:val="21"/>
                <w:lang w:val="en-US" w:eastAsia="zh-CN"/>
              </w:rPr>
              <w:t>采购</w:t>
            </w:r>
            <w:r>
              <w:rPr>
                <w:rFonts w:hint="eastAsia" w:ascii="宋体" w:hAnsi="宋体" w:eastAsia="宋体" w:cs="宋体"/>
                <w:b w:val="0"/>
                <w:bCs/>
                <w:kern w:val="0"/>
                <w:sz w:val="21"/>
                <w:szCs w:val="21"/>
                <w:lang w:val="en-US" w:eastAsia="zh-CN"/>
              </w:rPr>
              <w:t>人，否则</w:t>
            </w:r>
            <w:r>
              <w:rPr>
                <w:rFonts w:hint="eastAsia" w:cs="宋体"/>
                <w:b w:val="0"/>
                <w:bCs/>
                <w:kern w:val="0"/>
                <w:sz w:val="21"/>
                <w:szCs w:val="21"/>
                <w:lang w:val="en-US" w:eastAsia="zh-CN"/>
              </w:rPr>
              <w:t>采购</w:t>
            </w:r>
            <w:r>
              <w:rPr>
                <w:rFonts w:hint="eastAsia" w:ascii="宋体" w:hAnsi="宋体" w:eastAsia="宋体" w:cs="宋体"/>
                <w:b w:val="0"/>
                <w:bCs/>
                <w:kern w:val="0"/>
                <w:sz w:val="21"/>
                <w:szCs w:val="21"/>
                <w:lang w:val="en-US" w:eastAsia="zh-CN"/>
              </w:rPr>
              <w:t>人可以拒绝付款。</w:t>
            </w:r>
          </w:p>
        </w:tc>
        <w:tc>
          <w:tcPr>
            <w:tcW w:w="2891" w:type="dxa"/>
            <w:shd w:val="clear" w:color="auto" w:fill="auto"/>
            <w:vAlign w:val="center"/>
          </w:tcPr>
          <w:p w14:paraId="4526545D">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c>
          <w:tcPr>
            <w:tcW w:w="1005" w:type="dxa"/>
            <w:shd w:val="clear" w:color="auto" w:fill="auto"/>
            <w:vAlign w:val="center"/>
          </w:tcPr>
          <w:p w14:paraId="1EA00E69">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r>
      <w:tr w14:paraId="6534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1060" w:type="dxa"/>
            <w:vMerge w:val="continue"/>
            <w:shd w:val="clear" w:color="auto" w:fill="auto"/>
            <w:vAlign w:val="center"/>
          </w:tcPr>
          <w:p w14:paraId="519B6389">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val="0"/>
                <w:bCs/>
                <w:color w:val="auto"/>
                <w:sz w:val="21"/>
                <w:szCs w:val="21"/>
                <w:highlight w:val="none"/>
                <w:lang w:eastAsia="zh-CN"/>
              </w:rPr>
            </w:pPr>
          </w:p>
        </w:tc>
        <w:tc>
          <w:tcPr>
            <w:tcW w:w="5149" w:type="dxa"/>
            <w:shd w:val="clear" w:color="auto" w:fill="auto"/>
            <w:vAlign w:val="center"/>
          </w:tcPr>
          <w:p w14:paraId="049EE627">
            <w:pPr>
              <w:pStyle w:val="23"/>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5.验收标准：</w:t>
            </w:r>
          </w:p>
          <w:p w14:paraId="3F626468">
            <w:pPr>
              <w:pStyle w:val="23"/>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1.依据询价文件要求的采购需求、供应商报价响应文件承诺以及国家现行相关标准、规范履行合同。</w:t>
            </w:r>
          </w:p>
          <w:p w14:paraId="6F4A2776">
            <w:pPr>
              <w:ind w:left="0" w:leftChars="0" w:right="0" w:rightChars="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2.采购人依照国家相关法律法规及行业规定及询价文件要求、供应商报价响应文件承诺进行验收。</w:t>
            </w:r>
          </w:p>
          <w:p w14:paraId="4F291EC3">
            <w:pPr>
              <w:pStyle w:val="23"/>
              <w:keepNext w:val="0"/>
              <w:keepLines w:val="0"/>
              <w:pageBreakBefore w:val="0"/>
              <w:widowControl/>
              <w:kinsoku/>
              <w:wordWrap/>
              <w:overflowPunct/>
              <w:topLinePunct w:val="0"/>
              <w:autoSpaceDE/>
              <w:autoSpaceDN/>
              <w:bidi w:val="0"/>
              <w:adjustRightInd/>
              <w:spacing w:line="300" w:lineRule="exact"/>
              <w:ind w:left="0" w:leftChars="0" w:firstLine="0" w:firstLineChars="0"/>
              <w:jc w:val="both"/>
              <w:textAlignment w:val="auto"/>
              <w:rPr>
                <w:rFonts w:hint="eastAsia" w:ascii="宋体" w:hAnsi="宋体" w:eastAsia="宋体" w:cs="宋体"/>
                <w:b w:val="0"/>
                <w:bCs/>
                <w:color w:val="auto"/>
                <w:kern w:val="0"/>
                <w:sz w:val="21"/>
                <w:szCs w:val="21"/>
                <w:highlight w:val="none"/>
              </w:rPr>
            </w:pPr>
          </w:p>
        </w:tc>
        <w:tc>
          <w:tcPr>
            <w:tcW w:w="2891" w:type="dxa"/>
            <w:shd w:val="clear" w:color="auto" w:fill="auto"/>
            <w:vAlign w:val="center"/>
          </w:tcPr>
          <w:p w14:paraId="3F5D79B3">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b w:val="0"/>
                <w:bCs/>
                <w:color w:val="auto"/>
                <w:sz w:val="21"/>
                <w:szCs w:val="21"/>
                <w:highlight w:val="none"/>
              </w:rPr>
            </w:pPr>
          </w:p>
        </w:tc>
        <w:tc>
          <w:tcPr>
            <w:tcW w:w="1005" w:type="dxa"/>
            <w:shd w:val="clear" w:color="auto" w:fill="auto"/>
            <w:vAlign w:val="center"/>
          </w:tcPr>
          <w:p w14:paraId="7731A2C1">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b w:val="0"/>
                <w:bCs/>
                <w:color w:val="auto"/>
                <w:sz w:val="21"/>
                <w:szCs w:val="21"/>
                <w:highlight w:val="none"/>
              </w:rPr>
            </w:pPr>
          </w:p>
        </w:tc>
      </w:tr>
      <w:tr w14:paraId="29D9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1060" w:type="dxa"/>
            <w:vMerge w:val="continue"/>
            <w:shd w:val="clear" w:color="auto" w:fill="auto"/>
            <w:vAlign w:val="center"/>
          </w:tcPr>
          <w:p w14:paraId="032DEC47">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val="0"/>
                <w:bCs/>
                <w:color w:val="auto"/>
                <w:sz w:val="21"/>
                <w:szCs w:val="21"/>
                <w:highlight w:val="none"/>
                <w:lang w:eastAsia="zh-CN"/>
              </w:rPr>
            </w:pPr>
          </w:p>
        </w:tc>
        <w:tc>
          <w:tcPr>
            <w:tcW w:w="5149" w:type="dxa"/>
            <w:shd w:val="clear" w:color="auto" w:fill="auto"/>
            <w:vAlign w:val="center"/>
          </w:tcPr>
          <w:p w14:paraId="666C7824">
            <w:pPr>
              <w:pStyle w:val="23"/>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6.报价要求：</w:t>
            </w:r>
          </w:p>
          <w:p w14:paraId="3DD005C2">
            <w:pPr>
              <w:keepNext w:val="0"/>
              <w:keepLines w:val="0"/>
              <w:pageBreakBefore w:val="0"/>
              <w:widowControl/>
              <w:numPr>
                <w:ilvl w:val="0"/>
                <w:numId w:val="0"/>
              </w:numPr>
              <w:kinsoku/>
              <w:wordWrap/>
              <w:overflowPunct/>
              <w:topLinePunct w:val="0"/>
              <w:autoSpaceDE/>
              <w:autoSpaceDN/>
              <w:bidi w:val="0"/>
              <w:adjustRightInd/>
              <w:spacing w:line="300" w:lineRule="exact"/>
              <w:ind w:left="0" w:leftChars="0" w:firstLineChars="0"/>
              <w:jc w:val="both"/>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本项目采用一般用固定总价方式报价，价格中应包含软硬件安装、调试、系统集成、试运行、测试和其他相关服务及全套技术资料、附件、辅材等正常使用所必需的组件，以及与之相关发生的所有税费的总价。在合同实施时，采购人将不予支付完成本项目必须的但成交人没有列入的费用，并认为此费用已包括在报价中。</w:t>
            </w:r>
          </w:p>
        </w:tc>
        <w:tc>
          <w:tcPr>
            <w:tcW w:w="2891" w:type="dxa"/>
            <w:shd w:val="clear" w:color="auto" w:fill="auto"/>
            <w:vAlign w:val="center"/>
          </w:tcPr>
          <w:p w14:paraId="38020814">
            <w:pPr>
              <w:pageBreakBefore w:val="0"/>
              <w:kinsoku/>
              <w:wordWrap/>
              <w:overflowPunct/>
              <w:topLinePunct w:val="0"/>
              <w:autoSpaceDE/>
              <w:autoSpaceDN/>
              <w:bidi w:val="0"/>
              <w:adjustRightInd/>
              <w:spacing w:line="300" w:lineRule="exact"/>
              <w:textAlignment w:val="auto"/>
              <w:rPr>
                <w:rFonts w:hint="eastAsia" w:ascii="宋体" w:hAnsi="宋体" w:eastAsia="宋体" w:cs="宋体"/>
                <w:b w:val="0"/>
                <w:bCs/>
                <w:color w:val="auto"/>
                <w:sz w:val="21"/>
                <w:szCs w:val="21"/>
                <w:highlight w:val="none"/>
              </w:rPr>
            </w:pPr>
          </w:p>
          <w:p w14:paraId="115ACB34">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b w:val="0"/>
                <w:bCs/>
                <w:color w:val="auto"/>
                <w:sz w:val="21"/>
                <w:szCs w:val="21"/>
                <w:highlight w:val="none"/>
              </w:rPr>
            </w:pPr>
          </w:p>
        </w:tc>
        <w:tc>
          <w:tcPr>
            <w:tcW w:w="1005" w:type="dxa"/>
            <w:shd w:val="clear" w:color="auto" w:fill="auto"/>
            <w:vAlign w:val="center"/>
          </w:tcPr>
          <w:p w14:paraId="6DEB4791">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b w:val="0"/>
                <w:bCs/>
                <w:color w:val="auto"/>
                <w:sz w:val="21"/>
                <w:szCs w:val="21"/>
                <w:highlight w:val="none"/>
              </w:rPr>
            </w:pPr>
          </w:p>
        </w:tc>
      </w:tr>
      <w:tr w14:paraId="0CAF1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060" w:type="dxa"/>
            <w:vMerge w:val="continue"/>
            <w:shd w:val="clear" w:color="auto" w:fill="auto"/>
            <w:vAlign w:val="center"/>
          </w:tcPr>
          <w:p w14:paraId="6909DD6B">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val="0"/>
                <w:bCs/>
                <w:color w:val="auto"/>
                <w:sz w:val="21"/>
                <w:szCs w:val="21"/>
                <w:highlight w:val="none"/>
                <w:lang w:eastAsia="zh-CN"/>
              </w:rPr>
            </w:pPr>
          </w:p>
        </w:tc>
        <w:tc>
          <w:tcPr>
            <w:tcW w:w="5149" w:type="dxa"/>
            <w:shd w:val="clear" w:color="auto" w:fill="auto"/>
            <w:vAlign w:val="center"/>
          </w:tcPr>
          <w:p w14:paraId="6ED18D8F">
            <w:pPr>
              <w:keepNext w:val="0"/>
              <w:keepLines w:val="0"/>
              <w:pageBreakBefore w:val="0"/>
              <w:widowControl w:val="0"/>
              <w:kinsoku/>
              <w:wordWrap/>
              <w:overflowPunct/>
              <w:topLinePunct w:val="0"/>
              <w:autoSpaceDE/>
              <w:autoSpaceDN/>
              <w:bidi w:val="0"/>
              <w:adjustRightInd/>
              <w:spacing w:line="300" w:lineRule="exact"/>
              <w:ind w:left="0" w:leftChars="0" w:firstLineChars="0"/>
              <w:jc w:val="both"/>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7.最高限价</w:t>
            </w:r>
            <w:r>
              <w:rPr>
                <w:rFonts w:hint="eastAsia" w:cs="宋体"/>
                <w:b w:val="0"/>
                <w:bCs/>
                <w:color w:val="auto"/>
                <w:kern w:val="0"/>
                <w:sz w:val="21"/>
                <w:szCs w:val="21"/>
                <w:highlight w:val="none"/>
                <w:lang w:val="en-US" w:eastAsia="zh-CN" w:bidi="ar-SA"/>
              </w:rPr>
              <w:t>：本项目预算金额为人民币肆拾肆万伍仟元整（¥445000），供应商报价超出参考预算金额的，按无效处理。</w:t>
            </w:r>
          </w:p>
        </w:tc>
        <w:tc>
          <w:tcPr>
            <w:tcW w:w="2891" w:type="dxa"/>
            <w:shd w:val="clear" w:color="auto" w:fill="auto"/>
            <w:vAlign w:val="center"/>
          </w:tcPr>
          <w:p w14:paraId="5BBF4EAA">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b w:val="0"/>
                <w:bCs/>
                <w:color w:val="auto"/>
                <w:sz w:val="21"/>
                <w:szCs w:val="21"/>
                <w:highlight w:val="none"/>
              </w:rPr>
            </w:pPr>
          </w:p>
        </w:tc>
        <w:tc>
          <w:tcPr>
            <w:tcW w:w="1005" w:type="dxa"/>
            <w:shd w:val="clear" w:color="auto" w:fill="auto"/>
            <w:vAlign w:val="center"/>
          </w:tcPr>
          <w:p w14:paraId="0D4F28E9">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b w:val="0"/>
                <w:bCs/>
                <w:color w:val="auto"/>
                <w:sz w:val="21"/>
                <w:szCs w:val="21"/>
                <w:highlight w:val="none"/>
              </w:rPr>
            </w:pPr>
          </w:p>
        </w:tc>
      </w:tr>
      <w:tr w14:paraId="745C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060" w:type="dxa"/>
            <w:shd w:val="clear" w:color="auto" w:fill="auto"/>
            <w:vAlign w:val="center"/>
          </w:tcPr>
          <w:p w14:paraId="021471D5">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val="0"/>
                <w:bCs/>
                <w:color w:val="auto"/>
                <w:sz w:val="21"/>
                <w:szCs w:val="21"/>
                <w:highlight w:val="none"/>
                <w:lang w:eastAsia="zh-CN"/>
              </w:rPr>
            </w:pPr>
          </w:p>
        </w:tc>
        <w:tc>
          <w:tcPr>
            <w:tcW w:w="5149" w:type="dxa"/>
            <w:shd w:val="clear" w:color="auto" w:fill="auto"/>
            <w:vAlign w:val="center"/>
          </w:tcPr>
          <w:p w14:paraId="4347B3B3">
            <w:pPr>
              <w:keepNext w:val="0"/>
              <w:keepLines w:val="0"/>
              <w:pageBreakBefore w:val="0"/>
              <w:widowControl w:val="0"/>
              <w:numPr>
                <w:ilvl w:val="0"/>
                <w:numId w:val="4"/>
              </w:numPr>
              <w:kinsoku/>
              <w:wordWrap/>
              <w:overflowPunct/>
              <w:topLinePunct w:val="0"/>
              <w:autoSpaceDE/>
              <w:autoSpaceDN/>
              <w:bidi w:val="0"/>
              <w:adjustRightInd/>
              <w:spacing w:line="300" w:lineRule="exact"/>
              <w:ind w:left="0" w:leftChars="0" w:firstLineChars="0"/>
              <w:jc w:val="both"/>
              <w:textAlignment w:val="auto"/>
              <w:rPr>
                <w:rFonts w:hint="eastAsia" w:ascii="宋体" w:hAnsi="宋体" w:cs="宋体"/>
                <w:b w:val="0"/>
                <w:bCs/>
                <w:color w:val="auto"/>
                <w:kern w:val="0"/>
                <w:sz w:val="21"/>
                <w:szCs w:val="21"/>
                <w:highlight w:val="none"/>
                <w:vertAlign w:val="baseline"/>
                <w:lang w:val="en-US" w:eastAsia="zh-CN"/>
              </w:rPr>
            </w:pPr>
            <w:r>
              <w:rPr>
                <w:rFonts w:hint="eastAsia" w:ascii="宋体" w:hAnsi="宋体" w:eastAsia="宋体" w:cs="宋体"/>
                <w:b w:val="0"/>
                <w:bCs/>
                <w:color w:val="auto"/>
                <w:kern w:val="0"/>
                <w:sz w:val="21"/>
                <w:szCs w:val="21"/>
                <w:highlight w:val="none"/>
                <w:vertAlign w:val="baseline"/>
                <w:lang w:val="en-US" w:eastAsia="zh-CN"/>
              </w:rPr>
              <w:t>其他要求</w:t>
            </w:r>
            <w:r>
              <w:rPr>
                <w:rFonts w:hint="eastAsia" w:ascii="宋体" w:hAnsi="宋体" w:cs="宋体"/>
                <w:b w:val="0"/>
                <w:bCs/>
                <w:color w:val="auto"/>
                <w:kern w:val="0"/>
                <w:sz w:val="21"/>
                <w:szCs w:val="21"/>
                <w:highlight w:val="none"/>
                <w:vertAlign w:val="baseline"/>
                <w:lang w:val="en-US" w:eastAsia="zh-CN"/>
              </w:rPr>
              <w:t>：</w:t>
            </w:r>
          </w:p>
          <w:p w14:paraId="3849F997">
            <w:pPr>
              <w:keepNext w:val="0"/>
              <w:keepLines w:val="0"/>
              <w:pageBreakBefore w:val="0"/>
              <w:widowControl w:val="0"/>
              <w:numPr>
                <w:ilvl w:val="0"/>
                <w:numId w:val="0"/>
              </w:numPr>
              <w:kinsoku/>
              <w:wordWrap/>
              <w:overflowPunct/>
              <w:topLinePunct w:val="0"/>
              <w:autoSpaceDE/>
              <w:autoSpaceDN/>
              <w:bidi w:val="0"/>
              <w:adjustRightInd/>
              <w:spacing w:line="300" w:lineRule="exact"/>
              <w:ind w:leftChars="0"/>
              <w:jc w:val="both"/>
              <w:textAlignment w:val="auto"/>
              <w:rPr>
                <w:rFonts w:hint="eastAsia" w:ascii="宋体" w:hAnsi="宋体" w:eastAsia="宋体" w:cs="宋体"/>
                <w:b w:val="0"/>
                <w:bCs/>
                <w:color w:val="auto"/>
                <w:kern w:val="0"/>
                <w:sz w:val="21"/>
                <w:szCs w:val="21"/>
                <w:highlight w:val="none"/>
                <w:vertAlign w:val="baseline"/>
                <w:lang w:val="en-US" w:eastAsia="zh-CN"/>
              </w:rPr>
            </w:pPr>
            <w:r>
              <w:rPr>
                <w:rFonts w:hint="eastAsia" w:ascii="宋体" w:hAnsi="宋体" w:cs="宋体"/>
                <w:b w:val="0"/>
                <w:bCs/>
                <w:color w:val="auto"/>
                <w:kern w:val="0"/>
                <w:sz w:val="21"/>
                <w:szCs w:val="21"/>
                <w:highlight w:val="none"/>
                <w:vertAlign w:val="baseline"/>
                <w:lang w:val="en-US" w:eastAsia="zh-CN"/>
              </w:rPr>
              <w:t>本项目所提供的软件必须具有合法的版权或使用权，如在本项目范围内使用过程中出现版权或使用权纠纷，应由供应商负责。</w:t>
            </w:r>
          </w:p>
        </w:tc>
        <w:tc>
          <w:tcPr>
            <w:tcW w:w="2891" w:type="dxa"/>
            <w:shd w:val="clear" w:color="auto" w:fill="auto"/>
            <w:vAlign w:val="center"/>
          </w:tcPr>
          <w:p w14:paraId="669985E6">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b w:val="0"/>
                <w:bCs/>
                <w:color w:val="auto"/>
                <w:sz w:val="21"/>
                <w:szCs w:val="21"/>
                <w:highlight w:val="none"/>
              </w:rPr>
            </w:pPr>
          </w:p>
        </w:tc>
        <w:tc>
          <w:tcPr>
            <w:tcW w:w="1005" w:type="dxa"/>
            <w:shd w:val="clear" w:color="auto" w:fill="auto"/>
            <w:vAlign w:val="center"/>
          </w:tcPr>
          <w:p w14:paraId="0B935802">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b w:val="0"/>
                <w:bCs/>
                <w:color w:val="auto"/>
                <w:sz w:val="21"/>
                <w:szCs w:val="21"/>
                <w:highlight w:val="none"/>
              </w:rPr>
            </w:pPr>
          </w:p>
        </w:tc>
      </w:tr>
    </w:tbl>
    <w:p w14:paraId="5722B530">
      <w:pPr>
        <w:keepNext w:val="0"/>
        <w:keepLines w:val="0"/>
        <w:pageBreakBefore w:val="0"/>
        <w:widowControl w:val="0"/>
        <w:kinsoku/>
        <w:wordWrap/>
        <w:overflowPunct/>
        <w:topLinePunct w:val="0"/>
        <w:bidi w:val="0"/>
        <w:adjustRightInd/>
        <w:spacing w:line="440" w:lineRule="exact"/>
        <w:ind w:left="0" w:right="0" w:rightChars="0"/>
        <w:rPr>
          <w:rFonts w:hint="eastAsia" w:asciiTheme="minorEastAsia" w:hAnsiTheme="minorEastAsia" w:eastAsiaTheme="minorEastAsia" w:cstheme="minorEastAsia"/>
          <w:kern w:val="0"/>
          <w:sz w:val="24"/>
          <w:szCs w:val="24"/>
          <w:lang w:val="en-US" w:eastAsia="zh-CN"/>
        </w:rPr>
      </w:pPr>
    </w:p>
    <w:sectPr>
      <w:footerReference r:id="rId3" w:type="default"/>
      <w:pgSz w:w="11906" w:h="16838"/>
      <w:pgMar w:top="1440" w:right="1463" w:bottom="1440" w:left="131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88390">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A39077">
                          <w:pPr>
                            <w:pStyle w:val="1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DA39077">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0145B5"/>
    <w:multiLevelType w:val="singleLevel"/>
    <w:tmpl w:val="D10145B5"/>
    <w:lvl w:ilvl="0" w:tentative="0">
      <w:start w:val="3"/>
      <w:numFmt w:val="decimal"/>
      <w:lvlText w:val="%1."/>
      <w:lvlJc w:val="left"/>
      <w:pPr>
        <w:tabs>
          <w:tab w:val="left" w:pos="312"/>
        </w:tabs>
      </w:pPr>
    </w:lvl>
  </w:abstractNum>
  <w:abstractNum w:abstractNumId="1">
    <w:nsid w:val="1589D8F6"/>
    <w:multiLevelType w:val="singleLevel"/>
    <w:tmpl w:val="1589D8F6"/>
    <w:lvl w:ilvl="0" w:tentative="0">
      <w:start w:val="8"/>
      <w:numFmt w:val="decimal"/>
      <w:lvlText w:val="%1."/>
      <w:lvlJc w:val="left"/>
      <w:pPr>
        <w:tabs>
          <w:tab w:val="left" w:pos="312"/>
        </w:tabs>
      </w:pPr>
    </w:lvl>
  </w:abstractNum>
  <w:abstractNum w:abstractNumId="2">
    <w:nsid w:val="58D574C6"/>
    <w:multiLevelType w:val="singleLevel"/>
    <w:tmpl w:val="58D574C6"/>
    <w:lvl w:ilvl="0" w:tentative="0">
      <w:start w:val="1"/>
      <w:numFmt w:val="decimal"/>
      <w:lvlText w:val="(%1)"/>
      <w:lvlJc w:val="left"/>
      <w:pPr>
        <w:ind w:left="425" w:hanging="425"/>
      </w:pPr>
      <w:rPr>
        <w:rFonts w:hint="default"/>
      </w:rPr>
    </w:lvl>
  </w:abstractNum>
  <w:abstractNum w:abstractNumId="3">
    <w:nsid w:val="5C946299"/>
    <w:multiLevelType w:val="singleLevel"/>
    <w:tmpl w:val="5C946299"/>
    <w:lvl w:ilvl="0" w:tentative="0">
      <w:start w:val="0"/>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kOTA2MjY5MDQxOWY0MGUzOTc0NDIyZjkxOTQ5MWMifQ=="/>
  </w:docVars>
  <w:rsids>
    <w:rsidRoot w:val="1382169D"/>
    <w:rsid w:val="00454CE0"/>
    <w:rsid w:val="09D26538"/>
    <w:rsid w:val="0CBB0F91"/>
    <w:rsid w:val="0DA37AF0"/>
    <w:rsid w:val="0E1F47C3"/>
    <w:rsid w:val="0E311532"/>
    <w:rsid w:val="0EA40452"/>
    <w:rsid w:val="0F307AB2"/>
    <w:rsid w:val="0F8D7EF3"/>
    <w:rsid w:val="0FFA3C1C"/>
    <w:rsid w:val="114F21D0"/>
    <w:rsid w:val="13195B80"/>
    <w:rsid w:val="1382169D"/>
    <w:rsid w:val="13E764D3"/>
    <w:rsid w:val="16CD30F8"/>
    <w:rsid w:val="176E5B42"/>
    <w:rsid w:val="190A4400"/>
    <w:rsid w:val="19692D39"/>
    <w:rsid w:val="197D7C42"/>
    <w:rsid w:val="1E9F255E"/>
    <w:rsid w:val="1EF158EE"/>
    <w:rsid w:val="225C7988"/>
    <w:rsid w:val="228856AB"/>
    <w:rsid w:val="235405C4"/>
    <w:rsid w:val="25647E26"/>
    <w:rsid w:val="2A660611"/>
    <w:rsid w:val="2B4B7417"/>
    <w:rsid w:val="2C4F4885"/>
    <w:rsid w:val="2D2C4FA8"/>
    <w:rsid w:val="2F8070B6"/>
    <w:rsid w:val="324673DF"/>
    <w:rsid w:val="33175CFD"/>
    <w:rsid w:val="34535CBE"/>
    <w:rsid w:val="38B60A92"/>
    <w:rsid w:val="39E373A4"/>
    <w:rsid w:val="3AC743FB"/>
    <w:rsid w:val="3BFA4E20"/>
    <w:rsid w:val="3E3A59A8"/>
    <w:rsid w:val="3E8F099D"/>
    <w:rsid w:val="41C95079"/>
    <w:rsid w:val="42D57A4D"/>
    <w:rsid w:val="42E21359"/>
    <w:rsid w:val="43B6461B"/>
    <w:rsid w:val="44CF2979"/>
    <w:rsid w:val="479B2F0C"/>
    <w:rsid w:val="47F90592"/>
    <w:rsid w:val="48FA4C52"/>
    <w:rsid w:val="4A312547"/>
    <w:rsid w:val="4A6C0DCA"/>
    <w:rsid w:val="4C651AA9"/>
    <w:rsid w:val="4CBC303B"/>
    <w:rsid w:val="4D7D31BB"/>
    <w:rsid w:val="4D9667F9"/>
    <w:rsid w:val="4F71630F"/>
    <w:rsid w:val="50165A4D"/>
    <w:rsid w:val="503E4BB7"/>
    <w:rsid w:val="50B13D19"/>
    <w:rsid w:val="55B67FA8"/>
    <w:rsid w:val="55FE26A7"/>
    <w:rsid w:val="56ED74A9"/>
    <w:rsid w:val="57AC32CF"/>
    <w:rsid w:val="58064796"/>
    <w:rsid w:val="59FF38D6"/>
    <w:rsid w:val="5C1761A2"/>
    <w:rsid w:val="5E0D73FF"/>
    <w:rsid w:val="606B0631"/>
    <w:rsid w:val="65946852"/>
    <w:rsid w:val="67A82BE8"/>
    <w:rsid w:val="6DC5053A"/>
    <w:rsid w:val="6F561BA6"/>
    <w:rsid w:val="70045656"/>
    <w:rsid w:val="702131CC"/>
    <w:rsid w:val="70A47522"/>
    <w:rsid w:val="77163BB5"/>
    <w:rsid w:val="78B50C55"/>
    <w:rsid w:val="79F846E4"/>
    <w:rsid w:val="7C660AAA"/>
    <w:rsid w:val="7C8B5280"/>
    <w:rsid w:val="7CD42620"/>
    <w:rsid w:val="7EAB1EEB"/>
    <w:rsid w:val="7FCA5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spacing w:before="161"/>
      <w:ind w:left="218"/>
      <w:outlineLvl w:val="1"/>
    </w:pPr>
    <w:rPr>
      <w:rFonts w:ascii="宋体" w:hAnsi="宋体" w:eastAsia="宋体" w:cs="宋体"/>
      <w:b/>
      <w:bCs/>
      <w:sz w:val="24"/>
      <w:szCs w:val="24"/>
      <w:lang w:val="en-US" w:eastAsia="zh-CN" w:bidi="ar-SA"/>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Verdana" w:hAnsi="Verdana"/>
      <w:szCs w:val="20"/>
    </w:rPr>
  </w:style>
  <w:style w:type="paragraph" w:styleId="5">
    <w:name w:val="index 8"/>
    <w:basedOn w:val="1"/>
    <w:next w:val="1"/>
    <w:unhideWhenUsed/>
    <w:qFormat/>
    <w:uiPriority w:val="0"/>
    <w:pPr>
      <w:ind w:left="2940"/>
    </w:pPr>
  </w:style>
  <w:style w:type="paragraph" w:styleId="6">
    <w:name w:val="annotation text"/>
    <w:basedOn w:val="1"/>
    <w:qFormat/>
    <w:uiPriority w:val="0"/>
    <w:pPr>
      <w:jc w:val="left"/>
    </w:pPr>
  </w:style>
  <w:style w:type="paragraph" w:styleId="7">
    <w:name w:val="Body Text"/>
    <w:basedOn w:val="1"/>
    <w:qFormat/>
    <w:uiPriority w:val="0"/>
    <w:pPr>
      <w:spacing w:after="120"/>
    </w:pPr>
    <w:rPr>
      <w:rFonts w:eastAsia="宋体"/>
      <w:sz w:val="21"/>
    </w:rPr>
  </w:style>
  <w:style w:type="paragraph" w:styleId="8">
    <w:name w:val="toc 3"/>
    <w:basedOn w:val="1"/>
    <w:next w:val="1"/>
    <w:unhideWhenUsed/>
    <w:qFormat/>
    <w:uiPriority w:val="39"/>
    <w:pPr>
      <w:ind w:left="840" w:leftChars="400"/>
    </w:pPr>
  </w:style>
  <w:style w:type="paragraph" w:styleId="9">
    <w:name w:val="Plain Text"/>
    <w:basedOn w:val="1"/>
    <w:qFormat/>
    <w:uiPriority w:val="0"/>
    <w:rPr>
      <w:rFonts w:ascii="宋体" w:hAnsi="Courier New"/>
      <w:kern w:val="0"/>
      <w:sz w:val="20"/>
      <w:szCs w:val="20"/>
    </w:rPr>
  </w:style>
  <w:style w:type="paragraph" w:styleId="10">
    <w:name w:val="footer"/>
    <w:basedOn w:val="1"/>
    <w:qFormat/>
    <w:uiPriority w:val="0"/>
    <w:pPr>
      <w:tabs>
        <w:tab w:val="center" w:pos="4153"/>
        <w:tab w:val="right" w:pos="8306"/>
      </w:tabs>
      <w:snapToGrid w:val="0"/>
      <w:jc w:val="left"/>
    </w:pPr>
    <w:rPr>
      <w:kern w:val="0"/>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style>
  <w:style w:type="paragraph" w:styleId="13">
    <w:name w:val="footnote text"/>
    <w:basedOn w:val="1"/>
    <w:unhideWhenUsed/>
    <w:qFormat/>
    <w:uiPriority w:val="99"/>
    <w:pPr>
      <w:snapToGrid w:val="0"/>
      <w:jc w:val="left"/>
    </w:pPr>
    <w:rPr>
      <w:sz w:val="18"/>
      <w:szCs w:val="18"/>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qFormat/>
    <w:uiPriority w:val="1"/>
    <w:pPr>
      <w:spacing w:before="171"/>
      <w:ind w:left="2520" w:right="2556"/>
      <w:jc w:val="center"/>
    </w:pPr>
    <w:rPr>
      <w:rFonts w:ascii="宋体" w:hAnsi="宋体" w:eastAsia="宋体" w:cs="宋体"/>
      <w:sz w:val="44"/>
      <w:szCs w:val="44"/>
      <w:lang w:val="en-US" w:eastAsia="zh-CN" w:bidi="ar-SA"/>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basedOn w:val="18"/>
    <w:qFormat/>
    <w:uiPriority w:val="0"/>
    <w:rPr>
      <w:color w:val="0000FF"/>
      <w:u w:val="single"/>
    </w:rPr>
  </w:style>
  <w:style w:type="character" w:customStyle="1" w:styleId="21">
    <w:name w:val="font11"/>
    <w:basedOn w:val="18"/>
    <w:qFormat/>
    <w:uiPriority w:val="0"/>
    <w:rPr>
      <w:rFonts w:hint="eastAsia" w:ascii="宋体" w:hAnsi="宋体" w:eastAsia="宋体" w:cs="宋体"/>
      <w:color w:val="000000"/>
      <w:sz w:val="20"/>
      <w:szCs w:val="20"/>
      <w:u w:val="none"/>
    </w:rPr>
  </w:style>
  <w:style w:type="character" w:customStyle="1" w:styleId="22">
    <w:name w:val="font01"/>
    <w:basedOn w:val="18"/>
    <w:qFormat/>
    <w:uiPriority w:val="0"/>
    <w:rPr>
      <w:rFonts w:hint="default" w:ascii="Arial" w:hAnsi="Arial" w:cs="Arial"/>
      <w:color w:val="000000"/>
      <w:sz w:val="20"/>
      <w:szCs w:val="20"/>
      <w:u w:val="none"/>
    </w:rPr>
  </w:style>
  <w:style w:type="paragraph" w:styleId="23">
    <w:name w:val="List Paragraph"/>
    <w:basedOn w:val="1"/>
    <w:autoRedefine/>
    <w:qFormat/>
    <w:uiPriority w:val="34"/>
    <w:pPr>
      <w:widowControl/>
      <w:ind w:firstLine="420" w:firstLineChars="200"/>
      <w:jc w:val="left"/>
    </w:pPr>
    <w:rPr>
      <w:rFonts w:ascii="宋体" w:hAnsi="宋体" w:eastAsia="宋体" w:cs="宋体"/>
      <w:kern w:val="0"/>
      <w:sz w:val="24"/>
    </w:rPr>
  </w:style>
  <w:style w:type="paragraph" w:customStyle="1" w:styleId="24">
    <w:name w:val="正文1"/>
    <w:qFormat/>
    <w:uiPriority w:val="0"/>
    <w:pPr>
      <w:jc w:val="both"/>
    </w:pPr>
    <w:rPr>
      <w:rFonts w:ascii="Times New Roman" w:hAnsi="Times New Roman" w:eastAsia="宋体" w:cs="Times New Roman"/>
      <w:sz w:val="21"/>
      <w:szCs w:val="24"/>
      <w:lang w:val="en-US" w:eastAsia="zh-CN" w:bidi="ar-SA"/>
    </w:rPr>
  </w:style>
  <w:style w:type="paragraph" w:customStyle="1" w:styleId="25">
    <w:name w:val="_Style 7"/>
    <w:basedOn w:val="3"/>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26">
    <w:name w:val="List Paragraph_40b67d30-6b8b-4697-8f49-97c11e174001"/>
    <w:basedOn w:val="1"/>
    <w:qFormat/>
    <w:uiPriority w:val="0"/>
    <w:pPr>
      <w:widowControl w:val="0"/>
      <w:spacing w:line="240" w:lineRule="auto"/>
      <w:ind w:firstLine="420" w:firstLineChars="200"/>
    </w:pPr>
    <w:rPr>
      <w:rFonts w:ascii="Calibri" w:hAnsi="Calibri" w:eastAsia="宋体" w:cs="宋体"/>
      <w:kern w:val="2"/>
      <w:szCs w:val="22"/>
    </w:rPr>
  </w:style>
  <w:style w:type="paragraph" w:customStyle="1" w:styleId="27">
    <w:name w:val="Table Paragraph"/>
    <w:basedOn w:val="1"/>
    <w:qFormat/>
    <w:uiPriority w:val="0"/>
    <w:pPr>
      <w:widowControl w:val="0"/>
      <w:spacing w:line="240" w:lineRule="auto"/>
    </w:pPr>
    <w:rPr>
      <w:rFonts w:ascii="Calibri" w:hAnsi="Calibri" w:eastAsia="宋体" w:cs="宋体"/>
      <w:kern w:val="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2359</Words>
  <Characters>2677</Characters>
  <Lines>0</Lines>
  <Paragraphs>0</Paragraphs>
  <TotalTime>3</TotalTime>
  <ScaleCrop>false</ScaleCrop>
  <LinksUpToDate>false</LinksUpToDate>
  <CharactersWithSpaces>2731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2024-10-15T07:56:00Z</dcterms:created>
  <dc:creator>Administrator</dc:creator>
  <cp:lastModifiedBy>水晶海豚</cp:lastModifiedBy>
  <dcterms:modified xsi:type="dcterms:W3CDTF">2025-03-14T01:23:40Z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7693B47C063C495095B1EB01030EC60A_13</vt:lpwstr>
  </property>
  <property fmtid="{D5CDD505-2E9C-101B-9397-08002B2CF9AE}" pid="4" name="KSOTemplateDocerSaveRecord">
    <vt:lpwstr>eyJoZGlkIjoiMjU4OGYyYzk4NzIyNWIxNDRlYWY3YTgyY2I2YzVmNzgiLCJ1c2VySWQiOiIyNzI4OTA3MjUifQ==</vt:lpwstr>
  </property>
</Properties>
</file>