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2FCE0D">
      <w:pPr>
        <w:pStyle w:val="16"/>
        <w:spacing w:line="440" w:lineRule="exact"/>
        <w:jc w:val="center"/>
        <w:rPr>
          <w:rFonts w:ascii="Arial" w:hAnsi="Arial" w:eastAsia="楷体_GB2312" w:cs="Arial"/>
          <w:b/>
          <w:bCs/>
          <w:sz w:val="56"/>
          <w:szCs w:val="72"/>
        </w:rPr>
      </w:pPr>
    </w:p>
    <w:p w14:paraId="2100868A">
      <w:pPr>
        <w:pStyle w:val="16"/>
        <w:spacing w:line="440" w:lineRule="exact"/>
        <w:jc w:val="center"/>
        <w:rPr>
          <w:rFonts w:ascii="Arial" w:hAnsi="Arial" w:eastAsia="楷体_GB2312" w:cs="Arial"/>
          <w:b/>
          <w:bCs/>
          <w:sz w:val="56"/>
          <w:szCs w:val="72"/>
        </w:rPr>
      </w:pPr>
    </w:p>
    <w:p w14:paraId="2C36305B">
      <w:pPr>
        <w:pStyle w:val="16"/>
        <w:spacing w:line="600" w:lineRule="exact"/>
        <w:jc w:val="center"/>
        <w:rPr>
          <w:rFonts w:ascii="Arial" w:hAnsi="Arial" w:eastAsia="楷体_GB2312" w:cs="Arial"/>
          <w:b/>
          <w:bCs/>
          <w:sz w:val="56"/>
          <w:szCs w:val="72"/>
        </w:rPr>
      </w:pPr>
    </w:p>
    <w:p w14:paraId="35E9CCD4">
      <w:pPr>
        <w:pStyle w:val="16"/>
        <w:spacing w:line="600" w:lineRule="exact"/>
        <w:jc w:val="center"/>
        <w:rPr>
          <w:rFonts w:ascii="Arial" w:hAnsi="Arial" w:eastAsia="楷体_GB2312" w:cs="Arial"/>
          <w:b/>
          <w:bCs/>
          <w:sz w:val="56"/>
          <w:szCs w:val="72"/>
        </w:rPr>
      </w:pPr>
    </w:p>
    <w:p w14:paraId="6563BC93">
      <w:pPr>
        <w:pStyle w:val="16"/>
        <w:spacing w:line="600" w:lineRule="exact"/>
        <w:jc w:val="center"/>
        <w:rPr>
          <w:rFonts w:ascii="Arial" w:hAnsi="Arial" w:eastAsia="楷体_GB2312" w:cs="Arial"/>
          <w:b/>
          <w:bCs/>
          <w:sz w:val="56"/>
          <w:szCs w:val="72"/>
        </w:rPr>
      </w:pPr>
    </w:p>
    <w:p w14:paraId="3E465242">
      <w:pPr>
        <w:pStyle w:val="16"/>
        <w:spacing w:line="640" w:lineRule="exact"/>
        <w:jc w:val="center"/>
        <w:rPr>
          <w:rFonts w:ascii="Arial" w:hAnsi="Arial" w:eastAsia="楷体_GB2312" w:cs="Arial"/>
          <w:b/>
          <w:bCs/>
          <w:sz w:val="56"/>
          <w:szCs w:val="72"/>
        </w:rPr>
      </w:pPr>
    </w:p>
    <w:p w14:paraId="2ACE754F">
      <w:pPr>
        <w:pStyle w:val="16"/>
        <w:spacing w:line="640" w:lineRule="exact"/>
        <w:jc w:val="center"/>
        <w:rPr>
          <w:rFonts w:hAnsi="宋体" w:cs="宋体"/>
          <w:b/>
          <w:bCs/>
          <w:sz w:val="48"/>
          <w:szCs w:val="48"/>
        </w:rPr>
      </w:pPr>
      <w:r>
        <w:rPr>
          <w:rFonts w:hint="eastAsia" w:hAnsi="宋体" w:cs="宋体"/>
          <w:b/>
          <w:bCs/>
          <w:sz w:val="48"/>
          <w:szCs w:val="48"/>
        </w:rPr>
        <w:t>桂林市人民医院</w:t>
      </w:r>
    </w:p>
    <w:p w14:paraId="4D772E8A">
      <w:pPr>
        <w:pStyle w:val="16"/>
        <w:spacing w:line="640" w:lineRule="exact"/>
        <w:jc w:val="center"/>
        <w:rPr>
          <w:rFonts w:hAnsi="宋体" w:cs="宋体"/>
          <w:b/>
          <w:bCs/>
          <w:sz w:val="48"/>
          <w:szCs w:val="48"/>
        </w:rPr>
      </w:pPr>
      <w:r>
        <w:rPr>
          <w:rFonts w:hint="eastAsia" w:hAnsi="宋体" w:cs="宋体"/>
          <w:b/>
          <w:bCs/>
          <w:sz w:val="48"/>
          <w:szCs w:val="48"/>
        </w:rPr>
        <w:t>加油服务项目招标文件</w:t>
      </w:r>
    </w:p>
    <w:p w14:paraId="704151FA">
      <w:pPr>
        <w:pStyle w:val="16"/>
        <w:spacing w:line="440" w:lineRule="exact"/>
        <w:jc w:val="center"/>
        <w:rPr>
          <w:rFonts w:ascii="Arial" w:hAnsi="Arial" w:eastAsia="楷体_GB2312" w:cs="Arial"/>
          <w:b/>
          <w:bCs/>
          <w:sz w:val="24"/>
          <w:szCs w:val="24"/>
        </w:rPr>
      </w:pPr>
    </w:p>
    <w:p w14:paraId="14F2C89A">
      <w:pPr>
        <w:pStyle w:val="16"/>
        <w:spacing w:line="440" w:lineRule="exact"/>
        <w:ind w:firstLine="2695"/>
        <w:rPr>
          <w:rFonts w:ascii="Arial" w:hAnsi="Arial" w:cs="Arial"/>
          <w:sz w:val="24"/>
          <w:szCs w:val="24"/>
        </w:rPr>
      </w:pPr>
    </w:p>
    <w:p w14:paraId="41067B43">
      <w:pPr>
        <w:pStyle w:val="16"/>
        <w:spacing w:line="440" w:lineRule="exact"/>
        <w:ind w:firstLine="2695"/>
        <w:rPr>
          <w:rFonts w:ascii="Arial" w:hAnsi="Arial" w:cs="Arial"/>
          <w:sz w:val="28"/>
        </w:rPr>
      </w:pPr>
      <w:r>
        <w:rPr>
          <w:rFonts w:ascii="Arial" w:hAnsi="Arial" w:cs="Arial"/>
          <w:sz w:val="28"/>
        </w:rPr>
        <w:cr/>
      </w:r>
    </w:p>
    <w:p w14:paraId="30B37F79">
      <w:pPr>
        <w:pStyle w:val="16"/>
        <w:spacing w:line="440" w:lineRule="exact"/>
        <w:ind w:firstLine="2695"/>
        <w:rPr>
          <w:rFonts w:ascii="Arial" w:hAnsi="Arial" w:cs="Arial"/>
          <w:sz w:val="28"/>
        </w:rPr>
      </w:pPr>
    </w:p>
    <w:p w14:paraId="712E1F65">
      <w:pPr>
        <w:pStyle w:val="16"/>
        <w:spacing w:line="440" w:lineRule="exact"/>
        <w:ind w:firstLine="2695"/>
        <w:rPr>
          <w:rFonts w:ascii="Arial" w:hAnsi="Arial" w:cs="Arial"/>
          <w:sz w:val="28"/>
        </w:rPr>
      </w:pPr>
    </w:p>
    <w:p w14:paraId="117748C0">
      <w:pPr>
        <w:pStyle w:val="16"/>
        <w:spacing w:line="440" w:lineRule="exact"/>
        <w:ind w:firstLine="2695"/>
        <w:rPr>
          <w:rFonts w:ascii="Arial" w:hAnsi="Arial" w:cs="Arial"/>
          <w:sz w:val="28"/>
        </w:rPr>
      </w:pPr>
    </w:p>
    <w:p w14:paraId="282EA653">
      <w:pPr>
        <w:pStyle w:val="16"/>
        <w:spacing w:line="440" w:lineRule="exact"/>
        <w:ind w:firstLine="2695"/>
        <w:rPr>
          <w:rFonts w:ascii="Arial" w:hAnsi="Arial" w:cs="Arial"/>
          <w:sz w:val="28"/>
        </w:rPr>
      </w:pPr>
    </w:p>
    <w:p w14:paraId="20AF76F3">
      <w:pPr>
        <w:pStyle w:val="16"/>
        <w:spacing w:line="440" w:lineRule="exact"/>
        <w:rPr>
          <w:rFonts w:ascii="Arial" w:hAnsi="Arial" w:cs="Arial"/>
          <w:sz w:val="28"/>
        </w:rPr>
      </w:pPr>
    </w:p>
    <w:p w14:paraId="067315FB">
      <w:pPr>
        <w:pStyle w:val="16"/>
        <w:spacing w:line="440" w:lineRule="exact"/>
        <w:rPr>
          <w:rFonts w:ascii="Arial" w:hAnsi="Arial" w:cs="Arial"/>
          <w:sz w:val="28"/>
        </w:rPr>
      </w:pPr>
    </w:p>
    <w:p w14:paraId="081EFF86">
      <w:pPr>
        <w:pStyle w:val="7"/>
        <w:rPr>
          <w:rFonts w:ascii="Arial" w:hAnsi="Arial" w:cs="Arial"/>
          <w:sz w:val="28"/>
        </w:rPr>
      </w:pPr>
    </w:p>
    <w:p w14:paraId="283D7A25">
      <w:pPr>
        <w:rPr>
          <w:rFonts w:ascii="Arial" w:hAnsi="Arial" w:cs="Arial"/>
          <w:sz w:val="28"/>
        </w:rPr>
      </w:pPr>
    </w:p>
    <w:p w14:paraId="59839556">
      <w:pPr>
        <w:rPr>
          <w:rFonts w:ascii="Arial" w:hAnsi="Arial" w:cs="Arial"/>
          <w:sz w:val="28"/>
        </w:rPr>
      </w:pPr>
    </w:p>
    <w:p w14:paraId="2804F16A"/>
    <w:p w14:paraId="60AE3BEF">
      <w:pPr>
        <w:rPr>
          <w:rFonts w:ascii="Arial" w:hAnsi="Arial" w:cs="Arial"/>
          <w:sz w:val="28"/>
        </w:rPr>
      </w:pPr>
    </w:p>
    <w:p w14:paraId="173E2428">
      <w:pPr>
        <w:pStyle w:val="16"/>
        <w:spacing w:line="440" w:lineRule="exact"/>
        <w:rPr>
          <w:rFonts w:ascii="Arial" w:hAnsi="Arial" w:cs="Arial"/>
          <w:sz w:val="28"/>
        </w:rPr>
      </w:pPr>
    </w:p>
    <w:p w14:paraId="45FDCE53">
      <w:pPr>
        <w:pStyle w:val="16"/>
        <w:spacing w:line="440" w:lineRule="exact"/>
        <w:jc w:val="center"/>
        <w:rPr>
          <w:rFonts w:hAnsi="宋体" w:cs="宋体"/>
          <w:b/>
          <w:bCs/>
          <w:sz w:val="36"/>
          <w:szCs w:val="36"/>
        </w:rPr>
      </w:pPr>
      <w:r>
        <w:rPr>
          <w:rFonts w:hint="eastAsia" w:hAnsi="宋体" w:cs="宋体"/>
          <w:b/>
          <w:bCs/>
          <w:sz w:val="36"/>
          <w:szCs w:val="36"/>
        </w:rPr>
        <w:t>2025年</w:t>
      </w:r>
      <w:r>
        <w:rPr>
          <w:rFonts w:hint="eastAsia" w:hAnsi="宋体" w:cs="宋体"/>
          <w:b/>
          <w:bCs/>
          <w:sz w:val="36"/>
          <w:szCs w:val="36"/>
          <w:lang w:val="en-US" w:eastAsia="zh-CN"/>
        </w:rPr>
        <w:t>5</w:t>
      </w:r>
      <w:r>
        <w:rPr>
          <w:rFonts w:hint="eastAsia" w:hAnsi="宋体" w:cs="宋体"/>
          <w:b/>
          <w:bCs/>
          <w:sz w:val="36"/>
          <w:szCs w:val="36"/>
        </w:rPr>
        <w:t>月</w:t>
      </w:r>
      <w:ins w:id="0" w:author="H.小薇" w:date="2025-05-19T09:39:25Z">
        <w:r>
          <w:rPr>
            <w:rFonts w:hint="eastAsia" w:hAnsi="宋体" w:cs="宋体"/>
            <w:b/>
            <w:bCs/>
            <w:sz w:val="36"/>
            <w:szCs w:val="36"/>
            <w:lang w:val="en-US" w:eastAsia="zh-CN"/>
          </w:rPr>
          <w:t>1</w:t>
        </w:r>
      </w:ins>
      <w:ins w:id="1" w:author="H.小薇" w:date="2025-05-19T09:39:26Z">
        <w:r>
          <w:rPr>
            <w:rFonts w:hint="eastAsia" w:hAnsi="宋体" w:cs="宋体"/>
            <w:b/>
            <w:bCs/>
            <w:sz w:val="36"/>
            <w:szCs w:val="36"/>
            <w:lang w:val="en-US" w:eastAsia="zh-CN"/>
          </w:rPr>
          <w:t>9</w:t>
        </w:r>
      </w:ins>
      <w:r>
        <w:rPr>
          <w:rFonts w:hint="eastAsia" w:hAnsi="宋体" w:cs="宋体"/>
          <w:b/>
          <w:bCs/>
          <w:sz w:val="36"/>
          <w:szCs w:val="36"/>
        </w:rPr>
        <w:t>日</w:t>
      </w:r>
    </w:p>
    <w:p w14:paraId="34E11E0B">
      <w:pPr>
        <w:pStyle w:val="16"/>
        <w:spacing w:line="440" w:lineRule="exact"/>
        <w:jc w:val="center"/>
        <w:rPr>
          <w:rFonts w:hAnsi="宋体" w:cs="宋体"/>
          <w:b/>
          <w:bCs/>
          <w:sz w:val="36"/>
          <w:szCs w:val="36"/>
        </w:rPr>
      </w:pPr>
    </w:p>
    <w:p w14:paraId="3B4A684F">
      <w:pPr>
        <w:pStyle w:val="16"/>
        <w:spacing w:line="440" w:lineRule="exact"/>
        <w:rPr>
          <w:rFonts w:hAnsi="宋体" w:cs="宋体"/>
          <w:b/>
          <w:bCs/>
          <w:sz w:val="36"/>
          <w:szCs w:val="36"/>
        </w:rPr>
      </w:pPr>
    </w:p>
    <w:p w14:paraId="30907026">
      <w:pPr>
        <w:pStyle w:val="37"/>
        <w:spacing w:before="0" w:line="440" w:lineRule="exact"/>
        <w:ind w:left="0"/>
        <w:jc w:val="center"/>
        <w:rPr>
          <w:rFonts w:ascii="Arial" w:hAnsi="宋体" w:eastAsia="宋体" w:cs="Arial"/>
          <w:b/>
          <w:bCs/>
          <w:color w:val="auto"/>
          <w:sz w:val="44"/>
          <w:szCs w:val="44"/>
          <w:lang w:val="zh-CN"/>
        </w:rPr>
      </w:pPr>
      <w:r>
        <w:rPr>
          <w:rFonts w:ascii="Arial" w:hAnsi="宋体" w:eastAsia="宋体" w:cs="Arial"/>
          <w:b/>
          <w:bCs/>
          <w:color w:val="auto"/>
          <w:sz w:val="44"/>
          <w:szCs w:val="44"/>
          <w:lang w:val="zh-CN"/>
        </w:rPr>
        <w:t>目录</w:t>
      </w:r>
    </w:p>
    <w:p w14:paraId="302B264A">
      <w:pPr>
        <w:spacing w:line="440" w:lineRule="exact"/>
      </w:pPr>
    </w:p>
    <w:p w14:paraId="0268BF7A">
      <w:pPr>
        <w:pStyle w:val="15"/>
        <w:tabs>
          <w:tab w:val="right" w:leader="dot" w:pos="9628"/>
        </w:tabs>
        <w:spacing w:line="540" w:lineRule="exact"/>
        <w:ind w:left="0" w:leftChars="0"/>
        <w:rPr>
          <w:rFonts w:ascii="Arial" w:hAnsi="Arial" w:cs="Arial"/>
          <w:color w:val="0000FF"/>
          <w:sz w:val="24"/>
        </w:rPr>
      </w:pPr>
      <w:r>
        <w:rPr>
          <w:rFonts w:ascii="Arial" w:hAnsi="Arial" w:cs="Arial"/>
        </w:rPr>
        <w:fldChar w:fldCharType="begin"/>
      </w:r>
      <w:r>
        <w:rPr>
          <w:rFonts w:ascii="Arial" w:hAnsi="Arial" w:cs="Arial"/>
        </w:rPr>
        <w:instrText xml:space="preserve"> TOC \o "1-3" \h \z \u </w:instrText>
      </w:r>
      <w:r>
        <w:rPr>
          <w:rFonts w:ascii="Arial" w:hAnsi="Arial" w:cs="Arial"/>
        </w:rPr>
        <w:fldChar w:fldCharType="separate"/>
      </w:r>
      <w:r>
        <w:fldChar w:fldCharType="begin"/>
      </w:r>
      <w:r>
        <w:instrText xml:space="preserve"> HYPERLINK \l "_Toc33820534" </w:instrText>
      </w:r>
      <w:r>
        <w:fldChar w:fldCharType="separate"/>
      </w:r>
      <w:r>
        <w:rPr>
          <w:rStyle w:val="29"/>
          <w:rFonts w:ascii="Arial" w:cs="Arial"/>
          <w:sz w:val="24"/>
        </w:rPr>
        <w:t>第一章</w:t>
      </w:r>
      <w:r>
        <w:rPr>
          <w:rStyle w:val="29"/>
          <w:rFonts w:hint="eastAsia" w:ascii="Arial" w:cs="Arial"/>
          <w:sz w:val="24"/>
        </w:rPr>
        <w:t xml:space="preserve">  招标</w:t>
      </w:r>
      <w:r>
        <w:rPr>
          <w:rStyle w:val="29"/>
          <w:rFonts w:ascii="Arial" w:cs="Arial"/>
          <w:sz w:val="24"/>
        </w:rPr>
        <w:t>公告</w:t>
      </w:r>
      <w:r>
        <w:rPr>
          <w:rFonts w:ascii="Arial" w:hAnsi="Arial" w:cs="Arial"/>
          <w:color w:val="0000FF"/>
          <w:sz w:val="24"/>
        </w:rPr>
        <w:tab/>
      </w:r>
      <w:r>
        <w:rPr>
          <w:rFonts w:hint="eastAsia" w:ascii="Arial" w:hAnsi="Arial" w:cs="Arial"/>
          <w:color w:val="0000FF"/>
          <w:sz w:val="24"/>
        </w:rPr>
        <w:t>3</w:t>
      </w:r>
      <w:r>
        <w:rPr>
          <w:rFonts w:hint="eastAsia" w:ascii="Arial" w:hAnsi="Arial" w:cs="Arial"/>
          <w:color w:val="0000FF"/>
          <w:sz w:val="24"/>
        </w:rPr>
        <w:fldChar w:fldCharType="end"/>
      </w:r>
    </w:p>
    <w:p w14:paraId="07864F97">
      <w:pPr>
        <w:pStyle w:val="15"/>
        <w:tabs>
          <w:tab w:val="right" w:leader="dot" w:pos="9628"/>
        </w:tabs>
        <w:spacing w:line="540" w:lineRule="exact"/>
        <w:ind w:left="0" w:leftChars="0"/>
        <w:rPr>
          <w:color w:val="0000FF"/>
        </w:rPr>
      </w:pPr>
      <w:r>
        <w:fldChar w:fldCharType="begin"/>
      </w:r>
      <w:r>
        <w:instrText xml:space="preserve"> HYPERLINK \l "_Toc33820536" </w:instrText>
      </w:r>
      <w:r>
        <w:fldChar w:fldCharType="separate"/>
      </w:r>
      <w:r>
        <w:rPr>
          <w:rStyle w:val="29"/>
          <w:rFonts w:ascii="Arial" w:cs="Arial"/>
          <w:sz w:val="24"/>
        </w:rPr>
        <w:t>第</w:t>
      </w:r>
      <w:r>
        <w:rPr>
          <w:rStyle w:val="29"/>
          <w:rFonts w:hint="eastAsia" w:ascii="Arial" w:cs="Arial"/>
          <w:sz w:val="24"/>
        </w:rPr>
        <w:t>二</w:t>
      </w:r>
      <w:r>
        <w:rPr>
          <w:rStyle w:val="29"/>
          <w:rFonts w:ascii="Arial" w:cs="Arial"/>
          <w:sz w:val="24"/>
        </w:rPr>
        <w:t>章</w:t>
      </w:r>
      <w:r>
        <w:rPr>
          <w:rStyle w:val="29"/>
          <w:rFonts w:hint="eastAsia" w:ascii="Arial" w:cs="Arial"/>
          <w:sz w:val="24"/>
        </w:rPr>
        <w:t xml:space="preserve">  </w:t>
      </w:r>
      <w:r>
        <w:rPr>
          <w:rStyle w:val="29"/>
          <w:rFonts w:ascii="Arial" w:cs="Arial"/>
          <w:sz w:val="24"/>
        </w:rPr>
        <w:t>项目需求和说明</w:t>
      </w:r>
      <w:r>
        <w:rPr>
          <w:rFonts w:ascii="Arial" w:hAnsi="Arial" w:cs="Arial"/>
          <w:color w:val="0000FF"/>
          <w:sz w:val="24"/>
        </w:rPr>
        <w:tab/>
      </w:r>
      <w:r>
        <w:rPr>
          <w:rFonts w:hint="eastAsia" w:ascii="Arial" w:hAnsi="Arial" w:cs="Arial"/>
          <w:color w:val="0000FF"/>
          <w:sz w:val="24"/>
        </w:rPr>
        <w:t>5</w:t>
      </w:r>
      <w:r>
        <w:rPr>
          <w:rFonts w:hint="eastAsia" w:ascii="Arial" w:hAnsi="Arial" w:cs="Arial"/>
          <w:color w:val="0000FF"/>
          <w:sz w:val="24"/>
        </w:rPr>
        <w:fldChar w:fldCharType="end"/>
      </w:r>
    </w:p>
    <w:p w14:paraId="46A80409">
      <w:pPr>
        <w:pStyle w:val="15"/>
        <w:tabs>
          <w:tab w:val="right" w:leader="dot" w:pos="9628"/>
        </w:tabs>
        <w:spacing w:line="540" w:lineRule="exact"/>
        <w:ind w:left="0" w:leftChars="0"/>
        <w:rPr>
          <w:rFonts w:ascii="Arial" w:hAnsi="Arial" w:cs="Arial"/>
          <w:color w:val="0000FF"/>
          <w:sz w:val="24"/>
        </w:rPr>
      </w:pPr>
      <w:r>
        <w:fldChar w:fldCharType="begin"/>
      </w:r>
      <w:r>
        <w:instrText xml:space="preserve"> HYPERLINK \l "_Toc33820536" </w:instrText>
      </w:r>
      <w:r>
        <w:fldChar w:fldCharType="separate"/>
      </w:r>
      <w:r>
        <w:rPr>
          <w:rStyle w:val="29"/>
          <w:rFonts w:ascii="Arial" w:cs="Arial"/>
          <w:sz w:val="24"/>
        </w:rPr>
        <w:t>第</w:t>
      </w:r>
      <w:r>
        <w:rPr>
          <w:rStyle w:val="29"/>
          <w:rFonts w:hint="eastAsia" w:ascii="Arial" w:cs="Arial"/>
          <w:sz w:val="24"/>
        </w:rPr>
        <w:t>三</w:t>
      </w:r>
      <w:r>
        <w:rPr>
          <w:rStyle w:val="29"/>
          <w:rFonts w:ascii="Arial" w:cs="Arial"/>
          <w:sz w:val="24"/>
        </w:rPr>
        <w:t>章</w:t>
      </w:r>
      <w:r>
        <w:rPr>
          <w:rStyle w:val="29"/>
          <w:rFonts w:hint="eastAsia" w:ascii="Arial" w:cs="Arial"/>
          <w:sz w:val="24"/>
        </w:rPr>
        <w:t xml:space="preserve">  </w:t>
      </w:r>
      <w:r>
        <w:rPr>
          <w:rFonts w:ascii="Arial" w:hAnsi="Arial" w:cs="Arial"/>
          <w:color w:val="0000FF"/>
          <w:sz w:val="24"/>
        </w:rPr>
        <w:t>评</w:t>
      </w:r>
      <w:r>
        <w:rPr>
          <w:rFonts w:hint="eastAsia" w:ascii="Arial" w:hAnsi="Arial" w:cs="Arial"/>
          <w:color w:val="0000FF"/>
          <w:sz w:val="24"/>
        </w:rPr>
        <w:t>分</w:t>
      </w:r>
      <w:r>
        <w:rPr>
          <w:rFonts w:ascii="Arial" w:hAnsi="Arial" w:cs="Arial"/>
          <w:color w:val="0000FF"/>
          <w:sz w:val="24"/>
        </w:rPr>
        <w:t>标准</w:t>
      </w:r>
      <w:r>
        <w:rPr>
          <w:rFonts w:ascii="Arial" w:hAnsi="Arial" w:cs="Arial"/>
          <w:color w:val="0000FF"/>
          <w:sz w:val="24"/>
        </w:rPr>
        <w:tab/>
      </w:r>
      <w:r>
        <w:rPr>
          <w:rFonts w:ascii="Arial" w:hAnsi="Arial" w:cs="Arial"/>
          <w:color w:val="0000FF"/>
          <w:sz w:val="24"/>
        </w:rPr>
        <w:fldChar w:fldCharType="end"/>
      </w:r>
      <w:r>
        <w:rPr>
          <w:rFonts w:hint="eastAsia" w:ascii="Arial" w:hAnsi="Arial" w:cs="Arial"/>
          <w:color w:val="0000FF"/>
          <w:sz w:val="24"/>
        </w:rPr>
        <w:t>9</w:t>
      </w:r>
    </w:p>
    <w:p w14:paraId="36AFB63C">
      <w:pPr>
        <w:pStyle w:val="15"/>
        <w:tabs>
          <w:tab w:val="right" w:leader="dot" w:pos="9628"/>
        </w:tabs>
        <w:spacing w:line="540" w:lineRule="exact"/>
        <w:ind w:left="0" w:leftChars="0"/>
        <w:rPr>
          <w:rFonts w:ascii="Arial" w:hAnsi="Arial" w:cs="Arial"/>
          <w:color w:val="0000FF"/>
          <w:sz w:val="24"/>
        </w:rPr>
      </w:pPr>
      <w:r>
        <w:rPr>
          <w:rFonts w:hint="eastAsia" w:ascii="Arial" w:hAnsi="Arial" w:cs="Arial"/>
          <w:color w:val="0000FF"/>
          <w:sz w:val="24"/>
        </w:rPr>
        <w:t>第四章  招标文件格式</w:t>
      </w:r>
      <w:r>
        <w:rPr>
          <w:rFonts w:ascii="Arial" w:hAnsi="Arial" w:cs="Arial"/>
          <w:color w:val="0000FF"/>
          <w:sz w:val="24"/>
        </w:rPr>
        <w:tab/>
      </w:r>
      <w:r>
        <w:rPr>
          <w:rFonts w:ascii="Arial" w:hAnsi="Arial" w:cs="Arial"/>
          <w:color w:val="0000FF"/>
          <w:sz w:val="24"/>
        </w:rPr>
        <w:t>……………………………………………………………………………</w:t>
      </w:r>
      <w:r>
        <w:rPr>
          <w:rFonts w:hint="eastAsia" w:ascii="Arial" w:hAnsi="Arial" w:cs="Arial"/>
          <w:color w:val="0000FF"/>
          <w:sz w:val="24"/>
        </w:rPr>
        <w:t>10</w:t>
      </w:r>
    </w:p>
    <w:p w14:paraId="0DEEF8B6"/>
    <w:p w14:paraId="23C81A96">
      <w:pPr>
        <w:spacing w:line="440" w:lineRule="exact"/>
        <w:jc w:val="center"/>
        <w:rPr>
          <w:rFonts w:ascii="Arial" w:hAnsi="Arial" w:cs="Arial"/>
          <w:b/>
          <w:bCs/>
          <w:lang w:val="zh-CN"/>
        </w:rPr>
      </w:pPr>
      <w:r>
        <w:rPr>
          <w:rFonts w:ascii="Arial" w:hAnsi="Arial" w:cs="Arial"/>
          <w:b/>
          <w:bCs/>
          <w:lang w:val="zh-CN"/>
        </w:rPr>
        <w:fldChar w:fldCharType="end"/>
      </w:r>
    </w:p>
    <w:p w14:paraId="4EB0B65F">
      <w:pPr>
        <w:spacing w:line="440" w:lineRule="exact"/>
        <w:jc w:val="center"/>
        <w:rPr>
          <w:rFonts w:ascii="宋体" w:hAnsi="宋体" w:cs="宋体"/>
          <w:b/>
          <w:bCs/>
          <w:color w:val="000000" w:themeColor="text1"/>
          <w:sz w:val="32"/>
          <w:szCs w:val="32"/>
          <w14:textFill>
            <w14:solidFill>
              <w14:schemeClr w14:val="tx1"/>
            </w14:solidFill>
          </w14:textFill>
        </w:rPr>
        <w:sectPr>
          <w:footerReference r:id="rId3" w:type="default"/>
          <w:pgSz w:w="11906" w:h="16838"/>
          <w:pgMar w:top="1440" w:right="1080" w:bottom="1440" w:left="1080" w:header="851" w:footer="992" w:gutter="0"/>
          <w:cols w:space="425" w:num="1"/>
          <w:docGrid w:type="lines" w:linePitch="312" w:charSpace="0"/>
        </w:sectPr>
      </w:pPr>
    </w:p>
    <w:p w14:paraId="6C513818">
      <w:pPr>
        <w:pStyle w:val="3"/>
        <w:jc w:val="center"/>
        <w:rPr>
          <w:rFonts w:ascii="宋体" w:hAnsi="宋体" w:cs="宋体"/>
          <w:sz w:val="24"/>
        </w:rPr>
      </w:pPr>
      <w:r>
        <w:rPr>
          <w:rFonts w:hint="eastAsia"/>
          <w:sz w:val="32"/>
          <w:szCs w:val="32"/>
        </w:rPr>
        <w:t>第一章  招标公告</w:t>
      </w:r>
    </w:p>
    <w:p w14:paraId="3023C813">
      <w:pPr>
        <w:spacing w:line="400" w:lineRule="exact"/>
        <w:ind w:firstLine="480" w:firstLineChars="200"/>
        <w:rPr>
          <w:rFonts w:ascii="宋体" w:hAnsi="宋体" w:cs="宋体"/>
          <w:sz w:val="24"/>
        </w:rPr>
      </w:pPr>
      <w:r>
        <w:rPr>
          <w:rFonts w:ascii="宋体" w:hAnsi="宋体" w:cs="宋体"/>
          <w:sz w:val="24"/>
        </w:rPr>
        <w:t>为保障</w:t>
      </w:r>
      <w:r>
        <w:rPr>
          <w:rFonts w:hint="eastAsia" w:ascii="宋体" w:hAnsi="宋体" w:cs="宋体"/>
          <w:sz w:val="24"/>
        </w:rPr>
        <w:t>我院</w:t>
      </w:r>
      <w:r>
        <w:rPr>
          <w:rFonts w:ascii="宋体" w:hAnsi="宋体" w:cs="宋体"/>
          <w:sz w:val="24"/>
        </w:rPr>
        <w:t>车辆加油服务质量</w:t>
      </w:r>
      <w:r>
        <w:rPr>
          <w:rFonts w:hint="eastAsia" w:ascii="宋体" w:hAnsi="宋体" w:cs="宋体"/>
          <w:sz w:val="24"/>
        </w:rPr>
        <w:t>，根据广西壮族自治区政府采购中心关于2025—2026年广西壮族自治区本级及部分地市预算单位车辆加油服务框架协议采购要求，决定通过院内公开的方式遴选供应商，现将有关内容公告如下：</w:t>
      </w:r>
    </w:p>
    <w:p w14:paraId="67BF3B7F">
      <w:pPr>
        <w:spacing w:line="400" w:lineRule="exact"/>
        <w:ind w:firstLine="482" w:firstLineChars="200"/>
        <w:rPr>
          <w:rFonts w:ascii="宋体" w:hAnsi="宋体" w:cs="宋体"/>
          <w:b/>
          <w:bCs/>
          <w:sz w:val="24"/>
        </w:rPr>
      </w:pPr>
      <w:r>
        <w:rPr>
          <w:rFonts w:hint="eastAsia" w:ascii="宋体" w:hAnsi="宋体" w:cs="宋体"/>
          <w:b/>
          <w:bCs/>
          <w:sz w:val="24"/>
        </w:rPr>
        <w:t>一、项目基本情况：</w:t>
      </w:r>
    </w:p>
    <w:p w14:paraId="2E5A69A1">
      <w:pPr>
        <w:spacing w:line="400" w:lineRule="exact"/>
        <w:ind w:firstLine="482" w:firstLineChars="200"/>
        <w:rPr>
          <w:rFonts w:ascii="宋体" w:hAnsi="宋体" w:cs="宋体"/>
          <w:b/>
          <w:bCs/>
          <w:sz w:val="24"/>
        </w:rPr>
      </w:pPr>
      <w:r>
        <w:rPr>
          <w:rFonts w:hint="eastAsia" w:ascii="宋体" w:hAnsi="宋体" w:cs="宋体"/>
          <w:b/>
          <w:bCs/>
          <w:sz w:val="24"/>
        </w:rPr>
        <w:t>（一）项目名称：</w:t>
      </w:r>
      <w:r>
        <w:rPr>
          <w:rFonts w:hint="eastAsia" w:ascii="宋体" w:hAnsi="宋体" w:cs="宋体"/>
          <w:sz w:val="24"/>
        </w:rPr>
        <w:t>桂林市人民医院加油服务采购项目</w:t>
      </w:r>
    </w:p>
    <w:p w14:paraId="5D930DF1">
      <w:pPr>
        <w:spacing w:line="400" w:lineRule="exact"/>
        <w:ind w:firstLine="482" w:firstLineChars="200"/>
        <w:rPr>
          <w:rFonts w:ascii="宋体" w:hAnsi="宋体" w:cs="宋体"/>
          <w:sz w:val="24"/>
        </w:rPr>
      </w:pPr>
      <w:r>
        <w:rPr>
          <w:rFonts w:hint="eastAsia" w:ascii="宋体" w:hAnsi="宋体" w:cs="宋体"/>
          <w:b/>
          <w:bCs/>
          <w:sz w:val="24"/>
        </w:rPr>
        <w:t>（二）项目编号：</w:t>
      </w:r>
      <w:r>
        <w:rPr>
          <w:rFonts w:hint="eastAsia" w:ascii="宋体" w:hAnsi="宋体" w:cs="宋体"/>
          <w:sz w:val="24"/>
        </w:rPr>
        <w:t>BZK-2025-007</w:t>
      </w:r>
    </w:p>
    <w:p w14:paraId="6D8AC930">
      <w:pPr>
        <w:spacing w:line="400" w:lineRule="exact"/>
        <w:ind w:left="480"/>
        <w:rPr>
          <w:rFonts w:ascii="宋体" w:hAnsi="宋体" w:cs="宋体"/>
          <w:sz w:val="24"/>
        </w:rPr>
      </w:pPr>
      <w:r>
        <w:rPr>
          <w:rFonts w:hint="eastAsia" w:ascii="宋体" w:hAnsi="宋体" w:cs="宋体"/>
          <w:b/>
          <w:bCs/>
          <w:sz w:val="24"/>
        </w:rPr>
        <w:t>（三）项目内容：</w:t>
      </w:r>
      <w:r>
        <w:rPr>
          <w:rFonts w:hint="eastAsia" w:ascii="宋体" w:hAnsi="宋体" w:cs="宋体"/>
          <w:sz w:val="24"/>
        </w:rPr>
        <w:t>桂林市人民医院加油服务</w:t>
      </w:r>
    </w:p>
    <w:p w14:paraId="00553333">
      <w:pPr>
        <w:spacing w:line="400" w:lineRule="exact"/>
        <w:ind w:firstLine="482" w:firstLineChars="200"/>
        <w:rPr>
          <w:rFonts w:ascii="宋体" w:hAnsi="宋体" w:cs="宋体"/>
          <w:b/>
          <w:bCs/>
          <w:sz w:val="24"/>
        </w:rPr>
      </w:pPr>
      <w:r>
        <w:rPr>
          <w:rFonts w:hint="eastAsia" w:ascii="宋体" w:hAnsi="宋体" w:cs="宋体"/>
          <w:b/>
          <w:bCs/>
          <w:sz w:val="24"/>
        </w:rPr>
        <w:t>（四）项目服务期：</w:t>
      </w:r>
      <w:r>
        <w:rPr>
          <w:rFonts w:hint="eastAsia" w:ascii="宋体" w:hAnsi="宋体" w:cs="宋体"/>
          <w:sz w:val="24"/>
        </w:rPr>
        <w:t>两年</w:t>
      </w:r>
    </w:p>
    <w:p w14:paraId="5F99C946">
      <w:pPr>
        <w:pStyle w:val="9"/>
        <w:spacing w:line="400" w:lineRule="exact"/>
        <w:ind w:firstLine="482" w:firstLineChars="200"/>
        <w:rPr>
          <w:rFonts w:ascii="宋体" w:hAnsi="宋体" w:cs="宋体"/>
          <w:sz w:val="24"/>
        </w:rPr>
      </w:pPr>
      <w:r>
        <w:rPr>
          <w:rFonts w:hint="eastAsia" w:ascii="宋体" w:hAnsi="宋体" w:cs="宋体"/>
          <w:b/>
          <w:bCs/>
          <w:sz w:val="24"/>
        </w:rPr>
        <w:t>（五）</w:t>
      </w:r>
      <w:r>
        <w:rPr>
          <w:rFonts w:hint="eastAsia"/>
          <w:b/>
          <w:bCs/>
          <w:sz w:val="24"/>
        </w:rPr>
        <w:t>项目预算控制价</w:t>
      </w:r>
      <w:r>
        <w:rPr>
          <w:rFonts w:hint="eastAsia" w:ascii="宋体" w:hAnsi="宋体" w:cs="宋体"/>
          <w:b/>
          <w:bCs/>
          <w:sz w:val="24"/>
        </w:rPr>
        <w:t>：</w:t>
      </w:r>
      <w:r>
        <w:rPr>
          <w:rFonts w:hint="eastAsia" w:ascii="宋体" w:hAnsi="宋体" w:cs="宋体"/>
          <w:sz w:val="24"/>
        </w:rPr>
        <w:t>本项目年预算约为</w:t>
      </w:r>
      <w:r>
        <w:rPr>
          <w:rFonts w:hint="eastAsia" w:ascii="宋体" w:hAnsi="宋体" w:cs="宋体"/>
          <w:sz w:val="24"/>
          <w:lang w:val="en-US" w:eastAsia="zh-CN"/>
        </w:rPr>
        <w:t>44.503</w:t>
      </w:r>
      <w:r>
        <w:rPr>
          <w:rFonts w:hint="eastAsia" w:ascii="宋体" w:hAnsi="宋体" w:cs="宋体"/>
          <w:sz w:val="24"/>
        </w:rPr>
        <w:t>万元，两年共计约</w:t>
      </w:r>
      <w:r>
        <w:rPr>
          <w:rFonts w:hint="eastAsia" w:ascii="宋体" w:hAnsi="宋体" w:cs="宋体"/>
          <w:sz w:val="24"/>
          <w:lang w:val="en-US" w:eastAsia="zh-CN"/>
        </w:rPr>
        <w:t>89.006</w:t>
      </w:r>
      <w:r>
        <w:rPr>
          <w:rFonts w:hint="eastAsia" w:ascii="宋体" w:hAnsi="宋体" w:cs="宋体"/>
          <w:sz w:val="24"/>
        </w:rPr>
        <w:t>万元。</w:t>
      </w:r>
      <w:r>
        <w:rPr>
          <w:rFonts w:hint="eastAsia" w:cs="宋体"/>
          <w:sz w:val="24"/>
          <w:shd w:val="clear" w:color="auto" w:fill="FFFFFF"/>
        </w:rPr>
        <w:t>本项目不接受</w:t>
      </w:r>
      <w:r>
        <w:rPr>
          <w:rFonts w:hint="eastAsia" w:ascii="宋体" w:hAnsi="宋体" w:cs="宋体"/>
          <w:sz w:val="24"/>
        </w:rPr>
        <w:t>二次报价。</w:t>
      </w:r>
    </w:p>
    <w:p w14:paraId="29CB608B">
      <w:pPr>
        <w:spacing w:line="400" w:lineRule="exact"/>
        <w:ind w:firstLine="482" w:firstLineChars="200"/>
        <w:rPr>
          <w:rFonts w:ascii="宋体" w:hAnsi="宋体" w:cs="宋体"/>
          <w:b/>
          <w:bCs/>
          <w:sz w:val="24"/>
        </w:rPr>
      </w:pPr>
      <w:r>
        <w:rPr>
          <w:rFonts w:hint="eastAsia" w:ascii="宋体" w:hAnsi="宋体" w:cs="宋体"/>
          <w:b/>
          <w:bCs/>
          <w:sz w:val="24"/>
        </w:rPr>
        <w:t>二、供应商资质条件要求</w:t>
      </w:r>
    </w:p>
    <w:p w14:paraId="7A437BC0">
      <w:pPr>
        <w:spacing w:line="400" w:lineRule="exact"/>
        <w:ind w:firstLine="480" w:firstLineChars="200"/>
        <w:jc w:val="left"/>
        <w:rPr>
          <w:rFonts w:ascii="宋体" w:hAnsi="宋体" w:cs="宋体"/>
          <w:sz w:val="24"/>
        </w:rPr>
      </w:pPr>
      <w:r>
        <w:rPr>
          <w:rFonts w:hint="eastAsia" w:ascii="宋体" w:hAnsi="宋体" w:cs="宋体"/>
          <w:sz w:val="24"/>
        </w:rPr>
        <w:t>1.国内注册【依法在市场监督管理部门（或行政审批部门）登记注册】的，具有有效的《成品油零售经营批准证书》或《成品油批发经营批准证书》，并同时具备《危险化学品经营许可证》的供应商。</w:t>
      </w:r>
    </w:p>
    <w:p w14:paraId="09EF6AFE">
      <w:pPr>
        <w:spacing w:line="400" w:lineRule="exact"/>
        <w:ind w:firstLine="480" w:firstLineChars="200"/>
        <w:jc w:val="left"/>
        <w:rPr>
          <w:rFonts w:ascii="宋体" w:hAnsi="宋体" w:cs="宋体"/>
          <w:sz w:val="24"/>
        </w:rPr>
      </w:pPr>
      <w:r>
        <w:rPr>
          <w:rFonts w:hint="eastAsia" w:ascii="宋体" w:hAnsi="宋体" w:cs="宋体"/>
          <w:sz w:val="24"/>
        </w:rPr>
        <w:t>2.参加本议价采购活动前三年内，在经营活动中没有重大违法记录。</w:t>
      </w:r>
    </w:p>
    <w:p w14:paraId="40E837AA">
      <w:pPr>
        <w:spacing w:line="400" w:lineRule="exact"/>
        <w:ind w:firstLine="480" w:firstLineChars="200"/>
        <w:jc w:val="left"/>
        <w:rPr>
          <w:rFonts w:ascii="宋体" w:hAnsi="宋体" w:cs="宋体"/>
          <w:sz w:val="24"/>
        </w:rPr>
      </w:pPr>
      <w:r>
        <w:rPr>
          <w:rFonts w:hint="eastAsia" w:ascii="宋体" w:hAnsi="宋体" w:cs="宋体"/>
          <w:sz w:val="24"/>
        </w:rPr>
        <w:t>3.本项目不接受在“信用中国”网站(www.creditchina.gov.cn)、中国政府采购网(www.ccgp.gov.cn)被列入失信被执行人、重大税收违法失信主体、采购严重违法失信行为记录名单的供应商参与报价。</w:t>
      </w:r>
    </w:p>
    <w:p w14:paraId="27AC40BD">
      <w:pPr>
        <w:spacing w:line="400" w:lineRule="exact"/>
        <w:ind w:firstLine="480" w:firstLineChars="200"/>
        <w:jc w:val="left"/>
        <w:rPr>
          <w:rFonts w:ascii="宋体" w:hAnsi="宋体" w:cs="宋体"/>
          <w:sz w:val="24"/>
        </w:rPr>
      </w:pPr>
      <w:r>
        <w:rPr>
          <w:rFonts w:hint="eastAsia" w:ascii="宋体" w:hAnsi="宋体" w:cs="宋体"/>
          <w:sz w:val="24"/>
        </w:rPr>
        <w:t xml:space="preserve">4.本项目属于石油石化特殊行业，允许总公司或分支机构（分公司、中心支公司、支公司）参加投标，但同一公司的不同分支机构（分公司、中心支公司、支公司），不得同时参加本项目。 </w:t>
      </w:r>
    </w:p>
    <w:p w14:paraId="163C4D2F">
      <w:pPr>
        <w:spacing w:line="400" w:lineRule="exact"/>
        <w:ind w:firstLine="480" w:firstLineChars="200"/>
        <w:jc w:val="left"/>
        <w:rPr>
          <w:rFonts w:ascii="宋体" w:hAnsi="宋体" w:cs="宋体"/>
          <w:sz w:val="24"/>
        </w:rPr>
      </w:pPr>
      <w:r>
        <w:rPr>
          <w:rFonts w:hint="eastAsia" w:ascii="宋体" w:hAnsi="宋体" w:cs="宋体"/>
          <w:sz w:val="24"/>
        </w:rPr>
        <w:t>5.本项目不接受联合体参与报价。</w:t>
      </w:r>
    </w:p>
    <w:p w14:paraId="2269B23B">
      <w:pPr>
        <w:spacing w:line="400" w:lineRule="exact"/>
        <w:ind w:firstLine="480" w:firstLineChars="200"/>
        <w:jc w:val="left"/>
        <w:rPr>
          <w:rFonts w:ascii="宋体" w:hAnsi="宋体" w:cs="宋体"/>
          <w:b/>
          <w:bCs/>
          <w:sz w:val="24"/>
        </w:rPr>
      </w:pPr>
      <w:r>
        <w:rPr>
          <w:rFonts w:hint="eastAsia" w:ascii="宋体" w:hAnsi="宋体" w:cs="宋体"/>
          <w:sz w:val="24"/>
        </w:rPr>
        <w:t>6.广西政府采购云平台“2025—2026年广西壮族自治区本级及部分地市预算单位车辆加油服务框架协议采购”项目入围供应商，或承诺中标后取得入围资格。</w:t>
      </w:r>
    </w:p>
    <w:p w14:paraId="4BE75714">
      <w:pPr>
        <w:spacing w:line="400" w:lineRule="exact"/>
        <w:ind w:left="420" w:leftChars="200"/>
        <w:jc w:val="left"/>
        <w:rPr>
          <w:rFonts w:ascii="宋体" w:hAnsi="宋体" w:cs="宋体"/>
          <w:sz w:val="24"/>
        </w:rPr>
      </w:pPr>
      <w:r>
        <w:rPr>
          <w:rFonts w:hint="eastAsia" w:ascii="宋体" w:hAnsi="宋体" w:cs="宋体"/>
          <w:b/>
          <w:bCs/>
          <w:sz w:val="24"/>
        </w:rPr>
        <w:t>三、报名时间、方式及获取招标文件方式</w:t>
      </w:r>
    </w:p>
    <w:p w14:paraId="05046559">
      <w:pPr>
        <w:pStyle w:val="9"/>
        <w:spacing w:line="400" w:lineRule="exact"/>
        <w:ind w:firstLine="480" w:firstLineChars="200"/>
        <w:rPr>
          <w:rFonts w:ascii="宋体" w:hAnsi="宋体" w:cs="宋体"/>
          <w:sz w:val="24"/>
        </w:rPr>
      </w:pPr>
      <w:r>
        <w:rPr>
          <w:rFonts w:hint="eastAsia" w:ascii="宋体" w:hAnsi="宋体" w:cs="宋体"/>
          <w:sz w:val="24"/>
        </w:rPr>
        <w:t>报名时间：2025年</w:t>
      </w:r>
      <w:r>
        <w:rPr>
          <w:rFonts w:hint="eastAsia" w:ascii="宋体" w:hAnsi="宋体" w:cs="宋体"/>
          <w:sz w:val="24"/>
          <w:lang w:val="en-US" w:eastAsia="zh-CN"/>
        </w:rPr>
        <w:t>5</w:t>
      </w:r>
      <w:r>
        <w:rPr>
          <w:rFonts w:hint="eastAsia" w:ascii="宋体" w:hAnsi="宋体" w:cs="宋体"/>
          <w:sz w:val="24"/>
        </w:rPr>
        <w:t>月</w:t>
      </w:r>
      <w:ins w:id="2" w:author="H.小薇" w:date="2025-05-19T09:39:47Z">
        <w:r>
          <w:rPr>
            <w:rFonts w:hint="eastAsia" w:ascii="宋体" w:hAnsi="宋体" w:cs="宋体"/>
            <w:sz w:val="24"/>
            <w:lang w:val="en-US" w:eastAsia="zh-CN"/>
          </w:rPr>
          <w:t>19</w:t>
        </w:r>
      </w:ins>
      <w:r>
        <w:rPr>
          <w:rFonts w:hint="eastAsia" w:ascii="宋体" w:hAnsi="宋体" w:cs="宋体"/>
          <w:sz w:val="24"/>
        </w:rPr>
        <w:t>日至</w:t>
      </w:r>
      <w:r>
        <w:rPr>
          <w:rFonts w:hint="eastAsia" w:ascii="宋体" w:hAnsi="宋体" w:cs="宋体"/>
          <w:sz w:val="24"/>
          <w:lang w:val="en-US" w:eastAsia="zh-CN"/>
        </w:rPr>
        <w:t>5</w:t>
      </w:r>
      <w:r>
        <w:rPr>
          <w:rFonts w:hint="eastAsia" w:ascii="宋体" w:hAnsi="宋体" w:cs="宋体"/>
          <w:sz w:val="24"/>
        </w:rPr>
        <w:t>月</w:t>
      </w:r>
      <w:ins w:id="3" w:author="H.小薇" w:date="2025-05-19T09:39:50Z">
        <w:r>
          <w:rPr>
            <w:rFonts w:hint="eastAsia" w:ascii="宋体" w:hAnsi="宋体" w:cs="宋体"/>
            <w:sz w:val="24"/>
            <w:lang w:val="en-US" w:eastAsia="zh-CN"/>
          </w:rPr>
          <w:t>2</w:t>
        </w:r>
      </w:ins>
      <w:ins w:id="4" w:author="H.小薇" w:date="2025-05-19T09:39:51Z">
        <w:r>
          <w:rPr>
            <w:rFonts w:hint="eastAsia" w:ascii="宋体" w:hAnsi="宋体" w:cs="宋体"/>
            <w:sz w:val="24"/>
            <w:lang w:val="en-US" w:eastAsia="zh-CN"/>
          </w:rPr>
          <w:t>6</w:t>
        </w:r>
      </w:ins>
      <w:r>
        <w:rPr>
          <w:rFonts w:hint="eastAsia" w:ascii="宋体" w:hAnsi="宋体" w:cs="宋体"/>
          <w:sz w:val="24"/>
        </w:rPr>
        <w:t>日17:00时止</w:t>
      </w:r>
      <w:r>
        <w:rPr>
          <w:rFonts w:hint="eastAsia"/>
          <w:sz w:val="24"/>
        </w:rPr>
        <w:t>（北京时间）</w:t>
      </w:r>
      <w:r>
        <w:rPr>
          <w:rFonts w:hint="eastAsia" w:ascii="宋体" w:hAnsi="宋体" w:cs="宋体"/>
          <w:sz w:val="24"/>
        </w:rPr>
        <w:t>，逾期报名无效。</w:t>
      </w:r>
    </w:p>
    <w:p w14:paraId="14B0BAF6">
      <w:pPr>
        <w:spacing w:line="400" w:lineRule="exact"/>
        <w:ind w:firstLine="480" w:firstLineChars="200"/>
        <w:rPr>
          <w:rFonts w:ascii="宋体" w:hAnsi="宋体" w:cs="宋体"/>
          <w:sz w:val="24"/>
        </w:rPr>
      </w:pPr>
      <w:r>
        <w:rPr>
          <w:rFonts w:hint="eastAsia" w:ascii="宋体" w:hAnsi="宋体" w:cs="宋体"/>
          <w:sz w:val="24"/>
        </w:rPr>
        <w:t>报名方式：网上报名。请潜在投标人自行下载附件《报名表》，并按《报名表》的格式内容填写相关信息，同时附上营业执照、“信用中国(www.creditchina.gov.cn)以及中国政府采购网(www.ccgp.gov.cn)”上打印的信用查询记录相关信息。</w:t>
      </w:r>
      <w:r>
        <w:rPr>
          <w:rFonts w:hint="eastAsia" w:ascii="宋体" w:hAnsi="宋体" w:cs="宋体"/>
          <w:sz w:val="24"/>
          <w:lang w:val="en-US" w:eastAsia="zh-CN"/>
        </w:rPr>
        <w:t>潜在投标人</w:t>
      </w:r>
      <w:r>
        <w:rPr>
          <w:rFonts w:hint="eastAsia" w:ascii="宋体" w:hAnsi="宋体" w:cs="宋体"/>
          <w:sz w:val="24"/>
        </w:rPr>
        <w:t>将上述材料填写准备好后发至邮箱（</w:t>
      </w:r>
      <w:r>
        <w:fldChar w:fldCharType="begin"/>
      </w:r>
      <w:r>
        <w:instrText xml:space="preserve"> HYPERLINK "mailto:glsrmyyzbb@163.com" </w:instrText>
      </w:r>
      <w:r>
        <w:fldChar w:fldCharType="separate"/>
      </w:r>
      <w:r>
        <w:rPr>
          <w:rFonts w:hint="eastAsia" w:ascii="宋体" w:hAnsi="宋体" w:cs="宋体"/>
          <w:sz w:val="24"/>
        </w:rPr>
        <w:t>glsrmyyzbb@163.com</w:t>
      </w:r>
      <w:r>
        <w:rPr>
          <w:rFonts w:hint="eastAsia" w:ascii="宋体" w:hAnsi="宋体" w:cs="宋体"/>
          <w:sz w:val="24"/>
        </w:rPr>
        <w:fldChar w:fldCharType="end"/>
      </w:r>
      <w:r>
        <w:rPr>
          <w:rFonts w:hint="eastAsia" w:ascii="宋体" w:hAnsi="宋体" w:cs="宋体"/>
          <w:sz w:val="24"/>
        </w:rPr>
        <w:t>）即完成报名，否则将视为报名不成功。《报名表》要求WORD版，其他材料加盖公章后上传扫描件。</w:t>
      </w:r>
    </w:p>
    <w:p w14:paraId="5B01289C">
      <w:pPr>
        <w:spacing w:line="400" w:lineRule="exact"/>
        <w:ind w:firstLine="480" w:firstLineChars="200"/>
        <w:rPr>
          <w:rFonts w:ascii="宋体" w:hAnsi="宋体" w:cs="宋体"/>
          <w:sz w:val="24"/>
        </w:rPr>
      </w:pPr>
      <w:r>
        <w:rPr>
          <w:rFonts w:hint="eastAsia" w:ascii="宋体" w:hAnsi="宋体" w:cs="宋体"/>
          <w:sz w:val="24"/>
        </w:rPr>
        <w:t>获取招标文件方式：桂林市人民医院官网（www.glrmyy.com）</w:t>
      </w:r>
    </w:p>
    <w:p w14:paraId="567FE02E">
      <w:pPr>
        <w:spacing w:line="400" w:lineRule="exact"/>
        <w:ind w:firstLine="482" w:firstLineChars="200"/>
        <w:rPr>
          <w:rFonts w:ascii="宋体" w:hAnsi="宋体" w:cs="宋体"/>
          <w:b/>
          <w:bCs/>
          <w:sz w:val="24"/>
        </w:rPr>
      </w:pPr>
      <w:r>
        <w:rPr>
          <w:rFonts w:hint="eastAsia" w:ascii="宋体" w:hAnsi="宋体" w:cs="宋体"/>
          <w:b/>
          <w:bCs/>
          <w:sz w:val="24"/>
        </w:rPr>
        <w:t>四、采购活动要求</w:t>
      </w:r>
    </w:p>
    <w:p w14:paraId="02C83A0D">
      <w:pPr>
        <w:spacing w:line="400" w:lineRule="exact"/>
        <w:ind w:firstLine="480" w:firstLineChars="200"/>
        <w:rPr>
          <w:rFonts w:ascii="宋体" w:hAnsi="宋体" w:cs="宋体"/>
          <w:sz w:val="24"/>
        </w:rPr>
      </w:pPr>
      <w:r>
        <w:rPr>
          <w:rFonts w:hint="eastAsia" w:ascii="宋体" w:hAnsi="宋体" w:cs="宋体"/>
          <w:sz w:val="24"/>
        </w:rPr>
        <w:t>1.开标时间：具体时间另行通知（开标通告将会通过（</w:t>
      </w:r>
      <w:r>
        <w:fldChar w:fldCharType="begin"/>
      </w:r>
      <w:r>
        <w:instrText xml:space="preserve"> HYPERLINK "mailto:glsrmyyzbb@163.com" </w:instrText>
      </w:r>
      <w:r>
        <w:fldChar w:fldCharType="separate"/>
      </w:r>
      <w:r>
        <w:rPr>
          <w:rStyle w:val="29"/>
          <w:rFonts w:hint="eastAsia" w:ascii="宋体" w:hAnsi="宋体" w:cs="宋体"/>
          <w:color w:val="auto"/>
          <w:sz w:val="24"/>
        </w:rPr>
        <w:t>glsrmyyzbb@163.com</w:t>
      </w:r>
      <w:r>
        <w:rPr>
          <w:rStyle w:val="29"/>
          <w:rFonts w:hint="eastAsia" w:ascii="宋体" w:hAnsi="宋体" w:cs="宋体"/>
          <w:color w:val="auto"/>
          <w:sz w:val="24"/>
        </w:rPr>
        <w:fldChar w:fldCharType="end"/>
      </w:r>
      <w:r>
        <w:rPr>
          <w:rFonts w:hint="eastAsia" w:ascii="宋体" w:hAnsi="宋体" w:cs="宋体"/>
          <w:sz w:val="24"/>
        </w:rPr>
        <w:t>）发至报名邮箱，报名后请及时关注查收），请报名后根据所获取的招标文件要求及时准备正式的投标文件。</w:t>
      </w:r>
    </w:p>
    <w:p w14:paraId="5667C96E">
      <w:pPr>
        <w:spacing w:line="400" w:lineRule="exact"/>
        <w:ind w:firstLine="480" w:firstLineChars="200"/>
        <w:rPr>
          <w:rFonts w:ascii="宋体" w:hAnsi="宋体" w:cs="宋体"/>
          <w:sz w:val="24"/>
        </w:rPr>
      </w:pPr>
      <w:r>
        <w:rPr>
          <w:rFonts w:hint="eastAsia" w:ascii="宋体" w:hAnsi="宋体" w:cs="宋体"/>
          <w:sz w:val="24"/>
        </w:rPr>
        <w:t>2.开标地点：桂林市人民医院招标办公室（广西桂林市象山区文明路29号）</w:t>
      </w:r>
    </w:p>
    <w:p w14:paraId="66A77074">
      <w:pPr>
        <w:spacing w:line="400" w:lineRule="exact"/>
        <w:ind w:firstLine="480" w:firstLineChars="200"/>
        <w:rPr>
          <w:rFonts w:ascii="宋体" w:hAnsi="宋体" w:cs="宋体"/>
          <w:sz w:val="24"/>
        </w:rPr>
      </w:pPr>
      <w:r>
        <w:rPr>
          <w:rFonts w:hint="eastAsia" w:ascii="宋体" w:hAnsi="宋体" w:cs="宋体"/>
          <w:sz w:val="24"/>
        </w:rPr>
        <w:t>3.投标文件：</w:t>
      </w:r>
    </w:p>
    <w:p w14:paraId="40920DC6">
      <w:pPr>
        <w:spacing w:line="400" w:lineRule="exact"/>
        <w:ind w:firstLine="480" w:firstLineChars="200"/>
        <w:jc w:val="left"/>
        <w:rPr>
          <w:rFonts w:ascii="宋体" w:hAnsi="宋体" w:cs="宋体"/>
          <w:sz w:val="24"/>
        </w:rPr>
      </w:pPr>
      <w:r>
        <w:rPr>
          <w:rFonts w:hint="eastAsia" w:ascii="宋体" w:hAnsi="宋体" w:cs="宋体"/>
          <w:sz w:val="24"/>
        </w:rPr>
        <w:t>(1)投标文件组成：必须含有但不限于响应函、营业执照复印件、法定代表人（负责人）身份证复印件、法定代表人授权书原件（委托代理时必须提供）、授权委托代理人身份证复印件</w:t>
      </w:r>
      <w:r>
        <w:rPr>
          <w:rFonts w:hint="eastAsia" w:ascii="宋体" w:hAnsi="宋体" w:cs="宋体"/>
          <w:kern w:val="0"/>
          <w:sz w:val="24"/>
        </w:rPr>
        <w:t>、</w:t>
      </w:r>
      <w:r>
        <w:rPr>
          <w:rFonts w:hint="eastAsia" w:ascii="宋体" w:hAnsi="宋体" w:cs="宋体"/>
          <w:sz w:val="24"/>
        </w:rPr>
        <w:t>投标人参加政府采购活动前</w:t>
      </w:r>
      <w:r>
        <w:rPr>
          <w:rFonts w:ascii="宋体" w:hAnsi="宋体" w:cs="宋体"/>
          <w:sz w:val="24"/>
        </w:rPr>
        <w:t>3年内在经营活动中没有重大违法记录的书面声明、</w:t>
      </w:r>
      <w:r>
        <w:rPr>
          <w:rFonts w:hint="eastAsia" w:ascii="宋体" w:hAnsi="宋体" w:cs="宋体"/>
          <w:sz w:val="24"/>
        </w:rPr>
        <w:t>投标人关于政府采购活动中信用信息记录的书面声明、“信用中国(www.creditchina.gov.cn)以及中国政府采购网(www.ccgp.gov.cn)”上打印的信用查询记录相关信息、有效的《成品油零售经营批准证书》或《成品油批发经营批准证书》、有效的《危险化学品经营许可证》、报价表、采购需求响应表、商务需求响应表服务方案、经营场所、企业设备、信誉业绩（如有）、联系人及电话等资料。投标人应完整准备上述投标文件的材料，否则由此引起的不利后果由投标人承担。</w:t>
      </w:r>
    </w:p>
    <w:p w14:paraId="3E273388">
      <w:pPr>
        <w:spacing w:line="400" w:lineRule="exact"/>
        <w:ind w:firstLine="482" w:firstLineChars="200"/>
        <w:rPr>
          <w:rFonts w:ascii="宋体" w:hAnsi="宋体" w:cs="宋体"/>
          <w:sz w:val="24"/>
        </w:rPr>
      </w:pPr>
      <w:r>
        <w:rPr>
          <w:rFonts w:hint="eastAsia" w:ascii="宋体" w:hAnsi="宋体" w:cs="宋体"/>
          <w:b/>
          <w:bCs/>
          <w:sz w:val="24"/>
        </w:rPr>
        <w:t>投标文件所提供的证照及相关证明材料必须真实有效，一经发现造假，将取消本次投标资格并追究相关法律责任！</w:t>
      </w:r>
    </w:p>
    <w:p w14:paraId="00F0B0A4">
      <w:pPr>
        <w:numPr>
          <w:ilvl w:val="255"/>
          <w:numId w:val="0"/>
        </w:numPr>
        <w:spacing w:line="400" w:lineRule="exact"/>
        <w:ind w:firstLine="480" w:firstLineChars="200"/>
        <w:rPr>
          <w:rFonts w:ascii="宋体" w:hAnsi="宋体" w:cs="宋体"/>
          <w:sz w:val="24"/>
        </w:rPr>
      </w:pPr>
      <w:r>
        <w:rPr>
          <w:rFonts w:hint="eastAsia" w:ascii="宋体" w:hAnsi="宋体" w:cs="宋体"/>
          <w:sz w:val="24"/>
        </w:rPr>
        <w:t>(2)投标文件份数：正本一份，副本六份。</w:t>
      </w:r>
    </w:p>
    <w:p w14:paraId="2CB53AF4">
      <w:pPr>
        <w:spacing w:line="400" w:lineRule="exact"/>
        <w:ind w:firstLine="480" w:firstLineChars="200"/>
        <w:rPr>
          <w:rFonts w:ascii="宋体" w:hAnsi="宋体" w:cs="宋体"/>
          <w:sz w:val="24"/>
        </w:rPr>
      </w:pPr>
      <w:r>
        <w:rPr>
          <w:rFonts w:hint="eastAsia" w:ascii="宋体" w:hAnsi="宋体" w:cs="宋体"/>
          <w:sz w:val="24"/>
        </w:rPr>
        <w:t>4.投标人应按规定的时间递交投标文件（投标文件应密封并加盖单位公章），逾期不予受理，投标文件一旦提交恕不退回。同时投标人委派参加本次投标活动的代表应当熟悉相关业务，否则由此引起的不利后果由投标人承担。</w:t>
      </w:r>
    </w:p>
    <w:p w14:paraId="3FA35F09">
      <w:pPr>
        <w:spacing w:line="400" w:lineRule="exact"/>
        <w:ind w:firstLine="480" w:firstLineChars="200"/>
        <w:rPr>
          <w:rFonts w:ascii="宋体" w:hAnsi="宋体" w:cs="宋体"/>
          <w:sz w:val="24"/>
        </w:rPr>
      </w:pPr>
      <w:r>
        <w:rPr>
          <w:rFonts w:hint="eastAsia" w:ascii="宋体" w:hAnsi="宋体" w:cs="宋体"/>
          <w:sz w:val="24"/>
        </w:rPr>
        <w:t>5.凡报名合格并获取了招标文件的投标人，视同响应承诺参与本次投标活动。若因故不能按期参加的，请至少于开标截止时间前两天以书面邮件形式（发送邮箱地址：</w:t>
      </w:r>
      <w:r>
        <w:fldChar w:fldCharType="begin"/>
      </w:r>
      <w:r>
        <w:instrText xml:space="preserve"> HYPERLINK "mailto:glsrmyyzbb@163.com" </w:instrText>
      </w:r>
      <w:r>
        <w:fldChar w:fldCharType="separate"/>
      </w:r>
      <w:r>
        <w:rPr>
          <w:rFonts w:hint="eastAsia" w:ascii="宋体" w:hAnsi="宋体" w:cs="宋体"/>
          <w:sz w:val="24"/>
        </w:rPr>
        <w:t>glsrmyyzbb@163.com</w:t>
      </w:r>
      <w:r>
        <w:rPr>
          <w:rFonts w:hint="eastAsia" w:ascii="宋体" w:hAnsi="宋体" w:cs="宋体"/>
          <w:sz w:val="24"/>
        </w:rPr>
        <w:fldChar w:fldCharType="end"/>
      </w:r>
      <w:r>
        <w:rPr>
          <w:rFonts w:hint="eastAsia" w:ascii="宋体" w:hAnsi="宋体" w:cs="宋体"/>
          <w:sz w:val="24"/>
        </w:rPr>
        <w:t>）告知我院招标办公室，否则，将被视为不诚信供应商，列入我院供应商黑名单，至少一年内不接受其参与我院院内的任何招标活动。</w:t>
      </w:r>
    </w:p>
    <w:p w14:paraId="7981AAAE">
      <w:pPr>
        <w:spacing w:line="400" w:lineRule="exact"/>
        <w:ind w:firstLine="482" w:firstLineChars="200"/>
        <w:rPr>
          <w:rFonts w:ascii="宋体" w:hAnsi="宋体" w:cs="宋体"/>
          <w:b/>
          <w:bCs/>
          <w:sz w:val="24"/>
        </w:rPr>
      </w:pPr>
      <w:r>
        <w:rPr>
          <w:rFonts w:hint="eastAsia" w:ascii="宋体" w:hAnsi="宋体" w:cs="宋体"/>
          <w:b/>
          <w:bCs/>
          <w:sz w:val="24"/>
        </w:rPr>
        <w:t>五、信息公告发布媒体</w:t>
      </w:r>
    </w:p>
    <w:p w14:paraId="7E7DC59A">
      <w:pPr>
        <w:spacing w:line="400" w:lineRule="exact"/>
        <w:ind w:firstLine="480" w:firstLineChars="200"/>
        <w:rPr>
          <w:rFonts w:ascii="宋体" w:hAnsi="宋体" w:cs="宋体"/>
          <w:sz w:val="24"/>
        </w:rPr>
      </w:pPr>
      <w:r>
        <w:rPr>
          <w:rFonts w:hint="eastAsia" w:ascii="宋体" w:hAnsi="宋体" w:cs="宋体"/>
          <w:sz w:val="24"/>
        </w:rPr>
        <w:t>本次招标公告在桂林市人民医院官网（www.glrmyy.com）发布，对其他网站转发本公告可能引起的信息误导、造成投标人的经济或其他损失的，招标人不负任何责任。</w:t>
      </w:r>
    </w:p>
    <w:p w14:paraId="3A129078">
      <w:pPr>
        <w:spacing w:line="400" w:lineRule="exact"/>
        <w:ind w:firstLine="482" w:firstLineChars="200"/>
        <w:rPr>
          <w:rFonts w:ascii="宋体" w:hAnsi="宋体" w:cs="宋体"/>
          <w:sz w:val="24"/>
        </w:rPr>
      </w:pPr>
      <w:r>
        <w:rPr>
          <w:rFonts w:hint="eastAsia" w:ascii="宋体" w:hAnsi="宋体" w:cs="宋体"/>
          <w:b/>
          <w:bCs/>
          <w:sz w:val="24"/>
        </w:rPr>
        <w:t>六、联系方式</w:t>
      </w:r>
    </w:p>
    <w:p w14:paraId="753D183E">
      <w:pPr>
        <w:spacing w:line="400" w:lineRule="exact"/>
        <w:ind w:firstLine="480" w:firstLineChars="200"/>
        <w:rPr>
          <w:rFonts w:ascii="宋体" w:hAnsi="宋体" w:cs="宋体"/>
          <w:sz w:val="24"/>
        </w:rPr>
      </w:pPr>
      <w:r>
        <w:rPr>
          <w:rFonts w:hint="eastAsia" w:ascii="宋体" w:hAnsi="宋体" w:cs="宋体"/>
          <w:sz w:val="24"/>
        </w:rPr>
        <w:t>1.联系人：罗老师、戴老师</w:t>
      </w:r>
    </w:p>
    <w:p w14:paraId="43D7FBC2">
      <w:pPr>
        <w:spacing w:line="400" w:lineRule="exact"/>
        <w:ind w:firstLine="480" w:firstLineChars="200"/>
        <w:rPr>
          <w:rFonts w:ascii="宋体" w:hAnsi="宋体" w:cs="宋体"/>
          <w:sz w:val="24"/>
        </w:rPr>
      </w:pPr>
      <w:r>
        <w:rPr>
          <w:rFonts w:hint="eastAsia" w:ascii="宋体" w:hAnsi="宋体" w:cs="宋体"/>
          <w:sz w:val="24"/>
        </w:rPr>
        <w:t>2.联系电话：0773-2803316</w:t>
      </w:r>
      <w:bookmarkStart w:id="0" w:name="_GoBack"/>
      <w:bookmarkEnd w:id="0"/>
    </w:p>
    <w:p w14:paraId="4FE2176B">
      <w:pPr>
        <w:tabs>
          <w:tab w:val="left" w:pos="6583"/>
        </w:tabs>
        <w:spacing w:line="400" w:lineRule="exact"/>
        <w:ind w:firstLine="5760" w:firstLineChars="2400"/>
        <w:jc w:val="center"/>
        <w:rPr>
          <w:rFonts w:ascii="宋体" w:hAnsi="宋体" w:cs="宋体"/>
          <w:sz w:val="24"/>
        </w:rPr>
      </w:pPr>
      <w:r>
        <w:rPr>
          <w:rFonts w:hint="eastAsia" w:ascii="宋体" w:hAnsi="宋体" w:cs="宋体"/>
          <w:sz w:val="24"/>
        </w:rPr>
        <w:t xml:space="preserve">         桂林市人民医院</w:t>
      </w:r>
    </w:p>
    <w:p w14:paraId="2FA94AD3">
      <w:pPr>
        <w:tabs>
          <w:tab w:val="left" w:pos="5623"/>
        </w:tabs>
        <w:spacing w:line="400" w:lineRule="exact"/>
        <w:jc w:val="center"/>
        <w:rPr>
          <w:rFonts w:ascii="宋体" w:hAnsi="宋体" w:cs="宋体"/>
          <w:b/>
          <w:bCs/>
          <w:w w:val="95"/>
          <w:sz w:val="24"/>
        </w:rPr>
      </w:pPr>
      <w:r>
        <w:rPr>
          <w:rFonts w:hint="eastAsia" w:ascii="宋体" w:hAnsi="宋体" w:cs="宋体"/>
          <w:sz w:val="24"/>
        </w:rPr>
        <w:t xml:space="preserve">                                                        2025年</w:t>
      </w:r>
      <w:r>
        <w:rPr>
          <w:rFonts w:hint="eastAsia" w:ascii="宋体" w:hAnsi="宋体" w:cs="宋体"/>
          <w:sz w:val="24"/>
          <w:lang w:val="en-US" w:eastAsia="zh-CN"/>
        </w:rPr>
        <w:t>5</w:t>
      </w:r>
      <w:r>
        <w:rPr>
          <w:rFonts w:hint="eastAsia" w:ascii="宋体" w:hAnsi="宋体" w:cs="宋体"/>
          <w:sz w:val="24"/>
        </w:rPr>
        <w:t>月</w:t>
      </w:r>
      <w:ins w:id="5" w:author="H.小薇" w:date="2025-05-19T09:40:00Z">
        <w:r>
          <w:rPr>
            <w:rFonts w:hint="eastAsia" w:ascii="宋体" w:hAnsi="宋体" w:cs="宋体"/>
            <w:sz w:val="24"/>
            <w:lang w:val="en-US" w:eastAsia="zh-CN"/>
          </w:rPr>
          <w:t>1</w:t>
        </w:r>
      </w:ins>
      <w:ins w:id="6" w:author="H.小薇" w:date="2025-05-19T09:40:01Z">
        <w:r>
          <w:rPr>
            <w:rFonts w:hint="eastAsia" w:ascii="宋体" w:hAnsi="宋体" w:cs="宋体"/>
            <w:sz w:val="24"/>
            <w:lang w:val="en-US" w:eastAsia="zh-CN"/>
          </w:rPr>
          <w:t>9</w:t>
        </w:r>
      </w:ins>
      <w:r>
        <w:rPr>
          <w:rFonts w:hint="eastAsia" w:ascii="宋体" w:hAnsi="宋体" w:cs="宋体"/>
          <w:sz w:val="24"/>
        </w:rPr>
        <w:t>日</w:t>
      </w:r>
    </w:p>
    <w:p w14:paraId="0CA84A29">
      <w:pPr>
        <w:spacing w:line="400" w:lineRule="exact"/>
        <w:rPr>
          <w:rFonts w:ascii="宋体" w:hAnsi="宋体" w:cs="宋体"/>
          <w:sz w:val="24"/>
        </w:rPr>
      </w:pPr>
      <w:r>
        <w:rPr>
          <w:rFonts w:hint="eastAsia" w:ascii="宋体" w:hAnsi="宋体" w:cs="宋体"/>
          <w:b/>
          <w:bCs/>
          <w:w w:val="95"/>
          <w:sz w:val="24"/>
        </w:rPr>
        <w:br w:type="page"/>
      </w:r>
    </w:p>
    <w:p w14:paraId="2F31C1A4">
      <w:pPr>
        <w:pStyle w:val="3"/>
        <w:jc w:val="center"/>
        <w:rPr>
          <w:sz w:val="30"/>
          <w:szCs w:val="30"/>
        </w:rPr>
      </w:pPr>
      <w:r>
        <w:rPr>
          <w:rFonts w:hint="eastAsia"/>
          <w:w w:val="95"/>
          <w:sz w:val="30"/>
          <w:szCs w:val="30"/>
        </w:rPr>
        <w:t xml:space="preserve">第二章  项目需求和说明 </w:t>
      </w:r>
    </w:p>
    <w:p w14:paraId="22DE73A4">
      <w:pPr>
        <w:spacing w:line="480" w:lineRule="exact"/>
        <w:ind w:firstLine="482" w:firstLineChars="200"/>
        <w:rPr>
          <w:rFonts w:ascii="宋体" w:hAnsi="宋体" w:cs="宋体"/>
          <w:b/>
          <w:bCs/>
          <w:sz w:val="24"/>
        </w:rPr>
      </w:pPr>
      <w:r>
        <w:rPr>
          <w:rFonts w:hint="eastAsia" w:ascii="宋体" w:hAnsi="宋体" w:cs="宋体"/>
          <w:b/>
          <w:bCs/>
          <w:sz w:val="24"/>
        </w:rPr>
        <w:t>一、项目名称：</w:t>
      </w:r>
      <w:r>
        <w:rPr>
          <w:rFonts w:hint="eastAsia" w:ascii="宋体" w:hAnsi="宋体" w:cs="宋体"/>
          <w:sz w:val="24"/>
        </w:rPr>
        <w:t>桂林市人民医院加油服务采购项目</w:t>
      </w:r>
    </w:p>
    <w:p w14:paraId="4B0723DC">
      <w:pPr>
        <w:spacing w:line="480" w:lineRule="exact"/>
        <w:ind w:firstLine="482" w:firstLineChars="200"/>
        <w:rPr>
          <w:rFonts w:ascii="宋体" w:hAnsi="宋体" w:cs="宋体"/>
          <w:sz w:val="24"/>
        </w:rPr>
      </w:pPr>
      <w:r>
        <w:rPr>
          <w:rFonts w:hint="eastAsia" w:ascii="宋体" w:hAnsi="宋体" w:cs="宋体"/>
          <w:b/>
          <w:bCs/>
          <w:sz w:val="24"/>
        </w:rPr>
        <w:t>二、项目编号：</w:t>
      </w:r>
      <w:r>
        <w:rPr>
          <w:rFonts w:hint="eastAsia" w:ascii="宋体" w:hAnsi="宋体" w:cs="宋体"/>
          <w:sz w:val="24"/>
        </w:rPr>
        <w:t>BZK-2025-007</w:t>
      </w:r>
    </w:p>
    <w:p w14:paraId="6BF77B1F">
      <w:pPr>
        <w:spacing w:line="480" w:lineRule="exact"/>
        <w:ind w:firstLine="482" w:firstLineChars="200"/>
        <w:rPr>
          <w:rFonts w:ascii="宋体" w:hAnsi="宋体" w:cs="宋体"/>
          <w:b/>
          <w:bCs/>
          <w:sz w:val="24"/>
        </w:rPr>
      </w:pPr>
      <w:r>
        <w:rPr>
          <w:rFonts w:hint="eastAsia" w:ascii="宋体" w:hAnsi="宋体" w:cs="宋体"/>
          <w:b/>
          <w:bCs/>
          <w:sz w:val="24"/>
        </w:rPr>
        <w:t>三、采购需求</w:t>
      </w:r>
    </w:p>
    <w:p w14:paraId="103B4A0D">
      <w:pPr>
        <w:pStyle w:val="9"/>
        <w:spacing w:line="480" w:lineRule="exact"/>
        <w:ind w:firstLine="480" w:firstLineChars="200"/>
        <w:rPr>
          <w:rFonts w:ascii="宋体" w:hAnsi="宋体" w:cs="宋体"/>
          <w:sz w:val="24"/>
        </w:rPr>
      </w:pPr>
      <w:r>
        <w:rPr>
          <w:rFonts w:hint="eastAsia" w:ascii="宋体" w:hAnsi="宋体" w:cs="宋体"/>
          <w:sz w:val="24"/>
        </w:rPr>
        <w:t>⑴采购标准：汽油国(VIB)，柴油国(VI)</w:t>
      </w:r>
    </w:p>
    <w:p w14:paraId="4D949CE1">
      <w:pPr>
        <w:pStyle w:val="9"/>
        <w:spacing w:line="480" w:lineRule="exact"/>
        <w:ind w:firstLine="480" w:firstLineChars="200"/>
        <w:rPr>
          <w:rFonts w:ascii="宋体" w:hAnsi="宋体" w:cs="宋体"/>
          <w:sz w:val="24"/>
        </w:rPr>
      </w:pPr>
      <w:r>
        <w:rPr>
          <w:rFonts w:hint="eastAsia" w:ascii="宋体" w:hAnsi="宋体" w:cs="宋体"/>
          <w:sz w:val="24"/>
        </w:rPr>
        <w:t>★⑵燃油质量：投标人提供的燃油必须符合国家质量认证标准和安全环保标准，所经销油品全部从国家正规炼油厂国有石油公司采购，所有油品均有有效的油品来源证明文件，所提供的油品必须符合国家标准化管理委员会公布的GB19147-2016《车用柴油》、GB17930-2016《车用汽油》的要求，必须符合国家行业生产及经营标准，各项技术指标必须完全符合国家有关质量检测、环保标准及产品出厂标准。如双方对燃油质量发生争议，可将货物送至具有资质的质量检测机构检测，检测费由投标人支付。</w:t>
      </w:r>
    </w:p>
    <w:p w14:paraId="59533A81">
      <w:pPr>
        <w:pStyle w:val="9"/>
        <w:spacing w:line="480" w:lineRule="exact"/>
        <w:ind w:firstLine="480" w:firstLineChars="200"/>
        <w:rPr>
          <w:rFonts w:ascii="宋体" w:hAnsi="宋体" w:cs="宋体"/>
          <w:sz w:val="24"/>
        </w:rPr>
      </w:pPr>
      <w:r>
        <w:rPr>
          <w:rFonts w:hint="eastAsia" w:ascii="宋体" w:hAnsi="宋体" w:cs="宋体"/>
          <w:sz w:val="24"/>
        </w:rPr>
        <w:t>⑶加油记录：投标人在后续服务过程中可实现一车一卡绑定车牌号、限制购买商品（油品品号或非油品）、限制每日加油数量、限制每日加油次数、限制每日消费金额、限制加油频率（多少天加一次油）、限制指定油站加油等风险管控功能，并提供详细的加油记录，包括加油时间、地点、车辆信息、加油量、单价、总金额等，提供相应软件截图。</w:t>
      </w:r>
    </w:p>
    <w:p w14:paraId="68F84DBD">
      <w:pPr>
        <w:pStyle w:val="9"/>
        <w:spacing w:line="480" w:lineRule="exact"/>
        <w:ind w:firstLine="480" w:firstLineChars="200"/>
        <w:rPr>
          <w:rFonts w:ascii="宋体" w:hAnsi="宋体" w:cs="宋体"/>
          <w:sz w:val="24"/>
        </w:rPr>
      </w:pPr>
      <w:r>
        <w:rPr>
          <w:rFonts w:hint="eastAsia" w:ascii="宋体" w:hAnsi="宋体" w:cs="宋体"/>
          <w:sz w:val="24"/>
        </w:rPr>
        <w:t>★⑷投标人加油设备必须通过质量技术监督局计量部门监测，保证加油机油量符合国家计量标准。若出现短斤少两或数据造假的，投标人应支付当月所供应油量总价款的20%作为违约金赔偿，同时采购人有权单方终止采购合同。</w:t>
      </w:r>
    </w:p>
    <w:p w14:paraId="18CB3490">
      <w:pPr>
        <w:pStyle w:val="9"/>
        <w:spacing w:line="480" w:lineRule="exact"/>
        <w:ind w:firstLine="480" w:firstLineChars="200"/>
        <w:rPr>
          <w:rFonts w:ascii="宋体" w:hAnsi="宋体" w:cs="宋体"/>
          <w:sz w:val="24"/>
        </w:rPr>
      </w:pPr>
      <w:r>
        <w:rPr>
          <w:rFonts w:hint="eastAsia" w:ascii="宋体" w:hAnsi="宋体" w:cs="宋体"/>
          <w:sz w:val="24"/>
        </w:rPr>
        <w:t>⑸投标人在全市各县(区)均有加油站点，所属的经营场所设施条件及防火安全符合国家加油站管理标准，具备全年7×24小时为机动车加油服务的能力。</w:t>
      </w:r>
    </w:p>
    <w:p w14:paraId="46AC372D">
      <w:pPr>
        <w:pStyle w:val="9"/>
        <w:spacing w:line="480" w:lineRule="exact"/>
        <w:ind w:firstLine="480" w:firstLineChars="200"/>
        <w:rPr>
          <w:rFonts w:ascii="宋体" w:hAnsi="宋体" w:cs="宋体"/>
          <w:sz w:val="24"/>
        </w:rPr>
      </w:pPr>
      <w:r>
        <w:rPr>
          <w:rFonts w:hint="eastAsia" w:ascii="宋体" w:hAnsi="宋体" w:cs="宋体"/>
          <w:sz w:val="24"/>
        </w:rPr>
        <w:t>⑹定点加油站必须严格执行采购优惠条件，保证供油质量，准确计量，提供优质、方便快捷的服务。当油品供应紧张时，也能高效满足采购人加油需求。</w:t>
      </w:r>
    </w:p>
    <w:p w14:paraId="57CDA265">
      <w:pPr>
        <w:pStyle w:val="9"/>
        <w:spacing w:line="480" w:lineRule="exact"/>
        <w:ind w:firstLine="480" w:firstLineChars="200"/>
        <w:rPr>
          <w:rFonts w:ascii="宋体" w:hAnsi="宋体" w:cs="宋体"/>
          <w:sz w:val="24"/>
        </w:rPr>
      </w:pPr>
      <w:r>
        <w:rPr>
          <w:rFonts w:hint="eastAsia" w:ascii="宋体" w:hAnsi="宋体" w:cs="宋体"/>
          <w:sz w:val="24"/>
        </w:rPr>
        <w:t>⑺投标人必须承诺采取切实措施保证油品供应。除不可抗力事件外(不可抗力包括:火灾、骚乱、地震、台风、大面积停油等自身不能预见或不能避免或不能克服的客观情况;上述情况以相关部门出具的报案或书面证明为准)，在合同期限内，不论市场如何波动，保证不断油、不停供。无正当理由，不得拖延或拒绝为采购单位车辆加油。</w:t>
      </w:r>
    </w:p>
    <w:p w14:paraId="06DBEFDC">
      <w:pPr>
        <w:pStyle w:val="9"/>
        <w:spacing w:line="480" w:lineRule="exact"/>
        <w:ind w:firstLine="480" w:firstLineChars="200"/>
        <w:rPr>
          <w:rFonts w:hint="eastAsia" w:ascii="宋体" w:hAnsi="宋体" w:eastAsia="宋体" w:cs="宋体"/>
          <w:sz w:val="24"/>
          <w:lang w:val="en-US" w:eastAsia="zh-CN"/>
        </w:rPr>
      </w:pPr>
      <w:r>
        <w:rPr>
          <w:rFonts w:hint="eastAsia" w:ascii="宋体" w:hAnsi="宋体" w:cs="宋体"/>
          <w:sz w:val="24"/>
        </w:rPr>
        <w:t>⑻投标人能够提供应急情况下移动加油服务，配备移动加油车辆</w:t>
      </w:r>
      <w:r>
        <w:rPr>
          <w:rFonts w:hint="eastAsia" w:ascii="宋体" w:hAnsi="宋体" w:cs="宋体"/>
          <w:sz w:val="24"/>
          <w:lang w:eastAsia="zh-CN"/>
        </w:rPr>
        <w:t>。</w:t>
      </w:r>
    </w:p>
    <w:p w14:paraId="3E8D855E">
      <w:pPr>
        <w:pStyle w:val="48"/>
        <w:spacing w:line="480" w:lineRule="exact"/>
        <w:ind w:firstLine="482" w:firstLineChars="200"/>
        <w:rPr>
          <w:rFonts w:ascii="宋体" w:hAnsi="宋体"/>
          <w:b/>
          <w:sz w:val="24"/>
        </w:rPr>
      </w:pPr>
      <w:r>
        <w:rPr>
          <w:rFonts w:hint="eastAsia" w:ascii="宋体" w:hAnsi="宋体" w:cs="宋体"/>
          <w:b/>
          <w:bCs/>
          <w:sz w:val="24"/>
          <w:szCs w:val="24"/>
        </w:rPr>
        <w:t>“★”均为实质性响应要求，若有任意一项偏离，投标文件按无效处理。</w:t>
      </w:r>
    </w:p>
    <w:p w14:paraId="564234B3">
      <w:pPr>
        <w:spacing w:line="360" w:lineRule="auto"/>
        <w:ind w:firstLine="482" w:firstLineChars="200"/>
        <w:rPr>
          <w:rFonts w:ascii="宋体" w:hAnsi="宋体"/>
          <w:b/>
          <w:sz w:val="24"/>
        </w:rPr>
      </w:pPr>
      <w:r>
        <w:rPr>
          <w:rFonts w:hint="eastAsia" w:ascii="宋体" w:hAnsi="宋体"/>
          <w:b/>
          <w:sz w:val="24"/>
        </w:rPr>
        <w:t>四、商务要求</w:t>
      </w:r>
    </w:p>
    <w:tbl>
      <w:tblPr>
        <w:tblStyle w:val="26"/>
        <w:tblW w:w="9870" w:type="dxa"/>
        <w:tblInd w:w="-4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5"/>
        <w:gridCol w:w="7875"/>
      </w:tblGrid>
      <w:tr w14:paraId="17E1C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5" w:type="dxa"/>
          </w:tcPr>
          <w:p w14:paraId="44EC90CB">
            <w:pPr>
              <w:pStyle w:val="53"/>
              <w:widowControl/>
              <w:spacing w:line="360" w:lineRule="exact"/>
              <w:ind w:left="0" w:firstLine="0"/>
              <w:jc w:val="center"/>
              <w:rPr>
                <w:b/>
                <w:kern w:val="0"/>
                <w:szCs w:val="21"/>
              </w:rPr>
            </w:pPr>
            <w:r>
              <w:rPr>
                <w:rFonts w:hint="eastAsia"/>
                <w:b/>
                <w:kern w:val="0"/>
                <w:szCs w:val="21"/>
              </w:rPr>
              <w:t>服务要求</w:t>
            </w:r>
          </w:p>
        </w:tc>
        <w:tc>
          <w:tcPr>
            <w:tcW w:w="7875" w:type="dxa"/>
          </w:tcPr>
          <w:p w14:paraId="427B8673">
            <w:pPr>
              <w:pStyle w:val="53"/>
              <w:widowControl/>
              <w:spacing w:line="360" w:lineRule="exact"/>
              <w:jc w:val="center"/>
              <w:rPr>
                <w:b/>
                <w:kern w:val="0"/>
                <w:szCs w:val="21"/>
              </w:rPr>
            </w:pPr>
            <w:r>
              <w:rPr>
                <w:rFonts w:hint="eastAsia"/>
                <w:b/>
                <w:kern w:val="0"/>
                <w:szCs w:val="21"/>
              </w:rPr>
              <w:t>内容</w:t>
            </w:r>
          </w:p>
        </w:tc>
      </w:tr>
      <w:tr w14:paraId="3DCA1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5" w:type="dxa"/>
            <w:vAlign w:val="center"/>
          </w:tcPr>
          <w:p w14:paraId="4BA72FBC">
            <w:pPr>
              <w:pStyle w:val="53"/>
              <w:widowControl/>
              <w:spacing w:line="360" w:lineRule="exact"/>
              <w:ind w:left="0" w:firstLine="0"/>
              <w:jc w:val="center"/>
              <w:rPr>
                <w:bCs/>
                <w:kern w:val="0"/>
                <w:sz w:val="24"/>
              </w:rPr>
            </w:pPr>
            <w:r>
              <w:rPr>
                <w:rFonts w:hint="eastAsia"/>
                <w:bCs/>
                <w:kern w:val="0"/>
                <w:sz w:val="24"/>
              </w:rPr>
              <w:t>⑴付款方式</w:t>
            </w:r>
          </w:p>
          <w:p w14:paraId="67DF0E92">
            <w:pPr>
              <w:pStyle w:val="53"/>
              <w:widowControl/>
              <w:spacing w:line="360" w:lineRule="exact"/>
              <w:jc w:val="center"/>
              <w:rPr>
                <w:bCs/>
                <w:kern w:val="0"/>
                <w:sz w:val="24"/>
              </w:rPr>
            </w:pPr>
          </w:p>
        </w:tc>
        <w:tc>
          <w:tcPr>
            <w:tcW w:w="7875" w:type="dxa"/>
          </w:tcPr>
          <w:p w14:paraId="733ED79E">
            <w:pPr>
              <w:pStyle w:val="9"/>
              <w:spacing w:line="360" w:lineRule="exact"/>
              <w:rPr>
                <w:rFonts w:ascii="宋体" w:hAnsi="宋体" w:cs="宋体"/>
                <w:sz w:val="24"/>
              </w:rPr>
            </w:pPr>
            <w:r>
              <w:rPr>
                <w:rFonts w:hint="eastAsia" w:ascii="宋体" w:hAnsi="宋体" w:cs="宋体"/>
                <w:sz w:val="24"/>
              </w:rPr>
              <w:t>采购人以预付款方式办理加油卡充值业务，在加油站加油：</w:t>
            </w:r>
          </w:p>
          <w:p w14:paraId="4CE2CDC5">
            <w:pPr>
              <w:pStyle w:val="9"/>
              <w:spacing w:line="360" w:lineRule="exact"/>
              <w:rPr>
                <w:rFonts w:ascii="宋体" w:hAnsi="宋体" w:cs="宋体"/>
                <w:sz w:val="24"/>
              </w:rPr>
            </w:pPr>
            <w:r>
              <w:rPr>
                <w:rFonts w:hint="eastAsia" w:ascii="宋体" w:hAnsi="宋体" w:cs="宋体"/>
                <w:sz w:val="24"/>
              </w:rPr>
              <w:t>1.加油当天油费的结算单价按以下情况执行折算：加油当天油费的结算单价=加油当日加油站挂牌零售价×（1-合同优惠率）。</w:t>
            </w:r>
          </w:p>
          <w:p w14:paraId="33FCE4B2">
            <w:pPr>
              <w:pStyle w:val="9"/>
              <w:spacing w:line="360" w:lineRule="exact"/>
              <w:rPr>
                <w:rFonts w:ascii="宋体" w:hAnsi="宋体" w:cs="宋体"/>
                <w:sz w:val="24"/>
              </w:rPr>
            </w:pPr>
            <w:r>
              <w:rPr>
                <w:rFonts w:hint="eastAsia" w:ascii="宋体" w:hAnsi="宋体" w:cs="宋体"/>
                <w:sz w:val="24"/>
              </w:rPr>
              <w:t>2.实际结算金额以车辆实际汽柴油使用量、加油当天油费的结算单价及合同下浮率作为计算依据。</w:t>
            </w:r>
          </w:p>
          <w:p w14:paraId="07DE4A3F">
            <w:pPr>
              <w:pStyle w:val="9"/>
              <w:spacing w:line="360" w:lineRule="exact"/>
              <w:rPr>
                <w:rFonts w:ascii="宋体" w:hAnsi="宋体" w:cs="宋体"/>
                <w:sz w:val="24"/>
              </w:rPr>
            </w:pPr>
            <w:r>
              <w:rPr>
                <w:rFonts w:hint="eastAsia" w:ascii="宋体" w:hAnsi="宋体" w:cs="宋体"/>
                <w:sz w:val="24"/>
              </w:rPr>
              <w:t>3.服务期内，成交优惠率不因市场价格波动等情况而调整，投标人应综合考虑由此带来的相关风险。</w:t>
            </w:r>
          </w:p>
          <w:p w14:paraId="75D31499">
            <w:pPr>
              <w:pStyle w:val="9"/>
              <w:spacing w:line="360" w:lineRule="exact"/>
              <w:rPr>
                <w:rFonts w:ascii="宋体" w:hAnsi="宋体" w:cs="宋体"/>
                <w:sz w:val="24"/>
              </w:rPr>
            </w:pPr>
            <w:r>
              <w:rPr>
                <w:rFonts w:hint="eastAsia" w:ascii="宋体" w:hAnsi="宋体" w:cs="宋体"/>
                <w:sz w:val="24"/>
              </w:rPr>
              <w:t>4.投标人按合同约定提供服务并经采购人验收合格，按月结算，采取预付款方式，采购人根据每月加油量，预付充值加油款，每月结算日后，投标人开具增值税发票报账。投标人负责提供实际使用油料情况明细表（每台车辆的每一笔加油明细及汇总金额等）供采购人和投标人双方共同核对一致并盖章确认。</w:t>
            </w:r>
          </w:p>
        </w:tc>
      </w:tr>
      <w:tr w14:paraId="6C58B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5" w:type="dxa"/>
            <w:vAlign w:val="center"/>
          </w:tcPr>
          <w:p w14:paraId="0CDCCC1F">
            <w:pPr>
              <w:pStyle w:val="53"/>
              <w:widowControl/>
              <w:spacing w:line="360" w:lineRule="exact"/>
              <w:ind w:left="0" w:firstLine="0"/>
              <w:jc w:val="center"/>
              <w:rPr>
                <w:bCs/>
                <w:kern w:val="0"/>
                <w:sz w:val="24"/>
              </w:rPr>
            </w:pPr>
            <w:r>
              <w:rPr>
                <w:rFonts w:hint="eastAsia"/>
                <w:bCs/>
                <w:kern w:val="0"/>
                <w:sz w:val="24"/>
              </w:rPr>
              <w:t>⑵违约责任</w:t>
            </w:r>
          </w:p>
        </w:tc>
        <w:tc>
          <w:tcPr>
            <w:tcW w:w="7875" w:type="dxa"/>
          </w:tcPr>
          <w:p w14:paraId="0D8F89F2">
            <w:pPr>
              <w:pStyle w:val="53"/>
              <w:widowControl/>
              <w:spacing w:line="360" w:lineRule="exact"/>
              <w:ind w:left="0" w:firstLine="0"/>
              <w:rPr>
                <w:bCs/>
                <w:kern w:val="0"/>
                <w:sz w:val="24"/>
              </w:rPr>
            </w:pPr>
            <w:r>
              <w:rPr>
                <w:rFonts w:hint="eastAsia"/>
                <w:bCs/>
                <w:kern w:val="0"/>
                <w:sz w:val="24"/>
              </w:rPr>
              <w:t>1.投标人无正当理由拒绝向采购人供油的，应当承担违约金100元/次；投标人供油计量不足的，应补足油量，并按照不足油量的10%承担违约责任；投标人供油不符合相关国家标准、行业标准、地方标准或者其他标准、规范等有关质量标准，应按照当次加油价格的10%承担违约责任。</w:t>
            </w:r>
          </w:p>
          <w:p w14:paraId="56ABC3BB">
            <w:pPr>
              <w:pStyle w:val="53"/>
              <w:widowControl/>
              <w:spacing w:line="360" w:lineRule="exact"/>
              <w:ind w:left="0" w:firstLine="0"/>
              <w:rPr>
                <w:bCs/>
                <w:kern w:val="0"/>
                <w:sz w:val="24"/>
              </w:rPr>
            </w:pPr>
            <w:r>
              <w:rPr>
                <w:rFonts w:hint="eastAsia"/>
                <w:bCs/>
                <w:kern w:val="0"/>
                <w:sz w:val="24"/>
              </w:rPr>
              <w:t>2.投标人提供的货物如果侵犯了第三方合法权益而引发的任何纠纷或诉讼，均由投标人负责交涉并承担全部责任；在履行本合同过程中非因采购人的原因引发的诉讼，由投标人承担全部责任（包括不限于赔偿费、采购人的经济损失费、律师费、仲裁费、诉讼费等费用，投标人承担后，有权向第三方追偿）。</w:t>
            </w:r>
          </w:p>
          <w:p w14:paraId="1680CD54">
            <w:pPr>
              <w:pStyle w:val="53"/>
              <w:widowControl/>
              <w:spacing w:line="360" w:lineRule="exact"/>
              <w:ind w:left="0" w:firstLine="0"/>
              <w:rPr>
                <w:bCs/>
                <w:kern w:val="0"/>
                <w:sz w:val="24"/>
              </w:rPr>
            </w:pPr>
            <w:r>
              <w:rPr>
                <w:rFonts w:hint="eastAsia"/>
                <w:bCs/>
                <w:kern w:val="0"/>
                <w:sz w:val="24"/>
              </w:rPr>
              <w:t>3.投标人未按本合同和招标文件中规定的服务要求及投标文件承诺提供售后服务的，投标人应每次按本次加油金额2%向采购人支付违约金。</w:t>
            </w:r>
          </w:p>
          <w:p w14:paraId="6651D4AC">
            <w:pPr>
              <w:pStyle w:val="53"/>
              <w:widowControl/>
              <w:spacing w:line="360" w:lineRule="exact"/>
              <w:ind w:left="0" w:firstLine="0"/>
              <w:rPr>
                <w:bCs/>
                <w:kern w:val="0"/>
                <w:sz w:val="24"/>
              </w:rPr>
            </w:pPr>
            <w:r>
              <w:rPr>
                <w:rFonts w:hint="eastAsia"/>
                <w:bCs/>
                <w:kern w:val="0"/>
                <w:sz w:val="24"/>
              </w:rPr>
              <w:t>4.投标人其他违约行为按违约货款额5%收取违约金并赔偿经济损失。</w:t>
            </w:r>
          </w:p>
        </w:tc>
      </w:tr>
      <w:tr w14:paraId="5FE5C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5" w:type="dxa"/>
            <w:vAlign w:val="center"/>
          </w:tcPr>
          <w:p w14:paraId="5FD06A7D">
            <w:pPr>
              <w:pStyle w:val="53"/>
              <w:widowControl/>
              <w:spacing w:line="360" w:lineRule="exact"/>
              <w:ind w:left="0" w:firstLine="0"/>
              <w:jc w:val="center"/>
              <w:rPr>
                <w:bCs/>
                <w:kern w:val="0"/>
                <w:sz w:val="24"/>
              </w:rPr>
            </w:pPr>
            <w:r>
              <w:rPr>
                <w:rFonts w:hint="eastAsia"/>
                <w:bCs/>
                <w:kern w:val="0"/>
                <w:sz w:val="24"/>
              </w:rPr>
              <w:t>⑶其他商务要求</w:t>
            </w:r>
          </w:p>
        </w:tc>
        <w:tc>
          <w:tcPr>
            <w:tcW w:w="7875" w:type="dxa"/>
          </w:tcPr>
          <w:p w14:paraId="59921D04">
            <w:pPr>
              <w:pStyle w:val="53"/>
              <w:widowControl/>
              <w:spacing w:line="360" w:lineRule="exact"/>
              <w:ind w:left="0" w:firstLine="0"/>
              <w:rPr>
                <w:bCs/>
                <w:kern w:val="0"/>
                <w:sz w:val="24"/>
              </w:rPr>
            </w:pPr>
            <w:r>
              <w:rPr>
                <w:rFonts w:hint="eastAsia"/>
                <w:bCs/>
                <w:kern w:val="0"/>
                <w:sz w:val="24"/>
              </w:rPr>
              <w:t>1.</w:t>
            </w:r>
            <w:r>
              <w:rPr>
                <w:rFonts w:hint="eastAsia"/>
                <w:sz w:val="24"/>
              </w:rPr>
              <w:t>投标人</w:t>
            </w:r>
            <w:r>
              <w:rPr>
                <w:rFonts w:hint="eastAsia"/>
                <w:bCs/>
                <w:kern w:val="0"/>
                <w:sz w:val="24"/>
              </w:rPr>
              <w:t>应保证针对本项目的货物涉及到的知识产权和所提供的相关技术资料是合法取得，并享有完整的知识产权，不会因为采购人的使用而被责令停止使用，追偿或要求赔偿损失，如出现此情况，一切经济和法律责任均由</w:t>
            </w:r>
            <w:r>
              <w:rPr>
                <w:rFonts w:hint="eastAsia"/>
                <w:sz w:val="24"/>
              </w:rPr>
              <w:t>投标人</w:t>
            </w:r>
            <w:r>
              <w:rPr>
                <w:rFonts w:hint="eastAsia"/>
                <w:bCs/>
                <w:kern w:val="0"/>
                <w:sz w:val="24"/>
              </w:rPr>
              <w:t>承担。</w:t>
            </w:r>
          </w:p>
          <w:p w14:paraId="557019F6">
            <w:pPr>
              <w:pStyle w:val="53"/>
              <w:widowControl/>
              <w:spacing w:line="360" w:lineRule="exact"/>
              <w:ind w:left="0" w:firstLine="0"/>
              <w:rPr>
                <w:bCs/>
                <w:kern w:val="0"/>
                <w:sz w:val="24"/>
              </w:rPr>
            </w:pPr>
            <w:r>
              <w:rPr>
                <w:rFonts w:hint="eastAsia"/>
                <w:bCs/>
                <w:kern w:val="0"/>
                <w:sz w:val="24"/>
              </w:rPr>
              <w:t>2.</w:t>
            </w:r>
            <w:r>
              <w:rPr>
                <w:rFonts w:hint="eastAsia"/>
                <w:sz w:val="24"/>
              </w:rPr>
              <w:t>投标人</w:t>
            </w:r>
            <w:r>
              <w:rPr>
                <w:rFonts w:hint="eastAsia"/>
                <w:bCs/>
                <w:kern w:val="0"/>
                <w:sz w:val="24"/>
              </w:rPr>
              <w:t>应充分考虑供货成本及参数要求，如</w:t>
            </w:r>
            <w:r>
              <w:rPr>
                <w:rFonts w:hint="eastAsia"/>
                <w:sz w:val="24"/>
              </w:rPr>
              <w:t>投标人</w:t>
            </w:r>
            <w:r>
              <w:rPr>
                <w:rFonts w:hint="eastAsia"/>
                <w:bCs/>
                <w:kern w:val="0"/>
                <w:sz w:val="24"/>
              </w:rPr>
              <w:t>恶意竞争、且中标后无法按要求提供加油或者所供油品无法满足招标文件要求及投标文件承诺的，采购人有权全部退货，按违约处理，采购人保留因耽误采购人使用时间造成的损失进行赔偿的权利，移送司法机关诉诸法律手段，追究</w:t>
            </w:r>
            <w:r>
              <w:rPr>
                <w:rFonts w:hint="eastAsia"/>
                <w:sz w:val="24"/>
              </w:rPr>
              <w:t>投标人</w:t>
            </w:r>
            <w:r>
              <w:rPr>
                <w:rFonts w:hint="eastAsia"/>
                <w:bCs/>
                <w:kern w:val="0"/>
                <w:sz w:val="24"/>
              </w:rPr>
              <w:t>的法律责任，由此引发的一切后果由</w:t>
            </w:r>
            <w:r>
              <w:rPr>
                <w:rFonts w:hint="eastAsia"/>
                <w:sz w:val="24"/>
              </w:rPr>
              <w:t>投标人</w:t>
            </w:r>
            <w:r>
              <w:rPr>
                <w:rFonts w:hint="eastAsia"/>
                <w:bCs/>
                <w:kern w:val="0"/>
                <w:sz w:val="24"/>
              </w:rPr>
              <w:t>承担。</w:t>
            </w:r>
          </w:p>
          <w:p w14:paraId="48A0E7B4">
            <w:pPr>
              <w:pStyle w:val="53"/>
              <w:widowControl/>
              <w:spacing w:line="360" w:lineRule="exact"/>
              <w:ind w:left="0" w:firstLine="0"/>
              <w:rPr>
                <w:bCs/>
                <w:kern w:val="0"/>
                <w:sz w:val="24"/>
              </w:rPr>
            </w:pPr>
            <w:r>
              <w:rPr>
                <w:rFonts w:hint="eastAsia"/>
                <w:bCs/>
                <w:kern w:val="0"/>
                <w:sz w:val="24"/>
              </w:rPr>
              <w:t>3.</w:t>
            </w:r>
            <w:r>
              <w:rPr>
                <w:rFonts w:hint="eastAsia"/>
                <w:sz w:val="24"/>
              </w:rPr>
              <w:t>投标人</w:t>
            </w:r>
            <w:r>
              <w:rPr>
                <w:rFonts w:hint="eastAsia"/>
                <w:bCs/>
                <w:kern w:val="0"/>
                <w:sz w:val="24"/>
              </w:rPr>
              <w:t>在本次招标活动中提供任何虚假材料，按否决投标处理；若投标人中标后，采购人发现投标人提供虚假材料的，投标人须按照《中华人民共和国消费者权益保护法》第55条规定，且民事赔偿并不免除违法</w:t>
            </w:r>
            <w:r>
              <w:rPr>
                <w:rFonts w:hint="eastAsia"/>
                <w:sz w:val="24"/>
              </w:rPr>
              <w:t>投标人</w:t>
            </w:r>
            <w:r>
              <w:rPr>
                <w:rFonts w:hint="eastAsia"/>
                <w:bCs/>
                <w:kern w:val="0"/>
                <w:sz w:val="24"/>
              </w:rPr>
              <w:t>的行政与刑事责任。</w:t>
            </w:r>
          </w:p>
        </w:tc>
      </w:tr>
    </w:tbl>
    <w:p w14:paraId="0E54D15D">
      <w:pPr>
        <w:rPr>
          <w:rFonts w:ascii="宋体" w:hAnsi="宋体"/>
          <w:b/>
          <w:sz w:val="24"/>
        </w:rPr>
      </w:pPr>
    </w:p>
    <w:p w14:paraId="66F09B0C">
      <w:pPr>
        <w:rPr>
          <w:rFonts w:ascii="宋体" w:hAnsi="宋体"/>
          <w:b/>
          <w:sz w:val="24"/>
        </w:rPr>
      </w:pPr>
      <w:r>
        <w:rPr>
          <w:rFonts w:hint="eastAsia" w:ascii="宋体" w:hAnsi="宋体"/>
          <w:b/>
          <w:sz w:val="24"/>
        </w:rPr>
        <w:t>五、合同主要条款</w:t>
      </w:r>
    </w:p>
    <w:p w14:paraId="37791964">
      <w:pPr>
        <w:spacing w:line="440" w:lineRule="exact"/>
        <w:jc w:val="left"/>
        <w:rPr>
          <w:rFonts w:ascii="宋体" w:hAnsi="宋体" w:cs="宋体"/>
          <w:sz w:val="24"/>
        </w:rPr>
      </w:pPr>
      <w:r>
        <w:rPr>
          <w:rFonts w:hint="eastAsia" w:ascii="宋体" w:hAnsi="宋体" w:cs="宋体"/>
          <w:sz w:val="24"/>
        </w:rPr>
        <w:t>甲方（供方）：</w:t>
      </w:r>
    </w:p>
    <w:p w14:paraId="3BCFD8BC">
      <w:pPr>
        <w:spacing w:line="440" w:lineRule="exact"/>
        <w:jc w:val="left"/>
        <w:rPr>
          <w:rFonts w:ascii="宋体" w:hAnsi="宋体" w:cs="宋体"/>
          <w:sz w:val="24"/>
        </w:rPr>
      </w:pPr>
      <w:r>
        <w:rPr>
          <w:rFonts w:hint="eastAsia" w:ascii="宋体" w:hAnsi="宋体" w:cs="宋体"/>
          <w:sz w:val="24"/>
        </w:rPr>
        <w:t>乙方（需方）：</w:t>
      </w:r>
    </w:p>
    <w:p w14:paraId="2FBA821C">
      <w:pPr>
        <w:spacing w:line="440" w:lineRule="exact"/>
        <w:ind w:firstLine="480" w:firstLineChars="200"/>
        <w:jc w:val="left"/>
        <w:rPr>
          <w:rFonts w:ascii="宋体" w:hAnsi="宋体" w:cs="宋体"/>
          <w:sz w:val="24"/>
        </w:rPr>
      </w:pPr>
      <w:r>
        <w:rPr>
          <w:rFonts w:hint="eastAsia" w:ascii="宋体" w:hAnsi="宋体" w:cs="宋体"/>
          <w:sz w:val="24"/>
        </w:rPr>
        <w:t>根据国家有关法律、法规，本着互利互惠的原则，经过甲、乙双方协商，达成一致意见，签订本协议，并共同遵守。</w:t>
      </w:r>
    </w:p>
    <w:p w14:paraId="211E2F89">
      <w:pPr>
        <w:spacing w:line="440" w:lineRule="exact"/>
        <w:ind w:firstLine="480" w:firstLineChars="200"/>
        <w:jc w:val="left"/>
        <w:rPr>
          <w:rFonts w:ascii="宋体" w:hAnsi="宋体" w:cs="宋体"/>
          <w:sz w:val="24"/>
        </w:rPr>
      </w:pPr>
      <w:r>
        <w:rPr>
          <w:rFonts w:hint="eastAsia" w:ascii="宋体" w:hAnsi="宋体" w:cs="宋体"/>
          <w:sz w:val="24"/>
        </w:rPr>
        <w:t>一、燃油价格</w:t>
      </w:r>
    </w:p>
    <w:tbl>
      <w:tblPr>
        <w:tblStyle w:val="26"/>
        <w:tblpPr w:leftFromText="180" w:rightFromText="180" w:vertAnchor="text" w:horzAnchor="page" w:tblpX="1259" w:tblpY="240"/>
        <w:tblOverlap w:val="never"/>
        <w:tblW w:w="9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1"/>
        <w:gridCol w:w="5875"/>
        <w:gridCol w:w="1913"/>
      </w:tblGrid>
      <w:tr w14:paraId="1D81F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871" w:type="dxa"/>
            <w:vAlign w:val="center"/>
          </w:tcPr>
          <w:p w14:paraId="1E125990">
            <w:pPr>
              <w:spacing w:line="440" w:lineRule="exact"/>
              <w:jc w:val="center"/>
              <w:rPr>
                <w:rFonts w:ascii="宋体" w:hAnsi="宋体" w:cs="宋体"/>
                <w:sz w:val="24"/>
              </w:rPr>
            </w:pPr>
            <w:r>
              <w:rPr>
                <w:rFonts w:hint="eastAsia" w:ascii="宋体" w:hAnsi="宋体" w:cs="宋体"/>
                <w:sz w:val="24"/>
              </w:rPr>
              <w:t>燃油种类</w:t>
            </w:r>
          </w:p>
        </w:tc>
        <w:tc>
          <w:tcPr>
            <w:tcW w:w="5875" w:type="dxa"/>
          </w:tcPr>
          <w:p w14:paraId="4102A508">
            <w:pPr>
              <w:spacing w:line="440" w:lineRule="exact"/>
              <w:jc w:val="left"/>
              <w:rPr>
                <w:rFonts w:ascii="宋体" w:hAnsi="宋体" w:cs="宋体"/>
                <w:sz w:val="24"/>
              </w:rPr>
            </w:pPr>
            <w:r>
              <w:rPr>
                <w:rFonts w:hint="eastAsia" w:ascii="宋体" w:hAnsi="宋体" w:cs="宋体"/>
                <w:sz w:val="24"/>
              </w:rPr>
              <w:t>优惠方式</w:t>
            </w:r>
          </w:p>
        </w:tc>
        <w:tc>
          <w:tcPr>
            <w:tcW w:w="1913" w:type="dxa"/>
          </w:tcPr>
          <w:p w14:paraId="68EE204E">
            <w:pPr>
              <w:spacing w:line="440" w:lineRule="exact"/>
              <w:jc w:val="left"/>
              <w:rPr>
                <w:rFonts w:hint="eastAsia" w:ascii="宋体" w:hAnsi="宋体" w:cs="宋体"/>
                <w:sz w:val="24"/>
              </w:rPr>
            </w:pPr>
            <w:r>
              <w:rPr>
                <w:rFonts w:hint="eastAsia" w:ascii="宋体" w:hAnsi="宋体" w:cs="宋体"/>
                <w:sz w:val="24"/>
              </w:rPr>
              <w:t>备注</w:t>
            </w:r>
          </w:p>
        </w:tc>
      </w:tr>
      <w:tr w14:paraId="07E82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871" w:type="dxa"/>
            <w:vAlign w:val="center"/>
          </w:tcPr>
          <w:p w14:paraId="1D9A4973">
            <w:pPr>
              <w:spacing w:line="440" w:lineRule="exact"/>
              <w:jc w:val="center"/>
              <w:rPr>
                <w:rFonts w:ascii="宋体" w:hAnsi="宋体" w:cs="宋体"/>
                <w:sz w:val="24"/>
              </w:rPr>
            </w:pPr>
            <w:r>
              <w:rPr>
                <w:rFonts w:hint="eastAsia" w:ascii="宋体" w:hAnsi="宋体" w:cs="宋体"/>
                <w:sz w:val="24"/>
              </w:rPr>
              <w:t>汽油</w:t>
            </w:r>
          </w:p>
        </w:tc>
        <w:tc>
          <w:tcPr>
            <w:tcW w:w="5875" w:type="dxa"/>
          </w:tcPr>
          <w:p w14:paraId="430091DA">
            <w:pPr>
              <w:spacing w:line="440" w:lineRule="exact"/>
              <w:jc w:val="left"/>
              <w:rPr>
                <w:rFonts w:ascii="宋体" w:hAnsi="宋体" w:cs="宋体"/>
                <w:sz w:val="24"/>
              </w:rPr>
            </w:pPr>
            <w:r>
              <w:rPr>
                <w:rFonts w:hint="eastAsia" w:ascii="宋体" w:hAnsi="宋体" w:cs="宋体"/>
                <w:sz w:val="24"/>
              </w:rPr>
              <w:t>甲方在加油当日加油站挂牌零售价的基础上给予乙方</w:t>
            </w:r>
            <w:r>
              <w:rPr>
                <w:rFonts w:hint="eastAsia" w:ascii="宋体" w:hAnsi="宋体" w:cs="宋体"/>
                <w:sz w:val="24"/>
                <w:u w:val="single"/>
              </w:rPr>
              <w:t xml:space="preserve">   </w:t>
            </w:r>
            <w:r>
              <w:rPr>
                <w:rFonts w:hint="eastAsia" w:ascii="宋体" w:hAnsi="宋体" w:cs="宋体"/>
                <w:sz w:val="24"/>
              </w:rPr>
              <w:t>%的优惠率</w:t>
            </w:r>
          </w:p>
        </w:tc>
        <w:tc>
          <w:tcPr>
            <w:tcW w:w="1913" w:type="dxa"/>
          </w:tcPr>
          <w:p w14:paraId="2DC7F032">
            <w:pPr>
              <w:spacing w:line="440" w:lineRule="exact"/>
              <w:jc w:val="left"/>
              <w:rPr>
                <w:rFonts w:hint="eastAsia" w:ascii="宋体" w:hAnsi="宋体" w:cs="宋体"/>
                <w:sz w:val="24"/>
              </w:rPr>
            </w:pPr>
            <w:r>
              <w:rPr>
                <w:rFonts w:hint="eastAsia" w:ascii="宋体" w:hAnsi="宋体" w:cs="宋体"/>
                <w:sz w:val="24"/>
              </w:rPr>
              <w:t>汽油国(VIB)</w:t>
            </w:r>
          </w:p>
        </w:tc>
      </w:tr>
      <w:tr w14:paraId="7D45A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871" w:type="dxa"/>
            <w:vAlign w:val="center"/>
          </w:tcPr>
          <w:p w14:paraId="6F2833B8">
            <w:pPr>
              <w:spacing w:line="440" w:lineRule="exact"/>
              <w:jc w:val="center"/>
              <w:rPr>
                <w:rFonts w:ascii="宋体" w:hAnsi="宋体" w:cs="宋体"/>
                <w:sz w:val="24"/>
              </w:rPr>
            </w:pPr>
            <w:r>
              <w:rPr>
                <w:rFonts w:hint="eastAsia" w:ascii="宋体" w:hAnsi="宋体" w:cs="宋体"/>
                <w:sz w:val="24"/>
              </w:rPr>
              <w:t>柴油</w:t>
            </w:r>
          </w:p>
        </w:tc>
        <w:tc>
          <w:tcPr>
            <w:tcW w:w="5875" w:type="dxa"/>
          </w:tcPr>
          <w:p w14:paraId="745508F6">
            <w:pPr>
              <w:spacing w:line="440" w:lineRule="exact"/>
              <w:jc w:val="left"/>
              <w:rPr>
                <w:rFonts w:ascii="宋体" w:hAnsi="宋体" w:cs="宋体"/>
                <w:sz w:val="24"/>
              </w:rPr>
            </w:pPr>
            <w:r>
              <w:rPr>
                <w:rFonts w:hint="eastAsia" w:ascii="宋体" w:hAnsi="宋体" w:cs="宋体"/>
                <w:sz w:val="24"/>
              </w:rPr>
              <w:t>甲方在加油当日加油站挂牌零售价的基础上给予乙方</w:t>
            </w:r>
            <w:r>
              <w:rPr>
                <w:rFonts w:hint="eastAsia" w:ascii="宋体" w:hAnsi="宋体" w:cs="宋体"/>
                <w:sz w:val="24"/>
                <w:u w:val="single"/>
              </w:rPr>
              <w:t xml:space="preserve">   </w:t>
            </w:r>
            <w:r>
              <w:rPr>
                <w:rFonts w:hint="eastAsia" w:ascii="宋体" w:hAnsi="宋体" w:cs="宋体"/>
                <w:sz w:val="24"/>
              </w:rPr>
              <w:t>%的优惠率</w:t>
            </w:r>
          </w:p>
        </w:tc>
        <w:tc>
          <w:tcPr>
            <w:tcW w:w="1913" w:type="dxa"/>
          </w:tcPr>
          <w:p w14:paraId="10B5ADB1">
            <w:pPr>
              <w:spacing w:line="440" w:lineRule="exact"/>
              <w:jc w:val="left"/>
              <w:rPr>
                <w:rFonts w:hint="eastAsia" w:ascii="宋体" w:hAnsi="宋体" w:cs="宋体"/>
                <w:sz w:val="24"/>
              </w:rPr>
            </w:pPr>
            <w:r>
              <w:rPr>
                <w:rFonts w:hint="eastAsia" w:ascii="宋体" w:hAnsi="宋体" w:cs="宋体"/>
                <w:sz w:val="24"/>
              </w:rPr>
              <w:t>柴油国(VI)</w:t>
            </w:r>
          </w:p>
        </w:tc>
      </w:tr>
    </w:tbl>
    <w:p w14:paraId="75216D2B">
      <w:pPr>
        <w:spacing w:line="440" w:lineRule="exact"/>
        <w:ind w:firstLine="480" w:firstLineChars="200"/>
        <w:jc w:val="left"/>
        <w:rPr>
          <w:rFonts w:ascii="宋体" w:hAnsi="宋体" w:cs="宋体"/>
          <w:sz w:val="24"/>
        </w:rPr>
      </w:pPr>
      <w:r>
        <w:rPr>
          <w:rFonts w:hint="eastAsia" w:ascii="宋体" w:hAnsi="宋体" w:cs="宋体"/>
          <w:sz w:val="24"/>
        </w:rPr>
        <w:t>二、乙方以预付款方式办理加油卡充值业务，在甲方加油站加油。为确保乙方正常生产，甲方在确认收到乙方预付款后即可办理加油卡充值业务，甲方以乙方加油卡油款余额为加油限额，不准超额加油，加油卡款项余额为零时，甲方加油站将停止为乙方加油。</w:t>
      </w:r>
    </w:p>
    <w:p w14:paraId="1E65F971">
      <w:pPr>
        <w:spacing w:line="440" w:lineRule="exact"/>
        <w:jc w:val="left"/>
        <w:rPr>
          <w:rFonts w:ascii="宋体" w:hAnsi="宋体" w:cs="宋体"/>
          <w:sz w:val="24"/>
        </w:rPr>
      </w:pPr>
      <w:r>
        <w:rPr>
          <w:rFonts w:hint="eastAsia" w:ascii="宋体" w:hAnsi="宋体" w:cs="宋体"/>
          <w:sz w:val="24"/>
        </w:rPr>
        <w:t xml:space="preserve">    三、履行期限：   年  月  日至   年  月  日。</w:t>
      </w:r>
    </w:p>
    <w:p w14:paraId="491F3067">
      <w:pPr>
        <w:spacing w:line="440" w:lineRule="exact"/>
        <w:jc w:val="left"/>
        <w:rPr>
          <w:rFonts w:ascii="宋体" w:hAnsi="宋体" w:cs="宋体"/>
          <w:sz w:val="24"/>
        </w:rPr>
      </w:pPr>
      <w:r>
        <w:rPr>
          <w:rFonts w:hint="eastAsia" w:ascii="宋体" w:hAnsi="宋体" w:cs="宋体"/>
          <w:sz w:val="24"/>
        </w:rPr>
        <w:t xml:space="preserve">    四、价款的支付：乙方以预付款方式转入甲方指定账户，甲方将其预付款充入乙方加油卡内。</w:t>
      </w:r>
    </w:p>
    <w:p w14:paraId="4C90BCC7">
      <w:pPr>
        <w:spacing w:line="440" w:lineRule="exact"/>
        <w:jc w:val="left"/>
        <w:rPr>
          <w:rFonts w:ascii="宋体" w:hAnsi="宋体" w:cs="宋体"/>
          <w:sz w:val="24"/>
        </w:rPr>
      </w:pPr>
      <w:r>
        <w:rPr>
          <w:rFonts w:hint="eastAsia" w:ascii="宋体" w:hAnsi="宋体" w:cs="宋体"/>
          <w:sz w:val="24"/>
        </w:rPr>
        <w:t xml:space="preserve">    五、开具发票：甲方在为乙方办理充值业务时开具充值发票；或乙方要求开具加油消费明细的增值税(专用/普通)发票，则甲方根据乙方加油卡实际加油消费金额（扣除积分优惠和充值返利金额后），开具增值税(专用/普通)发票。上述两种开票方式不能同时适用。</w:t>
      </w:r>
    </w:p>
    <w:p w14:paraId="67A70491">
      <w:pPr>
        <w:spacing w:line="440" w:lineRule="exact"/>
        <w:jc w:val="left"/>
        <w:rPr>
          <w:rFonts w:ascii="宋体" w:hAnsi="宋体" w:cs="宋体"/>
          <w:sz w:val="24"/>
        </w:rPr>
      </w:pPr>
      <w:r>
        <w:rPr>
          <w:rFonts w:hint="eastAsia" w:ascii="宋体" w:hAnsi="宋体" w:cs="宋体"/>
          <w:sz w:val="24"/>
        </w:rPr>
        <w:t xml:space="preserve">    六、甲方权责</w:t>
      </w:r>
    </w:p>
    <w:p w14:paraId="0D672C8F">
      <w:pPr>
        <w:spacing w:line="440" w:lineRule="exact"/>
        <w:ind w:firstLine="480" w:firstLineChars="200"/>
        <w:jc w:val="left"/>
        <w:rPr>
          <w:rFonts w:ascii="宋体" w:hAnsi="宋体" w:cs="宋体"/>
          <w:sz w:val="24"/>
        </w:rPr>
      </w:pPr>
      <w:r>
        <w:rPr>
          <w:rFonts w:hint="eastAsia" w:ascii="宋体" w:hAnsi="宋体" w:cs="宋体"/>
          <w:sz w:val="24"/>
        </w:rPr>
        <w:t>1.甲方必须确保货品质量合格、计量准确。质量符合GB 19147-2016（车用柴油）、GB17930-2016（车用汽油(V））、DB45／T855-2012（98号车用汽油标准）等标准（包括其不时更新的标准）。</w:t>
      </w:r>
    </w:p>
    <w:p w14:paraId="4A25236B">
      <w:pPr>
        <w:spacing w:line="440" w:lineRule="exact"/>
        <w:ind w:firstLine="480" w:firstLineChars="200"/>
        <w:jc w:val="left"/>
        <w:rPr>
          <w:rFonts w:ascii="宋体" w:hAnsi="宋体" w:cs="宋体"/>
          <w:sz w:val="24"/>
        </w:rPr>
      </w:pPr>
      <w:r>
        <w:rPr>
          <w:rFonts w:hint="eastAsia" w:ascii="宋体" w:hAnsi="宋体" w:cs="宋体"/>
          <w:sz w:val="24"/>
        </w:rPr>
        <w:t>2.乙方不按规定付款的，甲方有权终止供应货品，由此引起的一切责任由乙方负责。</w:t>
      </w:r>
    </w:p>
    <w:p w14:paraId="0DCCA5ED">
      <w:pPr>
        <w:spacing w:line="440" w:lineRule="exact"/>
        <w:ind w:firstLine="480" w:firstLineChars="200"/>
        <w:jc w:val="left"/>
        <w:rPr>
          <w:rFonts w:ascii="宋体" w:hAnsi="宋体" w:cs="宋体"/>
          <w:sz w:val="24"/>
        </w:rPr>
      </w:pPr>
      <w:r>
        <w:rPr>
          <w:rFonts w:hint="eastAsia" w:ascii="宋体" w:hAnsi="宋体" w:cs="宋体"/>
          <w:sz w:val="24"/>
        </w:rPr>
        <w:t>3.甲方为乙方救护车提供优先加油服务，确保救护车在紧急情况下能够快速加油。</w:t>
      </w:r>
    </w:p>
    <w:p w14:paraId="7F0637B5">
      <w:pPr>
        <w:spacing w:line="440" w:lineRule="exact"/>
        <w:ind w:firstLine="480" w:firstLineChars="200"/>
        <w:jc w:val="left"/>
        <w:rPr>
          <w:rFonts w:ascii="宋体" w:hAnsi="宋体" w:cs="宋体"/>
          <w:sz w:val="24"/>
        </w:rPr>
      </w:pPr>
      <w:r>
        <w:rPr>
          <w:rFonts w:hint="eastAsia" w:ascii="宋体" w:hAnsi="宋体" w:cs="宋体"/>
          <w:sz w:val="24"/>
        </w:rPr>
        <w:t>4.甲方应该开具真实、有效的税务发票，一旦查出乙方提供的发票作假，自动解除协议并且甲方有权利不支付该笔发票款项。</w:t>
      </w:r>
    </w:p>
    <w:p w14:paraId="2C9406F4">
      <w:pPr>
        <w:spacing w:line="440" w:lineRule="exact"/>
        <w:ind w:firstLine="480" w:firstLineChars="200"/>
        <w:jc w:val="left"/>
        <w:rPr>
          <w:rFonts w:ascii="宋体" w:hAnsi="宋体" w:cs="宋体"/>
          <w:sz w:val="24"/>
        </w:rPr>
      </w:pPr>
      <w:r>
        <w:rPr>
          <w:rFonts w:hint="eastAsia" w:ascii="宋体" w:hAnsi="宋体" w:cs="宋体"/>
          <w:sz w:val="24"/>
        </w:rPr>
        <w:t>七、乙方权责</w:t>
      </w:r>
    </w:p>
    <w:p w14:paraId="45DB7D35">
      <w:pPr>
        <w:spacing w:line="440" w:lineRule="exact"/>
        <w:jc w:val="left"/>
        <w:rPr>
          <w:rFonts w:ascii="宋体" w:hAnsi="宋体" w:cs="宋体"/>
          <w:sz w:val="24"/>
        </w:rPr>
      </w:pPr>
      <w:r>
        <w:rPr>
          <w:rFonts w:hint="eastAsia" w:ascii="宋体" w:hAnsi="宋体" w:cs="宋体"/>
          <w:sz w:val="24"/>
        </w:rPr>
        <w:t xml:space="preserve">    1.乙方有权对甲方加油站货品质量进行监督。</w:t>
      </w:r>
    </w:p>
    <w:p w14:paraId="105F276F">
      <w:pPr>
        <w:spacing w:line="440" w:lineRule="exact"/>
        <w:jc w:val="left"/>
        <w:rPr>
          <w:rFonts w:ascii="宋体" w:hAnsi="宋体" w:cs="宋体"/>
          <w:sz w:val="24"/>
        </w:rPr>
      </w:pPr>
      <w:r>
        <w:rPr>
          <w:rFonts w:hint="eastAsia" w:ascii="宋体" w:hAnsi="宋体" w:cs="宋体"/>
          <w:sz w:val="24"/>
        </w:rPr>
        <w:t xml:space="preserve">    2.乙方有权要求甲方提供相应的加油卡加油明细台帐。</w:t>
      </w:r>
    </w:p>
    <w:p w14:paraId="2D788440">
      <w:pPr>
        <w:spacing w:line="440" w:lineRule="exact"/>
        <w:ind w:firstLine="480" w:firstLineChars="200"/>
        <w:jc w:val="left"/>
        <w:rPr>
          <w:rFonts w:ascii="宋体" w:hAnsi="宋体" w:cs="宋体"/>
          <w:sz w:val="24"/>
        </w:rPr>
      </w:pPr>
      <w:r>
        <w:rPr>
          <w:rFonts w:hint="eastAsia" w:ascii="宋体" w:hAnsi="宋体" w:cs="宋体"/>
          <w:sz w:val="24"/>
        </w:rPr>
        <w:t>八、违约责任</w:t>
      </w:r>
    </w:p>
    <w:p w14:paraId="03764433">
      <w:pPr>
        <w:spacing w:line="440" w:lineRule="exact"/>
        <w:ind w:firstLine="480" w:firstLineChars="200"/>
        <w:jc w:val="left"/>
        <w:rPr>
          <w:rFonts w:ascii="宋体" w:hAnsi="宋体" w:cs="宋体"/>
          <w:sz w:val="24"/>
        </w:rPr>
      </w:pPr>
      <w:r>
        <w:rPr>
          <w:rFonts w:hint="eastAsia" w:ascii="宋体" w:hAnsi="宋体" w:cs="宋体"/>
          <w:sz w:val="24"/>
        </w:rPr>
        <w:t>1.甲方无正当理由拒绝向乙方供油的，应当承担违约金100元/次；甲方供油计量不足的，应补足油量，并按照不足油量的10%承担违约责任；甲方供油不符合相关国家标准、行业标准、地方标准或者其他标准、规范等有关质量标准，应按照当次加油价格的10%承担违约责任，如因此给乙方造成损失的，甲方应全额赔偿。</w:t>
      </w:r>
    </w:p>
    <w:p w14:paraId="6B230DCD">
      <w:pPr>
        <w:spacing w:line="440" w:lineRule="exact"/>
        <w:ind w:firstLine="480" w:firstLineChars="200"/>
        <w:jc w:val="left"/>
        <w:rPr>
          <w:rFonts w:ascii="宋体" w:hAnsi="宋体" w:cs="宋体"/>
          <w:sz w:val="24"/>
        </w:rPr>
      </w:pPr>
      <w:r>
        <w:rPr>
          <w:rFonts w:hint="eastAsia" w:ascii="宋体" w:hAnsi="宋体" w:cs="宋体"/>
          <w:sz w:val="24"/>
        </w:rPr>
        <w:t>2.甲方提供的货物如果侵犯了第三方合法权益而引发的任何纠纷或诉讼，均由甲方负责交涉并承担全部责任；在履行本合同过程中非因乙方的原因引发的诉讼，由甲方承担全部责任（包括不限于赔偿费、乙方的经济损失费、律师费、仲裁费、诉讼费等费用，甲方承担后，有权向第三方追偿）。</w:t>
      </w:r>
    </w:p>
    <w:p w14:paraId="3AD550EF">
      <w:pPr>
        <w:spacing w:line="440" w:lineRule="exact"/>
        <w:ind w:firstLine="480" w:firstLineChars="200"/>
        <w:jc w:val="left"/>
        <w:rPr>
          <w:rFonts w:ascii="宋体" w:hAnsi="宋体" w:cs="宋体"/>
          <w:sz w:val="24"/>
        </w:rPr>
      </w:pPr>
      <w:r>
        <w:rPr>
          <w:rFonts w:hint="eastAsia" w:ascii="宋体" w:hAnsi="宋体" w:cs="宋体"/>
          <w:sz w:val="24"/>
        </w:rPr>
        <w:t>3.甲方未按本合同和投标文件中规定的服务承诺提供售后服务的，甲方应每次按本本次加油金额2%向乙方支付违约金。</w:t>
      </w:r>
    </w:p>
    <w:p w14:paraId="248EA430">
      <w:pPr>
        <w:spacing w:line="440" w:lineRule="exact"/>
        <w:ind w:firstLine="480" w:firstLineChars="200"/>
        <w:jc w:val="left"/>
        <w:rPr>
          <w:rFonts w:ascii="宋体" w:hAnsi="宋体" w:cs="宋体"/>
          <w:sz w:val="24"/>
        </w:rPr>
      </w:pPr>
      <w:r>
        <w:rPr>
          <w:rFonts w:hint="eastAsia" w:ascii="宋体" w:hAnsi="宋体" w:cs="宋体"/>
          <w:sz w:val="24"/>
        </w:rPr>
        <w:t>4.甲方其他违约行为按违约货款额5%收取违约金并赔偿经济损失。</w:t>
      </w:r>
    </w:p>
    <w:p w14:paraId="0F3D843B">
      <w:pPr>
        <w:spacing w:line="440" w:lineRule="exact"/>
        <w:ind w:firstLine="480" w:firstLineChars="200"/>
        <w:jc w:val="left"/>
        <w:rPr>
          <w:rFonts w:ascii="宋体" w:hAnsi="宋体" w:cs="宋体"/>
          <w:sz w:val="24"/>
        </w:rPr>
      </w:pPr>
      <w:r>
        <w:rPr>
          <w:rFonts w:hint="eastAsia" w:ascii="宋体" w:hAnsi="宋体" w:cs="宋体"/>
          <w:sz w:val="24"/>
        </w:rPr>
        <w:t>九、其他未尽事宜由双方协商解决或另行约定，本合同一式伍份，具有同等法律效力，甲方壹份、乙方肆份。</w:t>
      </w:r>
    </w:p>
    <w:p w14:paraId="46068727">
      <w:pPr>
        <w:spacing w:line="440" w:lineRule="exact"/>
        <w:ind w:firstLine="480" w:firstLineChars="200"/>
        <w:jc w:val="left"/>
        <w:rPr>
          <w:rFonts w:ascii="宋体" w:hAnsi="宋体" w:cs="宋体"/>
          <w:sz w:val="24"/>
        </w:rPr>
      </w:pPr>
      <w:r>
        <w:rPr>
          <w:rFonts w:hint="eastAsia" w:ascii="宋体" w:hAnsi="宋体" w:cs="宋体"/>
          <w:sz w:val="24"/>
        </w:rPr>
        <w:t>十、双方履行合同过程中若出现争议，可协商解决，协商不成，可向乙方所在地人民法院起诉。</w:t>
      </w:r>
    </w:p>
    <w:p w14:paraId="037BB418">
      <w:pPr>
        <w:spacing w:line="440" w:lineRule="exact"/>
        <w:ind w:firstLine="480" w:firstLineChars="200"/>
        <w:jc w:val="left"/>
        <w:rPr>
          <w:rFonts w:ascii="宋体" w:hAnsi="宋体" w:cs="宋体"/>
          <w:sz w:val="24"/>
        </w:rPr>
      </w:pPr>
      <w:r>
        <w:rPr>
          <w:rFonts w:hint="eastAsia" w:ascii="宋体" w:hAnsi="宋体" w:cs="宋体"/>
          <w:sz w:val="24"/>
        </w:rPr>
        <w:t>十一、本协议自双方签字或盖章之日起生效。</w:t>
      </w:r>
    </w:p>
    <w:p w14:paraId="3BB8B6CA">
      <w:pPr>
        <w:pStyle w:val="3"/>
        <w:ind w:left="0"/>
        <w:jc w:val="center"/>
        <w:rPr>
          <w:w w:val="95"/>
          <w:sz w:val="30"/>
          <w:szCs w:val="30"/>
        </w:rPr>
      </w:pPr>
    </w:p>
    <w:p w14:paraId="38493475">
      <w:pPr>
        <w:pStyle w:val="3"/>
        <w:ind w:left="0"/>
        <w:jc w:val="center"/>
        <w:rPr>
          <w:w w:val="95"/>
          <w:sz w:val="30"/>
          <w:szCs w:val="30"/>
        </w:rPr>
      </w:pPr>
    </w:p>
    <w:p w14:paraId="6B6E3482">
      <w:pPr>
        <w:pStyle w:val="3"/>
        <w:ind w:left="0"/>
        <w:jc w:val="center"/>
        <w:rPr>
          <w:w w:val="95"/>
          <w:sz w:val="30"/>
          <w:szCs w:val="30"/>
        </w:rPr>
      </w:pPr>
    </w:p>
    <w:p w14:paraId="7DE14E6B">
      <w:pPr>
        <w:rPr>
          <w:w w:val="95"/>
          <w:sz w:val="30"/>
          <w:szCs w:val="30"/>
        </w:rPr>
      </w:pPr>
    </w:p>
    <w:p w14:paraId="478A4DFD">
      <w:pPr>
        <w:pStyle w:val="2"/>
        <w:rPr>
          <w:w w:val="95"/>
          <w:sz w:val="30"/>
          <w:szCs w:val="30"/>
        </w:rPr>
      </w:pPr>
    </w:p>
    <w:p w14:paraId="1FDECB23">
      <w:pPr>
        <w:rPr>
          <w:w w:val="95"/>
          <w:sz w:val="30"/>
          <w:szCs w:val="30"/>
        </w:rPr>
      </w:pPr>
    </w:p>
    <w:p w14:paraId="4123CA97">
      <w:pPr>
        <w:pStyle w:val="2"/>
      </w:pPr>
    </w:p>
    <w:p w14:paraId="151FEAA2">
      <w:pPr>
        <w:pStyle w:val="3"/>
        <w:ind w:left="0"/>
        <w:jc w:val="center"/>
        <w:rPr>
          <w:w w:val="95"/>
          <w:sz w:val="30"/>
          <w:szCs w:val="30"/>
        </w:rPr>
      </w:pPr>
    </w:p>
    <w:p w14:paraId="04791249">
      <w:pPr>
        <w:pStyle w:val="3"/>
        <w:ind w:left="0"/>
        <w:jc w:val="center"/>
        <w:rPr>
          <w:sz w:val="28"/>
        </w:rPr>
      </w:pPr>
      <w:r>
        <w:rPr>
          <w:rFonts w:hint="eastAsia"/>
          <w:w w:val="95"/>
          <w:sz w:val="30"/>
          <w:szCs w:val="30"/>
        </w:rPr>
        <w:t>第三章  评分标准</w:t>
      </w:r>
    </w:p>
    <w:tbl>
      <w:tblPr>
        <w:tblStyle w:val="25"/>
        <w:tblW w:w="9735" w:type="dxa"/>
        <w:tblInd w:w="-526" w:type="dxa"/>
        <w:tblLayout w:type="autofit"/>
        <w:tblCellMar>
          <w:top w:w="0" w:type="dxa"/>
          <w:left w:w="108" w:type="dxa"/>
          <w:bottom w:w="0" w:type="dxa"/>
          <w:right w:w="108" w:type="dxa"/>
        </w:tblCellMar>
      </w:tblPr>
      <w:tblGrid>
        <w:gridCol w:w="750"/>
        <w:gridCol w:w="1485"/>
        <w:gridCol w:w="735"/>
        <w:gridCol w:w="6765"/>
      </w:tblGrid>
      <w:tr w14:paraId="0CCDD25C">
        <w:tblPrEx>
          <w:tblCellMar>
            <w:top w:w="0" w:type="dxa"/>
            <w:left w:w="108" w:type="dxa"/>
            <w:bottom w:w="0" w:type="dxa"/>
            <w:right w:w="108" w:type="dxa"/>
          </w:tblCellMar>
        </w:tblPrEx>
        <w:trPr>
          <w:trHeight w:val="585"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BF2E4C">
            <w:pPr>
              <w:widowControl/>
              <w:jc w:val="center"/>
              <w:textAlignment w:val="center"/>
              <w:rPr>
                <w:rFonts w:ascii="宋体" w:hAnsi="宋体" w:cs="宋体"/>
                <w:b/>
                <w:bCs/>
                <w:sz w:val="24"/>
              </w:rPr>
            </w:pPr>
            <w:r>
              <w:rPr>
                <w:rFonts w:hint="eastAsia" w:ascii="宋体" w:hAnsi="宋体" w:cs="宋体"/>
                <w:b/>
                <w:bCs/>
                <w:kern w:val="0"/>
                <w:sz w:val="24"/>
                <w:lang w:bidi="ar"/>
              </w:rPr>
              <w:t>序号</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5FE0CB">
            <w:pPr>
              <w:widowControl/>
              <w:jc w:val="center"/>
              <w:textAlignment w:val="center"/>
              <w:rPr>
                <w:rFonts w:ascii="宋体" w:hAnsi="宋体" w:cs="宋体"/>
                <w:b/>
                <w:bCs/>
                <w:sz w:val="24"/>
              </w:rPr>
            </w:pPr>
            <w:r>
              <w:rPr>
                <w:rFonts w:hint="eastAsia" w:ascii="宋体" w:hAnsi="宋体" w:cs="宋体"/>
                <w:b/>
                <w:bCs/>
                <w:kern w:val="0"/>
                <w:sz w:val="24"/>
                <w:lang w:bidi="ar"/>
              </w:rPr>
              <w:t>评分因素</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3F94A7">
            <w:pPr>
              <w:widowControl/>
              <w:jc w:val="center"/>
              <w:textAlignment w:val="center"/>
              <w:rPr>
                <w:rFonts w:ascii="宋体" w:hAnsi="宋体" w:cs="宋体"/>
                <w:b/>
                <w:bCs/>
                <w:sz w:val="24"/>
              </w:rPr>
            </w:pPr>
            <w:r>
              <w:rPr>
                <w:rFonts w:hint="eastAsia" w:ascii="宋体" w:hAnsi="宋体" w:cs="宋体"/>
                <w:b/>
                <w:bCs/>
                <w:kern w:val="0"/>
                <w:sz w:val="24"/>
                <w:lang w:bidi="ar"/>
              </w:rPr>
              <w:t>分值</w:t>
            </w:r>
          </w:p>
        </w:tc>
        <w:tc>
          <w:tcPr>
            <w:tcW w:w="6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369A65">
            <w:pPr>
              <w:widowControl/>
              <w:jc w:val="center"/>
              <w:textAlignment w:val="center"/>
              <w:rPr>
                <w:rFonts w:ascii="宋体" w:hAnsi="宋体" w:cs="宋体"/>
                <w:b/>
                <w:bCs/>
                <w:sz w:val="24"/>
              </w:rPr>
            </w:pPr>
            <w:r>
              <w:rPr>
                <w:rFonts w:hint="eastAsia" w:ascii="宋体" w:hAnsi="宋体" w:cs="宋体"/>
                <w:b/>
                <w:bCs/>
                <w:kern w:val="0"/>
                <w:sz w:val="24"/>
                <w:lang w:bidi="ar"/>
              </w:rPr>
              <w:t>评分标准</w:t>
            </w:r>
          </w:p>
        </w:tc>
      </w:tr>
      <w:tr w14:paraId="456B6417">
        <w:tblPrEx>
          <w:tblCellMar>
            <w:top w:w="0" w:type="dxa"/>
            <w:left w:w="108" w:type="dxa"/>
            <w:bottom w:w="0" w:type="dxa"/>
            <w:right w:w="108" w:type="dxa"/>
          </w:tblCellMar>
        </w:tblPrEx>
        <w:trPr>
          <w:trHeight w:val="312"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BD9B4">
            <w:pPr>
              <w:jc w:val="center"/>
              <w:rPr>
                <w:rFonts w:ascii="宋体" w:hAnsi="宋体" w:cs="宋体"/>
                <w:b/>
                <w:bCs/>
                <w:sz w:val="24"/>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BB6C5">
            <w:pPr>
              <w:jc w:val="center"/>
              <w:rPr>
                <w:rFonts w:ascii="宋体" w:hAnsi="宋体" w:cs="宋体"/>
                <w:b/>
                <w:bCs/>
                <w:sz w:val="24"/>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F5805">
            <w:pPr>
              <w:jc w:val="center"/>
              <w:rPr>
                <w:rFonts w:ascii="宋体" w:hAnsi="宋体" w:cs="宋体"/>
                <w:b/>
                <w:bCs/>
                <w:sz w:val="24"/>
              </w:rPr>
            </w:pPr>
          </w:p>
        </w:tc>
        <w:tc>
          <w:tcPr>
            <w:tcW w:w="6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070FE">
            <w:pPr>
              <w:jc w:val="center"/>
              <w:rPr>
                <w:rFonts w:ascii="宋体" w:hAnsi="宋体" w:cs="宋体"/>
                <w:b/>
                <w:bCs/>
                <w:sz w:val="24"/>
              </w:rPr>
            </w:pPr>
          </w:p>
        </w:tc>
      </w:tr>
      <w:tr w14:paraId="48775E52">
        <w:tblPrEx>
          <w:tblCellMar>
            <w:top w:w="0" w:type="dxa"/>
            <w:left w:w="108" w:type="dxa"/>
            <w:bottom w:w="0" w:type="dxa"/>
            <w:right w:w="108" w:type="dxa"/>
          </w:tblCellMar>
        </w:tblPrEx>
        <w:trPr>
          <w:trHeight w:val="2222"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B9973">
            <w:pPr>
              <w:widowControl/>
              <w:jc w:val="center"/>
              <w:textAlignment w:val="center"/>
              <w:rPr>
                <w:rFonts w:ascii="宋体" w:hAnsi="宋体" w:cs="宋体"/>
                <w:sz w:val="24"/>
              </w:rPr>
            </w:pPr>
            <w:r>
              <w:rPr>
                <w:rFonts w:hint="eastAsia" w:ascii="宋体" w:hAnsi="宋体" w:cs="宋体"/>
                <w:kern w:val="0"/>
                <w:sz w:val="24"/>
                <w:lang w:bidi="ar"/>
              </w:rPr>
              <w:t>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ABB7A">
            <w:pPr>
              <w:widowControl/>
              <w:jc w:val="center"/>
              <w:textAlignment w:val="center"/>
              <w:rPr>
                <w:rFonts w:ascii="宋体" w:hAnsi="宋体" w:cs="宋体"/>
                <w:sz w:val="24"/>
              </w:rPr>
            </w:pPr>
            <w:r>
              <w:rPr>
                <w:rFonts w:hint="eastAsia" w:ascii="宋体" w:hAnsi="宋体" w:cs="宋体"/>
                <w:kern w:val="0"/>
                <w:sz w:val="24"/>
                <w:lang w:bidi="ar"/>
              </w:rPr>
              <w:t>柴油价格</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703F9">
            <w:pPr>
              <w:widowControl/>
              <w:jc w:val="center"/>
              <w:textAlignment w:val="center"/>
              <w:rPr>
                <w:rFonts w:ascii="宋体" w:hAnsi="宋体" w:cs="宋体"/>
                <w:sz w:val="24"/>
              </w:rPr>
            </w:pPr>
            <w:r>
              <w:rPr>
                <w:rFonts w:hint="eastAsia" w:ascii="宋体" w:hAnsi="宋体" w:cs="宋体"/>
                <w:kern w:val="0"/>
                <w:sz w:val="24"/>
                <w:lang w:bidi="ar"/>
              </w:rPr>
              <w:t>50</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73610">
            <w:pPr>
              <w:pStyle w:val="9"/>
              <w:rPr>
                <w:rFonts w:hint="eastAsia" w:ascii="宋体" w:hAnsi="宋体" w:cs="宋体"/>
                <w:kern w:val="0"/>
                <w:sz w:val="24"/>
                <w:lang w:bidi="ar"/>
              </w:rPr>
            </w:pPr>
            <w:r>
              <w:rPr>
                <w:rFonts w:hint="eastAsia" w:ascii="宋体" w:hAnsi="宋体" w:cs="宋体"/>
                <w:kern w:val="0"/>
                <w:sz w:val="24"/>
                <w:lang w:bidi="ar"/>
              </w:rPr>
              <w:t>价格分采用低价优先法计算，取所有报价中最高优惠率作为基准价，其他报价人的价格分按照下列公式计算:</w:t>
            </w:r>
          </w:p>
          <w:p w14:paraId="77503A53">
            <w:pPr>
              <w:pStyle w:val="9"/>
              <w:rPr>
                <w:rFonts w:ascii="宋体" w:hAnsi="宋体" w:cs="宋体"/>
                <w:kern w:val="0"/>
                <w:sz w:val="24"/>
                <w:lang w:bidi="ar"/>
              </w:rPr>
            </w:pPr>
            <w:r>
              <w:rPr>
                <w:rFonts w:hint="eastAsia" w:ascii="宋体" w:hAnsi="宋体" w:cs="宋体"/>
                <w:kern w:val="0"/>
                <w:sz w:val="24"/>
                <w:lang w:bidi="ar"/>
              </w:rPr>
              <w:t>报价得分=(1-基准价/1-报价人优惠率)x50（小数点后保留两位)</w:t>
            </w:r>
          </w:p>
          <w:p w14:paraId="682C75C9">
            <w:pPr>
              <w:widowControl/>
              <w:jc w:val="left"/>
              <w:textAlignment w:val="center"/>
              <w:rPr>
                <w:rFonts w:ascii="宋体" w:hAnsi="宋体" w:cs="宋体"/>
                <w:kern w:val="0"/>
                <w:sz w:val="24"/>
                <w:lang w:bidi="ar"/>
              </w:rPr>
            </w:pPr>
          </w:p>
          <w:p w14:paraId="0CAF9F1A">
            <w:pPr>
              <w:widowControl/>
              <w:jc w:val="left"/>
              <w:textAlignment w:val="center"/>
              <w:rPr>
                <w:rFonts w:ascii="宋体" w:hAnsi="宋体" w:cs="宋体"/>
                <w:sz w:val="24"/>
              </w:rPr>
            </w:pPr>
            <w:r>
              <w:rPr>
                <w:rFonts w:hint="eastAsia" w:ascii="宋体" w:hAnsi="宋体" w:cs="宋体"/>
                <w:kern w:val="0"/>
                <w:sz w:val="24"/>
                <w:lang w:bidi="ar"/>
              </w:rPr>
              <w:t>注:投标优惠率低于2.5%，投标无效</w:t>
            </w:r>
          </w:p>
        </w:tc>
      </w:tr>
      <w:tr w14:paraId="450E294E">
        <w:tblPrEx>
          <w:tblCellMar>
            <w:top w:w="0" w:type="dxa"/>
            <w:left w:w="108" w:type="dxa"/>
            <w:bottom w:w="0" w:type="dxa"/>
            <w:right w:w="108" w:type="dxa"/>
          </w:tblCellMar>
        </w:tblPrEx>
        <w:trPr>
          <w:trHeight w:val="19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A3A45">
            <w:pPr>
              <w:widowControl/>
              <w:jc w:val="center"/>
              <w:textAlignment w:val="center"/>
              <w:rPr>
                <w:rFonts w:ascii="宋体" w:hAnsi="宋体" w:cs="宋体"/>
                <w:sz w:val="24"/>
              </w:rPr>
            </w:pPr>
            <w:r>
              <w:rPr>
                <w:rFonts w:hint="eastAsia" w:ascii="宋体" w:hAnsi="宋体" w:cs="宋体"/>
                <w:kern w:val="0"/>
                <w:sz w:val="24"/>
                <w:lang w:bidi="ar"/>
              </w:rPr>
              <w:t>2</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A31AC">
            <w:pPr>
              <w:widowControl/>
              <w:jc w:val="center"/>
              <w:textAlignment w:val="center"/>
              <w:rPr>
                <w:rFonts w:ascii="宋体" w:hAnsi="宋体" w:cs="宋体"/>
                <w:sz w:val="24"/>
              </w:rPr>
            </w:pPr>
            <w:r>
              <w:rPr>
                <w:rFonts w:hint="eastAsia" w:ascii="宋体" w:hAnsi="宋体" w:cs="宋体"/>
                <w:kern w:val="0"/>
                <w:sz w:val="24"/>
                <w:lang w:bidi="ar"/>
              </w:rPr>
              <w:t>汽油价格</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06DB3">
            <w:pPr>
              <w:widowControl/>
              <w:jc w:val="center"/>
              <w:textAlignment w:val="center"/>
              <w:rPr>
                <w:rFonts w:ascii="宋体" w:hAnsi="宋体" w:cs="宋体"/>
                <w:sz w:val="24"/>
              </w:rPr>
            </w:pPr>
            <w:r>
              <w:rPr>
                <w:rFonts w:hint="eastAsia" w:ascii="宋体" w:hAnsi="宋体" w:cs="宋体"/>
                <w:kern w:val="0"/>
                <w:sz w:val="24"/>
                <w:lang w:bidi="ar"/>
              </w:rPr>
              <w:t>10</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57DF3">
            <w:pPr>
              <w:widowControl/>
              <w:jc w:val="left"/>
              <w:textAlignment w:val="center"/>
              <w:rPr>
                <w:rFonts w:hint="eastAsia" w:ascii="宋体" w:hAnsi="宋体" w:cs="宋体"/>
                <w:kern w:val="0"/>
                <w:sz w:val="24"/>
                <w:lang w:bidi="ar"/>
              </w:rPr>
            </w:pPr>
            <w:r>
              <w:rPr>
                <w:rFonts w:hint="eastAsia" w:ascii="宋体" w:hAnsi="宋体" w:cs="宋体"/>
                <w:kern w:val="0"/>
                <w:sz w:val="24"/>
                <w:lang w:bidi="ar"/>
              </w:rPr>
              <w:t>价格分采用低价优先法计算，取所有报价中最高优惠率作为基准价，其他报价人的价格分按照下列公式计算:</w:t>
            </w:r>
          </w:p>
          <w:p w14:paraId="0E8DBB80">
            <w:pPr>
              <w:widowControl/>
              <w:jc w:val="left"/>
              <w:textAlignment w:val="center"/>
              <w:rPr>
                <w:rFonts w:ascii="宋体" w:hAnsi="宋体" w:cs="宋体"/>
                <w:kern w:val="0"/>
                <w:sz w:val="24"/>
                <w:lang w:bidi="ar"/>
              </w:rPr>
            </w:pPr>
            <w:r>
              <w:rPr>
                <w:rFonts w:hint="eastAsia" w:ascii="宋体" w:hAnsi="宋体" w:cs="宋体"/>
                <w:kern w:val="0"/>
                <w:sz w:val="24"/>
                <w:lang w:bidi="ar"/>
              </w:rPr>
              <w:t>报价得分=(1-基准价/1-报价人优惠率)x</w:t>
            </w:r>
            <w:r>
              <w:rPr>
                <w:rFonts w:hint="eastAsia" w:ascii="宋体" w:hAnsi="宋体" w:cs="宋体"/>
                <w:kern w:val="0"/>
                <w:sz w:val="24"/>
                <w:lang w:val="en-US" w:eastAsia="zh-CN" w:bidi="ar"/>
              </w:rPr>
              <w:t>1</w:t>
            </w:r>
            <w:r>
              <w:rPr>
                <w:rFonts w:hint="eastAsia" w:ascii="宋体" w:hAnsi="宋体" w:cs="宋体"/>
                <w:kern w:val="0"/>
                <w:sz w:val="24"/>
                <w:lang w:bidi="ar"/>
              </w:rPr>
              <w:t>0（小数点后保留两位)</w:t>
            </w:r>
          </w:p>
          <w:p w14:paraId="3569218D">
            <w:pPr>
              <w:widowControl/>
              <w:jc w:val="left"/>
              <w:textAlignment w:val="center"/>
              <w:rPr>
                <w:rFonts w:hint="eastAsia" w:ascii="宋体" w:hAnsi="宋体" w:cs="宋体"/>
                <w:kern w:val="0"/>
                <w:sz w:val="24"/>
                <w:lang w:bidi="ar"/>
              </w:rPr>
            </w:pPr>
          </w:p>
          <w:p w14:paraId="6E5EC73C">
            <w:pPr>
              <w:widowControl/>
              <w:jc w:val="left"/>
              <w:textAlignment w:val="center"/>
              <w:rPr>
                <w:rFonts w:ascii="宋体" w:hAnsi="宋体" w:cs="宋体"/>
                <w:sz w:val="24"/>
              </w:rPr>
            </w:pPr>
            <w:r>
              <w:rPr>
                <w:rFonts w:hint="eastAsia" w:ascii="宋体" w:hAnsi="宋体" w:cs="宋体"/>
                <w:kern w:val="0"/>
                <w:sz w:val="24"/>
                <w:lang w:bidi="ar"/>
              </w:rPr>
              <w:t>注:投标优惠率低于2.5%，投标无效</w:t>
            </w:r>
          </w:p>
        </w:tc>
      </w:tr>
      <w:tr w14:paraId="65BF4FCD">
        <w:tblPrEx>
          <w:tblCellMar>
            <w:top w:w="0" w:type="dxa"/>
            <w:left w:w="108" w:type="dxa"/>
            <w:bottom w:w="0" w:type="dxa"/>
            <w:right w:w="108" w:type="dxa"/>
          </w:tblCellMar>
        </w:tblPrEx>
        <w:trPr>
          <w:trHeight w:val="4289"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36D60">
            <w:pPr>
              <w:widowControl/>
              <w:jc w:val="center"/>
              <w:textAlignment w:val="center"/>
              <w:rPr>
                <w:rFonts w:ascii="宋体" w:hAnsi="宋体" w:cs="宋体"/>
                <w:sz w:val="24"/>
              </w:rPr>
            </w:pPr>
            <w:r>
              <w:rPr>
                <w:rFonts w:hint="eastAsia" w:ascii="宋体" w:hAnsi="宋体" w:cs="宋体"/>
                <w:kern w:val="0"/>
                <w:sz w:val="24"/>
                <w:lang w:bidi="ar"/>
              </w:rPr>
              <w:t>3</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7E61F">
            <w:pPr>
              <w:widowControl/>
              <w:jc w:val="center"/>
              <w:textAlignment w:val="center"/>
              <w:rPr>
                <w:rFonts w:ascii="宋体" w:hAnsi="宋体" w:cs="宋体"/>
                <w:sz w:val="24"/>
              </w:rPr>
            </w:pPr>
            <w:r>
              <w:rPr>
                <w:rFonts w:hint="eastAsia" w:ascii="宋体" w:hAnsi="宋体" w:cs="宋体"/>
                <w:kern w:val="0"/>
                <w:sz w:val="24"/>
                <w:lang w:bidi="ar"/>
              </w:rPr>
              <w:t>服务方案分</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422D5">
            <w:pPr>
              <w:widowControl/>
              <w:jc w:val="center"/>
              <w:textAlignment w:val="center"/>
              <w:rPr>
                <w:rFonts w:ascii="宋体" w:hAnsi="宋体" w:cs="宋体"/>
                <w:sz w:val="24"/>
              </w:rPr>
            </w:pPr>
            <w:r>
              <w:rPr>
                <w:rFonts w:hint="eastAsia" w:ascii="宋体" w:hAnsi="宋体" w:cs="宋体"/>
                <w:kern w:val="0"/>
                <w:sz w:val="24"/>
                <w:lang w:bidi="ar"/>
              </w:rPr>
              <w:t>20</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90A9C">
            <w:pPr>
              <w:widowControl/>
              <w:jc w:val="left"/>
              <w:textAlignment w:val="center"/>
              <w:rPr>
                <w:rFonts w:ascii="宋体" w:hAnsi="宋体" w:cs="宋体"/>
                <w:kern w:val="0"/>
                <w:sz w:val="24"/>
                <w:lang w:bidi="ar"/>
              </w:rPr>
            </w:pPr>
            <w:r>
              <w:rPr>
                <w:rFonts w:hint="eastAsia" w:ascii="宋体" w:hAnsi="宋体" w:cs="宋体"/>
                <w:kern w:val="0"/>
                <w:sz w:val="24"/>
                <w:lang w:bidi="ar"/>
              </w:rPr>
              <w:t>根据投标人提供的服务方案进行评审</w:t>
            </w:r>
            <w:r>
              <w:rPr>
                <w:rFonts w:ascii="宋体" w:hAnsi="宋体" w:cs="宋体"/>
                <w:kern w:val="0"/>
                <w:sz w:val="24"/>
                <w:lang w:bidi="ar"/>
              </w:rPr>
              <w:t>，</w:t>
            </w:r>
            <w:r>
              <w:rPr>
                <w:rFonts w:hint="eastAsia" w:ascii="宋体" w:hAnsi="宋体" w:cs="宋体"/>
                <w:kern w:val="0"/>
                <w:sz w:val="24"/>
                <w:lang w:bidi="ar"/>
              </w:rPr>
              <w:t>方案包括但不限于：①服务流程；②服务人员；③服务能力（包括加油地点、方式、时间及应急处理流程、售后服务等）</w:t>
            </w:r>
            <w:r>
              <w:rPr>
                <w:rFonts w:ascii="宋体" w:hAnsi="宋体" w:cs="宋体"/>
                <w:kern w:val="0"/>
                <w:sz w:val="24"/>
                <w:lang w:bidi="ar"/>
              </w:rPr>
              <w:t>；</w:t>
            </w:r>
            <w:r>
              <w:rPr>
                <w:rFonts w:hint="eastAsia" w:ascii="宋体" w:hAnsi="宋体" w:cs="宋体"/>
                <w:kern w:val="0"/>
                <w:sz w:val="24"/>
                <w:lang w:bidi="ar"/>
              </w:rPr>
              <w:t>④</w:t>
            </w:r>
            <w:r>
              <w:rPr>
                <w:rFonts w:ascii="宋体" w:hAnsi="宋体" w:cs="宋体"/>
                <w:kern w:val="0"/>
                <w:sz w:val="24"/>
                <w:lang w:bidi="ar"/>
              </w:rPr>
              <w:t>安全监管措施：</w:t>
            </w:r>
          </w:p>
          <w:p w14:paraId="67197FC3">
            <w:pPr>
              <w:pStyle w:val="9"/>
              <w:rPr>
                <w:rFonts w:hint="eastAsia" w:ascii="宋体" w:hAnsi="宋体" w:cs="宋体"/>
                <w:kern w:val="0"/>
                <w:sz w:val="24"/>
                <w:lang w:bidi="ar"/>
              </w:rPr>
            </w:pPr>
            <w:r>
              <w:rPr>
                <w:rFonts w:hint="eastAsia" w:ascii="宋体" w:hAnsi="宋体" w:cs="宋体"/>
                <w:kern w:val="0"/>
                <w:sz w:val="24"/>
                <w:lang w:bidi="ar"/>
              </w:rPr>
              <w:t>一档（1分）：方案内容欠缺，不完善，整体针对性、可操作性差，不能满足采购需求；</w:t>
            </w:r>
          </w:p>
          <w:p w14:paraId="5A6730FF">
            <w:pPr>
              <w:pStyle w:val="9"/>
              <w:rPr>
                <w:rFonts w:hint="eastAsia" w:ascii="宋体" w:hAnsi="宋体" w:cs="宋体"/>
                <w:kern w:val="0"/>
                <w:sz w:val="24"/>
                <w:lang w:bidi="ar"/>
              </w:rPr>
            </w:pPr>
            <w:r>
              <w:rPr>
                <w:rFonts w:hint="eastAsia" w:ascii="宋体" w:hAnsi="宋体" w:cs="宋体"/>
                <w:kern w:val="0"/>
                <w:sz w:val="24"/>
                <w:lang w:bidi="ar"/>
              </w:rPr>
              <w:t>二档（10分）：方案内容不够完整，不够全面，整体针对性、可操作性一般，部分满足采购需求；</w:t>
            </w:r>
          </w:p>
          <w:p w14:paraId="5A1CAA45">
            <w:pPr>
              <w:pStyle w:val="9"/>
              <w:rPr>
                <w:rFonts w:hint="eastAsia" w:ascii="宋体" w:hAnsi="宋体" w:cs="宋体"/>
                <w:kern w:val="0"/>
                <w:sz w:val="24"/>
                <w:lang w:bidi="ar"/>
              </w:rPr>
            </w:pPr>
            <w:r>
              <w:rPr>
                <w:rFonts w:hint="eastAsia" w:ascii="宋体" w:hAnsi="宋体" w:cs="宋体"/>
                <w:kern w:val="0"/>
                <w:sz w:val="24"/>
                <w:lang w:bidi="ar"/>
              </w:rPr>
              <w:t>三档（15分）：方案内容较完整、较全面，整体针对性、可操作性较强，满足采购需求；</w:t>
            </w:r>
          </w:p>
          <w:p w14:paraId="72BFAB1D">
            <w:pPr>
              <w:pStyle w:val="9"/>
              <w:rPr>
                <w:rFonts w:hint="eastAsia" w:ascii="宋体" w:hAnsi="宋体" w:cs="宋体"/>
                <w:kern w:val="0"/>
                <w:sz w:val="24"/>
                <w:lang w:bidi="ar"/>
              </w:rPr>
            </w:pPr>
            <w:r>
              <w:rPr>
                <w:rFonts w:hint="eastAsia" w:ascii="宋体" w:hAnsi="宋体" w:cs="宋体"/>
                <w:kern w:val="0"/>
                <w:sz w:val="24"/>
                <w:lang w:bidi="ar"/>
              </w:rPr>
              <w:t>四档（20分）：方案内容完整、全面，整体针对性、可操作性强，完全满足采购需求或优于采购需求。</w:t>
            </w:r>
          </w:p>
          <w:p w14:paraId="133EA7FD">
            <w:pPr>
              <w:widowControl/>
              <w:jc w:val="left"/>
              <w:textAlignment w:val="center"/>
            </w:pPr>
            <w:r>
              <w:rPr>
                <w:rFonts w:hint="eastAsia" w:ascii="宋体" w:hAnsi="宋体" w:cs="宋体"/>
                <w:kern w:val="0"/>
                <w:sz w:val="24"/>
                <w:lang w:bidi="ar"/>
              </w:rPr>
              <w:t>【注：未提供服务方案或未达到一档档次的不得分</w:t>
            </w:r>
            <w:r>
              <w:rPr>
                <w:rFonts w:hint="eastAsia" w:ascii="宋体" w:hAnsi="宋体" w:cs="宋体"/>
                <w:kern w:val="0"/>
                <w:sz w:val="24"/>
                <w:lang w:eastAsia="zh-CN" w:bidi="ar"/>
              </w:rPr>
              <w:t>。</w:t>
            </w:r>
            <w:r>
              <w:rPr>
                <w:rFonts w:hint="eastAsia" w:ascii="宋体" w:hAnsi="宋体" w:cs="宋体"/>
                <w:kern w:val="0"/>
                <w:sz w:val="24"/>
                <w:lang w:bidi="ar"/>
              </w:rPr>
              <w:t>】</w:t>
            </w:r>
          </w:p>
        </w:tc>
      </w:tr>
      <w:tr w14:paraId="1EC6D935">
        <w:tblPrEx>
          <w:tblCellMar>
            <w:top w:w="0" w:type="dxa"/>
            <w:left w:w="108" w:type="dxa"/>
            <w:bottom w:w="0" w:type="dxa"/>
            <w:right w:w="108" w:type="dxa"/>
          </w:tblCellMar>
        </w:tblPrEx>
        <w:trPr>
          <w:trHeight w:val="2622"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562D5">
            <w:pPr>
              <w:widowControl/>
              <w:jc w:val="center"/>
              <w:textAlignment w:val="center"/>
              <w:rPr>
                <w:rFonts w:ascii="宋体" w:hAnsi="宋体" w:cs="宋体"/>
                <w:sz w:val="24"/>
              </w:rPr>
            </w:pPr>
            <w:r>
              <w:rPr>
                <w:rFonts w:hint="eastAsia" w:ascii="宋体" w:hAnsi="宋体" w:cs="宋体"/>
                <w:kern w:val="0"/>
                <w:sz w:val="24"/>
                <w:lang w:bidi="ar"/>
              </w:rPr>
              <w:t>4</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D6CC9">
            <w:pPr>
              <w:widowControl/>
              <w:jc w:val="center"/>
              <w:textAlignment w:val="center"/>
              <w:rPr>
                <w:rFonts w:hint="eastAsia" w:ascii="宋体" w:hAnsi="宋体" w:eastAsia="宋体" w:cs="宋体"/>
                <w:sz w:val="24"/>
                <w:lang w:val="en-US" w:eastAsia="zh-CN"/>
              </w:rPr>
            </w:pPr>
            <w:r>
              <w:rPr>
                <w:rFonts w:hint="eastAsia" w:ascii="宋体" w:hAnsi="宋体" w:cs="宋体"/>
                <w:kern w:val="0"/>
                <w:sz w:val="24"/>
                <w:lang w:bidi="ar"/>
              </w:rPr>
              <w:t>经营场所</w:t>
            </w:r>
            <w:r>
              <w:rPr>
                <w:rFonts w:hint="eastAsia" w:ascii="宋体" w:hAnsi="宋体" w:cs="宋体"/>
                <w:kern w:val="0"/>
                <w:sz w:val="24"/>
                <w:lang w:val="en-US" w:eastAsia="zh-CN" w:bidi="ar"/>
              </w:rPr>
              <w:t>分</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3019B">
            <w:pPr>
              <w:widowControl/>
              <w:jc w:val="center"/>
              <w:textAlignment w:val="center"/>
              <w:rPr>
                <w:rFonts w:ascii="宋体" w:hAnsi="宋体" w:cs="宋体"/>
                <w:sz w:val="24"/>
              </w:rPr>
            </w:pPr>
            <w:r>
              <w:rPr>
                <w:rFonts w:hint="eastAsia" w:ascii="宋体" w:hAnsi="宋体" w:cs="宋体"/>
                <w:kern w:val="0"/>
                <w:sz w:val="24"/>
                <w:lang w:bidi="ar"/>
              </w:rPr>
              <w:t>15</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6A13A">
            <w:pPr>
              <w:pStyle w:val="9"/>
              <w:rPr>
                <w:rFonts w:hint="eastAsia" w:ascii="宋体" w:hAnsi="宋体" w:cs="宋体"/>
                <w:kern w:val="0"/>
                <w:sz w:val="24"/>
                <w:lang w:bidi="ar"/>
              </w:rPr>
            </w:pPr>
            <w:r>
              <w:rPr>
                <w:rFonts w:hint="eastAsia" w:ascii="宋体" w:hAnsi="宋体" w:cs="宋体"/>
                <w:kern w:val="0"/>
                <w:sz w:val="24"/>
                <w:lang w:bidi="ar"/>
              </w:rPr>
              <w:t>投标人在桂林市及周边县城具有固定加油网点≤20座的得4分；拥有20座＜固定的加油网点≤50座得7分，拥有固定的加油网点＞50座得10分；</w:t>
            </w:r>
            <w:r>
              <w:rPr>
                <w:rFonts w:hint="eastAsia" w:ascii="宋体" w:hAnsi="宋体" w:cs="宋体"/>
                <w:kern w:val="0"/>
                <w:sz w:val="24"/>
                <w:lang w:bidi="ar"/>
              </w:rPr>
              <w:br w:type="textWrapping"/>
            </w:r>
            <w:r>
              <w:rPr>
                <w:rFonts w:hint="eastAsia" w:ascii="宋体" w:hAnsi="宋体" w:cs="宋体"/>
                <w:kern w:val="0"/>
                <w:sz w:val="24"/>
                <w:lang w:bidi="ar"/>
              </w:rPr>
              <w:t>在以上基础上，投标人每个县份都有加油站的加2分，在桂林（含各市、县）区域高速公路服务区有加油站的加</w:t>
            </w:r>
            <w:r>
              <w:rPr>
                <w:rFonts w:hint="eastAsia" w:ascii="宋体" w:hAnsi="宋体" w:cs="宋体"/>
                <w:kern w:val="0"/>
                <w:sz w:val="24"/>
                <w:lang w:val="en-US" w:eastAsia="zh-CN" w:bidi="ar"/>
              </w:rPr>
              <w:t>3</w:t>
            </w:r>
            <w:r>
              <w:rPr>
                <w:rFonts w:hint="eastAsia" w:ascii="宋体" w:hAnsi="宋体" w:cs="宋体"/>
                <w:kern w:val="0"/>
                <w:sz w:val="24"/>
                <w:lang w:bidi="ar"/>
              </w:rPr>
              <w:t>分。</w:t>
            </w:r>
          </w:p>
          <w:p w14:paraId="5E708C65">
            <w:pPr>
              <w:widowControl/>
              <w:numPr>
                <w:ilvl w:val="255"/>
                <w:numId w:val="0"/>
              </w:numPr>
              <w:jc w:val="left"/>
              <w:textAlignment w:val="center"/>
              <w:rPr>
                <w:rFonts w:ascii="宋体" w:hAnsi="宋体" w:cs="宋体"/>
                <w:sz w:val="24"/>
              </w:rPr>
            </w:pPr>
            <w:r>
              <w:rPr>
                <w:rFonts w:hint="eastAsia" w:ascii="宋体" w:hAnsi="宋体" w:cs="宋体"/>
                <w:kern w:val="0"/>
                <w:sz w:val="24"/>
                <w:lang w:bidi="ar"/>
              </w:rPr>
              <w:t>（注:以上均提供加油网点或加油站的营业执照复印件加盖公章）</w:t>
            </w:r>
            <w:r>
              <w:rPr>
                <w:rFonts w:hint="eastAsia" w:ascii="宋体" w:hAnsi="宋体" w:cs="宋体"/>
                <w:kern w:val="0"/>
                <w:sz w:val="24"/>
                <w:lang w:bidi="ar"/>
              </w:rPr>
              <w:br w:type="textWrapping"/>
            </w:r>
            <w:r>
              <w:rPr>
                <w:rFonts w:hint="eastAsia" w:ascii="宋体" w:hAnsi="宋体" w:cs="宋体"/>
                <w:kern w:val="0"/>
                <w:sz w:val="24"/>
                <w:lang w:bidi="ar"/>
              </w:rPr>
              <w:t>中标后进行现地核查，造假将取消中标资格。</w:t>
            </w:r>
          </w:p>
        </w:tc>
      </w:tr>
      <w:tr w14:paraId="227EA512">
        <w:tblPrEx>
          <w:tblCellMar>
            <w:top w:w="0" w:type="dxa"/>
            <w:left w:w="108" w:type="dxa"/>
            <w:bottom w:w="0" w:type="dxa"/>
            <w:right w:w="108" w:type="dxa"/>
          </w:tblCellMar>
        </w:tblPrEx>
        <w:trPr>
          <w:trHeight w:val="1044"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789EA">
            <w:pPr>
              <w:widowControl/>
              <w:jc w:val="center"/>
              <w:textAlignment w:val="center"/>
              <w:rPr>
                <w:rFonts w:ascii="宋体" w:hAnsi="宋体" w:cs="宋体"/>
                <w:sz w:val="24"/>
              </w:rPr>
            </w:pPr>
            <w:r>
              <w:rPr>
                <w:rFonts w:hint="eastAsia" w:ascii="宋体" w:hAnsi="宋体" w:cs="宋体"/>
                <w:kern w:val="0"/>
                <w:sz w:val="24"/>
                <w:lang w:bidi="ar"/>
              </w:rPr>
              <w:t>5</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2B0AB">
            <w:pPr>
              <w:widowControl/>
              <w:jc w:val="center"/>
              <w:textAlignment w:val="center"/>
              <w:rPr>
                <w:rFonts w:ascii="宋体" w:hAnsi="宋体" w:cs="宋体"/>
                <w:sz w:val="24"/>
              </w:rPr>
            </w:pPr>
            <w:r>
              <w:rPr>
                <w:rFonts w:hint="eastAsia" w:ascii="宋体" w:hAnsi="宋体" w:cs="宋体"/>
                <w:kern w:val="0"/>
                <w:sz w:val="24"/>
                <w:lang w:bidi="ar"/>
              </w:rPr>
              <w:t>信誉业绩分</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08815">
            <w:pPr>
              <w:widowControl/>
              <w:jc w:val="center"/>
              <w:textAlignment w:val="center"/>
              <w:rPr>
                <w:rFonts w:ascii="宋体" w:hAnsi="宋体" w:cs="宋体"/>
                <w:sz w:val="24"/>
              </w:rPr>
            </w:pPr>
            <w:r>
              <w:rPr>
                <w:rFonts w:hint="eastAsia" w:ascii="宋体" w:hAnsi="宋体" w:cs="宋体"/>
                <w:kern w:val="0"/>
                <w:sz w:val="24"/>
                <w:lang w:bidi="ar"/>
              </w:rPr>
              <w:t>5</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48A57">
            <w:pPr>
              <w:pStyle w:val="9"/>
              <w:rPr>
                <w:rFonts w:hint="eastAsia" w:ascii="宋体" w:hAnsi="宋体" w:eastAsia="宋体" w:cs="宋体"/>
                <w:sz w:val="24"/>
                <w:lang w:eastAsia="zh-CN"/>
              </w:rPr>
            </w:pPr>
            <w:r>
              <w:rPr>
                <w:rFonts w:hint="eastAsia" w:ascii="宋体" w:hAnsi="宋体" w:cs="宋体"/>
                <w:kern w:val="0"/>
                <w:sz w:val="24"/>
                <w:lang w:bidi="ar"/>
              </w:rPr>
              <w:t>投标人2022年以来荣获政府有关部门或行业管理单位颁发的与经营服务、安全生产管理相关的奖项或荣誉的，每一项得1分，满分5分</w:t>
            </w:r>
            <w:r>
              <w:rPr>
                <w:rFonts w:hint="eastAsia" w:ascii="宋体" w:hAnsi="宋体" w:cs="宋体"/>
                <w:kern w:val="0"/>
                <w:sz w:val="24"/>
                <w:lang w:eastAsia="zh-CN" w:bidi="ar"/>
              </w:rPr>
              <w:t>。</w:t>
            </w:r>
          </w:p>
        </w:tc>
      </w:tr>
    </w:tbl>
    <w:p w14:paraId="6F8F6EEA">
      <w:pPr>
        <w:spacing w:line="300" w:lineRule="exact"/>
        <w:rPr>
          <w:rFonts w:ascii="宋体" w:hAnsi="宋体" w:cs="宋体"/>
          <w:b/>
          <w:sz w:val="30"/>
          <w:szCs w:val="30"/>
        </w:rPr>
      </w:pPr>
      <w:r>
        <w:rPr>
          <w:rFonts w:hint="eastAsia" w:ascii="宋体" w:hAnsi="宋体" w:cs="宋体"/>
          <w:b/>
          <w:szCs w:val="21"/>
        </w:rPr>
        <w:br w:type="page"/>
      </w:r>
    </w:p>
    <w:p w14:paraId="6C9EFCDE">
      <w:pPr>
        <w:pStyle w:val="3"/>
        <w:jc w:val="center"/>
        <w:rPr>
          <w:sz w:val="30"/>
          <w:szCs w:val="30"/>
        </w:rPr>
      </w:pPr>
      <w:r>
        <w:rPr>
          <w:rFonts w:hint="eastAsia"/>
          <w:sz w:val="30"/>
          <w:szCs w:val="30"/>
        </w:rPr>
        <w:t>第四章  投标文件格式</w:t>
      </w:r>
    </w:p>
    <w:p w14:paraId="2A57C636">
      <w:pPr>
        <w:spacing w:line="440" w:lineRule="exact"/>
        <w:jc w:val="center"/>
        <w:rPr>
          <w:rFonts w:ascii="宋体" w:hAnsi="宋体" w:cs="宋体"/>
          <w:b/>
          <w:sz w:val="30"/>
          <w:szCs w:val="30"/>
        </w:rPr>
      </w:pPr>
      <w:r>
        <w:rPr>
          <w:rFonts w:hint="eastAsia" w:ascii="宋体" w:hAnsi="宋体" w:cs="宋体"/>
          <w:b/>
          <w:sz w:val="30"/>
          <w:szCs w:val="30"/>
        </w:rPr>
        <w:t>响 应 函 （格式）</w:t>
      </w:r>
    </w:p>
    <w:p w14:paraId="045BDF4F">
      <w:pPr>
        <w:spacing w:line="400" w:lineRule="exact"/>
        <w:ind w:firstLine="480" w:firstLineChars="200"/>
        <w:jc w:val="left"/>
        <w:rPr>
          <w:rFonts w:ascii="宋体" w:hAnsi="宋体" w:cs="宋体"/>
          <w:sz w:val="24"/>
        </w:rPr>
      </w:pPr>
      <w:r>
        <w:rPr>
          <w:rFonts w:hint="eastAsia" w:ascii="宋体" w:hAnsi="宋体" w:cs="宋体"/>
          <w:sz w:val="24"/>
        </w:rPr>
        <w:t>致</w:t>
      </w:r>
      <w:r>
        <w:rPr>
          <w:rFonts w:hint="eastAsia" w:ascii="宋体" w:hAnsi="宋体" w:cs="宋体"/>
          <w:sz w:val="24"/>
          <w:u w:val="single"/>
        </w:rPr>
        <w:t xml:space="preserve">：桂林市人民医院   </w:t>
      </w:r>
    </w:p>
    <w:p w14:paraId="53929D6F">
      <w:pPr>
        <w:pStyle w:val="16"/>
        <w:spacing w:line="440" w:lineRule="exact"/>
        <w:ind w:firstLine="420"/>
        <w:rPr>
          <w:rFonts w:hAnsi="宋体"/>
          <w:sz w:val="24"/>
          <w:szCs w:val="24"/>
        </w:rPr>
      </w:pPr>
      <w:r>
        <w:rPr>
          <w:rFonts w:hint="eastAsia" w:hAnsi="宋体"/>
          <w:sz w:val="24"/>
          <w:szCs w:val="24"/>
        </w:rPr>
        <w:t>根据贵方</w:t>
      </w:r>
      <w:r>
        <w:rPr>
          <w:rFonts w:hint="eastAsia" w:hAnsi="宋体"/>
          <w:sz w:val="24"/>
          <w:szCs w:val="24"/>
          <w:u w:val="single"/>
        </w:rPr>
        <w:t xml:space="preserve">           </w:t>
      </w:r>
      <w:r>
        <w:rPr>
          <w:rFonts w:hint="eastAsia" w:hAnsi="宋体"/>
          <w:sz w:val="24"/>
          <w:szCs w:val="24"/>
        </w:rPr>
        <w:t>项目招标文件，项目编号</w:t>
      </w:r>
      <w:r>
        <w:rPr>
          <w:rFonts w:hint="eastAsia" w:hAnsi="宋体"/>
          <w:sz w:val="24"/>
          <w:szCs w:val="24"/>
          <w:u w:val="single"/>
        </w:rPr>
        <w:t xml:space="preserve">            </w:t>
      </w:r>
      <w:r>
        <w:rPr>
          <w:rFonts w:hint="eastAsia" w:hAnsi="宋体"/>
          <w:sz w:val="24"/>
          <w:szCs w:val="24"/>
        </w:rPr>
        <w:t>，签字代表</w:t>
      </w:r>
      <w:r>
        <w:rPr>
          <w:rFonts w:hint="eastAsia" w:hAnsi="宋体"/>
          <w:sz w:val="24"/>
          <w:szCs w:val="24"/>
          <w:u w:val="single"/>
        </w:rPr>
        <w:t xml:space="preserve">       </w:t>
      </w:r>
      <w:r>
        <w:rPr>
          <w:rFonts w:hint="eastAsia" w:hAnsi="宋体"/>
          <w:sz w:val="24"/>
          <w:szCs w:val="24"/>
        </w:rPr>
        <w:t xml:space="preserve">（姓名）经正式授权并代表投标人 </w:t>
      </w:r>
      <w:r>
        <w:rPr>
          <w:rFonts w:hint="eastAsia" w:hAnsi="宋体"/>
          <w:sz w:val="24"/>
          <w:szCs w:val="24"/>
          <w:u w:val="single"/>
        </w:rPr>
        <w:t xml:space="preserve">                                   （</w:t>
      </w:r>
      <w:r>
        <w:rPr>
          <w:rFonts w:hint="eastAsia" w:hAnsi="宋体"/>
          <w:sz w:val="24"/>
          <w:szCs w:val="24"/>
        </w:rPr>
        <w:t>投标单位名称），提交投标文件</w:t>
      </w:r>
      <w:r>
        <w:rPr>
          <w:rFonts w:hint="eastAsia" w:hAnsi="宋体" w:cs="宋体"/>
          <w:sz w:val="24"/>
          <w:szCs w:val="24"/>
        </w:rPr>
        <w:t>正本一份，副本六份。</w:t>
      </w:r>
    </w:p>
    <w:p w14:paraId="3AAE8CF5">
      <w:pPr>
        <w:pStyle w:val="16"/>
        <w:spacing w:line="440" w:lineRule="exact"/>
        <w:ind w:firstLine="420"/>
        <w:rPr>
          <w:rFonts w:hAnsi="宋体"/>
          <w:sz w:val="24"/>
          <w:szCs w:val="24"/>
        </w:rPr>
      </w:pPr>
      <w:r>
        <w:rPr>
          <w:rFonts w:hint="eastAsia" w:hAnsi="宋体"/>
          <w:sz w:val="24"/>
          <w:szCs w:val="24"/>
        </w:rPr>
        <w:t>据此函，签字代表宣布同意如下：</w:t>
      </w:r>
    </w:p>
    <w:p w14:paraId="5562607B">
      <w:pPr>
        <w:widowControl/>
        <w:numPr>
          <w:ilvl w:val="0"/>
          <w:numId w:val="1"/>
        </w:numPr>
        <w:spacing w:line="400" w:lineRule="exact"/>
        <w:jc w:val="left"/>
        <w:rPr>
          <w:rFonts w:ascii="宋体" w:hAnsi="宋体" w:cs="宋体"/>
          <w:sz w:val="24"/>
        </w:rPr>
      </w:pPr>
      <w:r>
        <w:rPr>
          <w:rFonts w:hint="eastAsia" w:hAnsi="宋体"/>
          <w:sz w:val="24"/>
        </w:rPr>
        <w:t>一、报价表</w:t>
      </w:r>
      <w:r>
        <w:rPr>
          <w:rFonts w:hint="eastAsia" w:ascii="宋体" w:hAnsi="宋体" w:cs="宋体"/>
          <w:sz w:val="24"/>
        </w:rPr>
        <w:t>（单位：人民币  元）</w:t>
      </w:r>
    </w:p>
    <w:tbl>
      <w:tblPr>
        <w:tblStyle w:val="26"/>
        <w:tblpPr w:leftFromText="180" w:rightFromText="180" w:vertAnchor="text" w:horzAnchor="page" w:tblpX="1622" w:tblpY="118"/>
        <w:tblOverlap w:val="never"/>
        <w:tblW w:w="8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3"/>
        <w:gridCol w:w="5697"/>
        <w:gridCol w:w="1620"/>
      </w:tblGrid>
      <w:tr w14:paraId="6DE31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33" w:type="dxa"/>
            <w:vAlign w:val="center"/>
          </w:tcPr>
          <w:p w14:paraId="502EABFD">
            <w:pPr>
              <w:spacing w:line="440" w:lineRule="exact"/>
              <w:jc w:val="center"/>
              <w:rPr>
                <w:rFonts w:ascii="宋体" w:hAnsi="宋体" w:cs="宋体"/>
                <w:sz w:val="24"/>
              </w:rPr>
            </w:pPr>
            <w:r>
              <w:rPr>
                <w:rFonts w:hint="eastAsia" w:ascii="宋体" w:hAnsi="宋体" w:cs="宋体"/>
                <w:sz w:val="24"/>
              </w:rPr>
              <w:t>燃油种类</w:t>
            </w:r>
          </w:p>
        </w:tc>
        <w:tc>
          <w:tcPr>
            <w:tcW w:w="5697" w:type="dxa"/>
          </w:tcPr>
          <w:p w14:paraId="6CE5354D">
            <w:pPr>
              <w:spacing w:line="440" w:lineRule="exact"/>
              <w:jc w:val="left"/>
              <w:rPr>
                <w:rFonts w:ascii="宋体" w:hAnsi="宋体" w:cs="宋体"/>
                <w:sz w:val="24"/>
              </w:rPr>
            </w:pPr>
            <w:r>
              <w:rPr>
                <w:rFonts w:hint="eastAsia" w:ascii="宋体" w:hAnsi="宋体" w:cs="宋体"/>
                <w:sz w:val="24"/>
              </w:rPr>
              <w:t>优惠方式</w:t>
            </w:r>
          </w:p>
        </w:tc>
        <w:tc>
          <w:tcPr>
            <w:tcW w:w="1620" w:type="dxa"/>
          </w:tcPr>
          <w:p w14:paraId="19C088CE">
            <w:pPr>
              <w:tabs>
                <w:tab w:val="left" w:pos="2817"/>
              </w:tabs>
              <w:spacing w:line="440" w:lineRule="exact"/>
              <w:jc w:val="left"/>
              <w:rPr>
                <w:rFonts w:hint="eastAsia" w:ascii="宋体" w:hAnsi="宋体" w:eastAsia="宋体" w:cs="宋体"/>
                <w:sz w:val="24"/>
                <w:lang w:eastAsia="zh-CN"/>
              </w:rPr>
            </w:pPr>
            <w:r>
              <w:rPr>
                <w:rFonts w:hint="eastAsia" w:ascii="宋体" w:hAnsi="宋体" w:cs="宋体"/>
                <w:sz w:val="24"/>
              </w:rPr>
              <w:t>备注</w:t>
            </w:r>
            <w:r>
              <w:rPr>
                <w:rFonts w:hint="eastAsia" w:ascii="宋体" w:hAnsi="宋体" w:cs="宋体"/>
                <w:sz w:val="24"/>
                <w:lang w:eastAsia="zh-CN"/>
              </w:rPr>
              <w:tab/>
            </w:r>
          </w:p>
        </w:tc>
      </w:tr>
      <w:tr w14:paraId="53AF4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633" w:type="dxa"/>
            <w:vAlign w:val="center"/>
          </w:tcPr>
          <w:p w14:paraId="49934AEC">
            <w:pPr>
              <w:spacing w:line="440" w:lineRule="exact"/>
              <w:jc w:val="center"/>
              <w:rPr>
                <w:rFonts w:ascii="宋体" w:hAnsi="宋体" w:cs="宋体"/>
                <w:sz w:val="24"/>
              </w:rPr>
            </w:pPr>
            <w:r>
              <w:rPr>
                <w:rFonts w:hint="eastAsia" w:ascii="宋体" w:hAnsi="宋体" w:cs="宋体"/>
                <w:sz w:val="24"/>
              </w:rPr>
              <w:t>汽油</w:t>
            </w:r>
          </w:p>
        </w:tc>
        <w:tc>
          <w:tcPr>
            <w:tcW w:w="5697" w:type="dxa"/>
          </w:tcPr>
          <w:p w14:paraId="50CB0E56">
            <w:pPr>
              <w:spacing w:line="440" w:lineRule="exact"/>
              <w:jc w:val="left"/>
              <w:rPr>
                <w:rFonts w:ascii="宋体" w:hAnsi="宋体" w:cs="宋体"/>
                <w:sz w:val="24"/>
              </w:rPr>
            </w:pPr>
            <w:r>
              <w:rPr>
                <w:rFonts w:hint="eastAsia" w:ascii="宋体" w:hAnsi="宋体" w:cs="宋体"/>
                <w:sz w:val="24"/>
              </w:rPr>
              <w:t>甲方在加油当日加油站挂牌零售价的基础上给予乙方</w:t>
            </w:r>
            <w:r>
              <w:rPr>
                <w:rFonts w:hint="eastAsia" w:ascii="宋体" w:hAnsi="宋体" w:cs="宋体"/>
                <w:sz w:val="24"/>
                <w:u w:val="single"/>
              </w:rPr>
              <w:t xml:space="preserve">   </w:t>
            </w:r>
            <w:r>
              <w:rPr>
                <w:rFonts w:hint="eastAsia" w:ascii="宋体" w:hAnsi="宋体" w:cs="宋体"/>
                <w:sz w:val="24"/>
              </w:rPr>
              <w:t>%的优惠率</w:t>
            </w:r>
          </w:p>
        </w:tc>
        <w:tc>
          <w:tcPr>
            <w:tcW w:w="1620" w:type="dxa"/>
          </w:tcPr>
          <w:p w14:paraId="05ADAB59">
            <w:pPr>
              <w:spacing w:line="440" w:lineRule="exact"/>
              <w:jc w:val="left"/>
              <w:rPr>
                <w:rFonts w:hint="eastAsia" w:ascii="宋体" w:hAnsi="宋体" w:cs="宋体"/>
                <w:sz w:val="24"/>
              </w:rPr>
            </w:pPr>
            <w:r>
              <w:rPr>
                <w:rFonts w:hint="eastAsia" w:ascii="宋体" w:hAnsi="宋体" w:cs="宋体"/>
                <w:sz w:val="24"/>
              </w:rPr>
              <w:t>汽油国(VIB)</w:t>
            </w:r>
          </w:p>
        </w:tc>
      </w:tr>
      <w:tr w14:paraId="47965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633" w:type="dxa"/>
            <w:vAlign w:val="center"/>
          </w:tcPr>
          <w:p w14:paraId="0E925308">
            <w:pPr>
              <w:spacing w:line="440" w:lineRule="exact"/>
              <w:jc w:val="center"/>
              <w:rPr>
                <w:rFonts w:ascii="宋体" w:hAnsi="宋体" w:cs="宋体"/>
                <w:sz w:val="24"/>
              </w:rPr>
            </w:pPr>
            <w:r>
              <w:rPr>
                <w:rFonts w:hint="eastAsia" w:ascii="宋体" w:hAnsi="宋体" w:cs="宋体"/>
                <w:sz w:val="24"/>
              </w:rPr>
              <w:t>柴油</w:t>
            </w:r>
          </w:p>
        </w:tc>
        <w:tc>
          <w:tcPr>
            <w:tcW w:w="5697" w:type="dxa"/>
          </w:tcPr>
          <w:p w14:paraId="288CBB80">
            <w:pPr>
              <w:spacing w:line="440" w:lineRule="exact"/>
              <w:jc w:val="left"/>
              <w:rPr>
                <w:rFonts w:ascii="宋体" w:hAnsi="宋体" w:cs="宋体"/>
                <w:sz w:val="24"/>
              </w:rPr>
            </w:pPr>
            <w:r>
              <w:rPr>
                <w:rFonts w:hint="eastAsia" w:ascii="宋体" w:hAnsi="宋体" w:cs="宋体"/>
                <w:sz w:val="24"/>
              </w:rPr>
              <w:t>甲方在加油当日加油站挂牌零售价的基础上给予乙方</w:t>
            </w:r>
            <w:r>
              <w:rPr>
                <w:rFonts w:ascii="宋体" w:hAnsi="宋体" w:cs="宋体"/>
                <w:sz w:val="24"/>
                <w:u w:val="single"/>
              </w:rPr>
              <w:t xml:space="preserve">   </w:t>
            </w:r>
            <w:r>
              <w:rPr>
                <w:rFonts w:ascii="宋体" w:hAnsi="宋体" w:cs="宋体"/>
                <w:sz w:val="24"/>
              </w:rPr>
              <w:t>%的优惠率</w:t>
            </w:r>
          </w:p>
        </w:tc>
        <w:tc>
          <w:tcPr>
            <w:tcW w:w="1620" w:type="dxa"/>
          </w:tcPr>
          <w:p w14:paraId="60EECE2E">
            <w:pPr>
              <w:spacing w:line="440" w:lineRule="exact"/>
              <w:jc w:val="left"/>
              <w:rPr>
                <w:rFonts w:hint="eastAsia" w:ascii="宋体" w:hAnsi="宋体" w:cs="宋体"/>
                <w:sz w:val="24"/>
              </w:rPr>
            </w:pPr>
            <w:r>
              <w:rPr>
                <w:rFonts w:hint="eastAsia" w:ascii="宋体" w:hAnsi="宋体" w:cs="宋体"/>
                <w:sz w:val="24"/>
              </w:rPr>
              <w:t>柴油国(VI)</w:t>
            </w:r>
          </w:p>
        </w:tc>
      </w:tr>
    </w:tbl>
    <w:p w14:paraId="1A1B70CA">
      <w:pPr>
        <w:numPr>
          <w:ilvl w:val="255"/>
          <w:numId w:val="0"/>
        </w:numPr>
        <w:spacing w:line="400" w:lineRule="exact"/>
        <w:ind w:firstLine="480" w:firstLineChars="200"/>
        <w:jc w:val="left"/>
        <w:rPr>
          <w:rFonts w:ascii="宋体" w:hAnsi="宋体" w:cs="宋体"/>
          <w:sz w:val="24"/>
        </w:rPr>
      </w:pPr>
      <w:r>
        <w:rPr>
          <w:rFonts w:ascii="宋体" w:hAnsi="宋体" w:cs="宋体"/>
          <w:sz w:val="24"/>
        </w:rPr>
        <w:t>1.投标人必须就“采购需求”中的所有内容作完整唯一报价，否则，其投标文件按无效处理。</w:t>
      </w:r>
    </w:p>
    <w:p w14:paraId="29C2B021">
      <w:pPr>
        <w:spacing w:line="400" w:lineRule="exact"/>
        <w:ind w:firstLine="420"/>
        <w:jc w:val="left"/>
        <w:rPr>
          <w:rFonts w:ascii="宋体" w:hAnsi="宋体" w:cs="宋体"/>
          <w:sz w:val="24"/>
        </w:rPr>
      </w:pPr>
      <w:r>
        <w:rPr>
          <w:rFonts w:ascii="宋体" w:hAnsi="宋体" w:cs="宋体"/>
          <w:sz w:val="24"/>
        </w:rPr>
        <w:t>2.投标人应根据所提供的服务如实填写报价表的各项内容。</w:t>
      </w:r>
    </w:p>
    <w:p w14:paraId="2CEBA50D">
      <w:pPr>
        <w:spacing w:line="400" w:lineRule="exact"/>
        <w:ind w:firstLine="420"/>
        <w:jc w:val="left"/>
        <w:rPr>
          <w:rFonts w:hAnsi="宋体"/>
          <w:sz w:val="24"/>
        </w:rPr>
      </w:pPr>
      <w:r>
        <w:rPr>
          <w:rFonts w:ascii="宋体" w:hAnsi="宋体" w:cs="宋体"/>
          <w:sz w:val="24"/>
        </w:rPr>
        <w:t>3.报价表须由法定代表人、负责人或相应的委托代理人签字或盖章并加盖投标人公章。当本表由多页构成时，需逐页加盖投标人公章。</w:t>
      </w:r>
    </w:p>
    <w:p w14:paraId="6727AD00">
      <w:pPr>
        <w:pStyle w:val="16"/>
        <w:spacing w:line="440" w:lineRule="exact"/>
        <w:ind w:firstLine="420"/>
        <w:rPr>
          <w:rFonts w:hAnsi="宋体"/>
          <w:sz w:val="24"/>
          <w:szCs w:val="24"/>
        </w:rPr>
      </w:pPr>
      <w:r>
        <w:rPr>
          <w:rFonts w:hint="eastAsia" w:hAnsi="宋体"/>
          <w:sz w:val="24"/>
          <w:szCs w:val="24"/>
        </w:rPr>
        <w:t>二、我方承诺已具备</w:t>
      </w:r>
      <w:r>
        <w:rPr>
          <w:rFonts w:hint="eastAsia" w:hAnsi="宋体" w:cs="宋体"/>
          <w:sz w:val="24"/>
          <w:szCs w:val="24"/>
        </w:rPr>
        <w:t>招标</w:t>
      </w:r>
      <w:r>
        <w:rPr>
          <w:rFonts w:hint="eastAsia" w:hAnsi="宋体"/>
          <w:sz w:val="24"/>
          <w:szCs w:val="24"/>
        </w:rPr>
        <w:t>文件规定的投标人资格条件。</w:t>
      </w:r>
    </w:p>
    <w:p w14:paraId="7824CB90">
      <w:pPr>
        <w:pStyle w:val="10"/>
        <w:spacing w:line="440" w:lineRule="exact"/>
        <w:ind w:firstLine="420"/>
        <w:rPr>
          <w:rFonts w:ascii="宋体" w:hAnsi="宋体" w:cs="宋体"/>
          <w:sz w:val="24"/>
        </w:rPr>
      </w:pPr>
      <w:r>
        <w:rPr>
          <w:rFonts w:hint="eastAsia"/>
          <w:sz w:val="24"/>
        </w:rPr>
        <w:t>三、</w:t>
      </w:r>
      <w:r>
        <w:rPr>
          <w:rFonts w:hint="eastAsia" w:ascii="宋体" w:hAnsi="宋体" w:cs="宋体"/>
          <w:sz w:val="24"/>
        </w:rPr>
        <w:t>我方已详细了解本项目，将自行承担因对本项目理解不正确或误解而产生的相应后果。</w:t>
      </w:r>
    </w:p>
    <w:p w14:paraId="36A2491A">
      <w:pPr>
        <w:pStyle w:val="10"/>
        <w:spacing w:line="440" w:lineRule="exact"/>
        <w:ind w:firstLine="420"/>
        <w:rPr>
          <w:rFonts w:ascii="宋体" w:hAnsi="宋体" w:cs="宋体"/>
          <w:sz w:val="24"/>
        </w:rPr>
      </w:pPr>
      <w:r>
        <w:rPr>
          <w:rFonts w:hint="eastAsia" w:ascii="宋体" w:hAnsi="宋体" w:cs="宋体"/>
          <w:sz w:val="24"/>
        </w:rPr>
        <w:t>与本项目有关的正式通讯地址为：</w:t>
      </w:r>
    </w:p>
    <w:p w14:paraId="0ADB329B">
      <w:pPr>
        <w:pStyle w:val="16"/>
        <w:spacing w:line="410" w:lineRule="exact"/>
        <w:ind w:firstLine="420"/>
        <w:rPr>
          <w:rFonts w:hAnsi="宋体" w:cs="宋体"/>
          <w:sz w:val="24"/>
          <w:szCs w:val="24"/>
        </w:rPr>
      </w:pPr>
      <w:r>
        <w:rPr>
          <w:rFonts w:hint="eastAsia" w:hAnsi="宋体" w:cs="宋体"/>
          <w:sz w:val="24"/>
          <w:szCs w:val="24"/>
        </w:rPr>
        <w:t>地址：</w:t>
      </w:r>
      <w:r>
        <w:rPr>
          <w:rFonts w:hAnsi="宋体" w:cs="宋体"/>
          <w:sz w:val="24"/>
          <w:szCs w:val="24"/>
        </w:rPr>
        <w:t xml:space="preserve">   </w:t>
      </w:r>
    </w:p>
    <w:p w14:paraId="163114B7">
      <w:pPr>
        <w:pStyle w:val="16"/>
        <w:spacing w:line="410" w:lineRule="exact"/>
        <w:ind w:firstLine="420"/>
        <w:rPr>
          <w:rFonts w:hAnsi="宋体" w:cs="宋体"/>
          <w:sz w:val="24"/>
          <w:szCs w:val="24"/>
        </w:rPr>
      </w:pPr>
      <w:r>
        <w:rPr>
          <w:rFonts w:hint="eastAsia" w:hAnsi="宋体" w:cs="宋体"/>
          <w:sz w:val="24"/>
          <w:szCs w:val="24"/>
        </w:rPr>
        <w:t>邮编：</w:t>
      </w:r>
      <w:r>
        <w:rPr>
          <w:rFonts w:hAnsi="宋体" w:cs="宋体"/>
          <w:sz w:val="24"/>
          <w:szCs w:val="24"/>
        </w:rPr>
        <w:t xml:space="preserve">               </w:t>
      </w:r>
      <w:r>
        <w:rPr>
          <w:rFonts w:hint="eastAsia" w:hAnsi="宋体" w:cs="宋体"/>
          <w:sz w:val="24"/>
          <w:szCs w:val="24"/>
        </w:rPr>
        <w:t>邮箱：</w:t>
      </w:r>
    </w:p>
    <w:p w14:paraId="73F470FE">
      <w:pPr>
        <w:pStyle w:val="16"/>
        <w:spacing w:line="410" w:lineRule="exact"/>
        <w:ind w:firstLine="420"/>
        <w:rPr>
          <w:rFonts w:hAnsi="宋体" w:cs="宋体"/>
          <w:sz w:val="24"/>
          <w:szCs w:val="24"/>
          <w:u w:val="single"/>
        </w:rPr>
      </w:pPr>
      <w:r>
        <w:rPr>
          <w:rFonts w:hint="eastAsia" w:hAnsi="宋体" w:cs="宋体"/>
          <w:sz w:val="24"/>
          <w:szCs w:val="24"/>
        </w:rPr>
        <w:t>办公电话：</w:t>
      </w:r>
      <w:r>
        <w:rPr>
          <w:rFonts w:hAnsi="宋体" w:cs="宋体"/>
          <w:sz w:val="24"/>
          <w:szCs w:val="24"/>
        </w:rPr>
        <w:t xml:space="preserve">           </w:t>
      </w:r>
      <w:r>
        <w:rPr>
          <w:rFonts w:hint="eastAsia" w:hAnsi="宋体" w:cs="宋体"/>
          <w:sz w:val="24"/>
          <w:szCs w:val="24"/>
        </w:rPr>
        <w:t>传真：</w:t>
      </w:r>
    </w:p>
    <w:p w14:paraId="039FA92D">
      <w:pPr>
        <w:pStyle w:val="16"/>
        <w:spacing w:line="410" w:lineRule="exact"/>
        <w:ind w:firstLine="420"/>
        <w:rPr>
          <w:rFonts w:hAnsi="宋体" w:cs="宋体"/>
          <w:sz w:val="24"/>
          <w:szCs w:val="24"/>
          <w:u w:val="single"/>
        </w:rPr>
      </w:pPr>
      <w:r>
        <w:rPr>
          <w:rFonts w:hint="eastAsia" w:hAnsi="宋体" w:cs="宋体"/>
          <w:sz w:val="24"/>
          <w:szCs w:val="24"/>
        </w:rPr>
        <w:t>委托代理人联系电话：</w:t>
      </w:r>
    </w:p>
    <w:p w14:paraId="1F29E237">
      <w:pPr>
        <w:pStyle w:val="16"/>
        <w:spacing w:line="410" w:lineRule="exact"/>
        <w:ind w:firstLine="420"/>
        <w:rPr>
          <w:rFonts w:hAnsi="宋体" w:cs="宋体"/>
          <w:sz w:val="24"/>
          <w:szCs w:val="24"/>
        </w:rPr>
      </w:pPr>
      <w:r>
        <w:rPr>
          <w:rFonts w:hint="eastAsia" w:hAnsi="宋体" w:cs="宋体"/>
          <w:sz w:val="24"/>
          <w:szCs w:val="24"/>
        </w:rPr>
        <w:t>投标人（公章）：</w:t>
      </w:r>
    </w:p>
    <w:p w14:paraId="24D81AAB">
      <w:pPr>
        <w:pStyle w:val="16"/>
        <w:spacing w:line="410" w:lineRule="exact"/>
        <w:ind w:firstLine="420"/>
        <w:rPr>
          <w:rFonts w:hAnsi="宋体" w:cs="宋体"/>
          <w:sz w:val="24"/>
          <w:szCs w:val="24"/>
        </w:rPr>
      </w:pPr>
      <w:r>
        <w:rPr>
          <w:rFonts w:hint="eastAsia" w:hAnsi="宋体" w:cs="宋体"/>
          <w:sz w:val="24"/>
          <w:szCs w:val="24"/>
        </w:rPr>
        <w:t>法定代表人（负责人）或相应的委托代理人签字：</w:t>
      </w:r>
    </w:p>
    <w:p w14:paraId="1183DEED">
      <w:pPr>
        <w:pStyle w:val="16"/>
        <w:spacing w:line="410" w:lineRule="exact"/>
        <w:ind w:firstLine="420"/>
        <w:jc w:val="left"/>
        <w:rPr>
          <w:rFonts w:hAnsi="宋体" w:cs="宋体"/>
          <w:b/>
          <w:sz w:val="24"/>
          <w:szCs w:val="24"/>
        </w:rPr>
      </w:pPr>
      <w:r>
        <w:rPr>
          <w:rFonts w:hint="eastAsia" w:hAnsi="宋体" w:cs="宋体"/>
          <w:sz w:val="24"/>
          <w:szCs w:val="24"/>
        </w:rPr>
        <w:t>日期：</w:t>
      </w:r>
      <w:r>
        <w:rPr>
          <w:rFonts w:hAnsi="宋体" w:cs="宋体"/>
          <w:sz w:val="24"/>
          <w:szCs w:val="24"/>
        </w:rPr>
        <w:br w:type="page"/>
      </w:r>
    </w:p>
    <w:p w14:paraId="0B0BE48C">
      <w:pPr>
        <w:pStyle w:val="16"/>
        <w:spacing w:line="440" w:lineRule="exact"/>
        <w:ind w:firstLine="590" w:firstLineChars="196"/>
        <w:rPr>
          <w:rFonts w:hAnsi="宋体" w:cs="宋体"/>
          <w:b/>
          <w:sz w:val="30"/>
          <w:szCs w:val="30"/>
        </w:rPr>
      </w:pPr>
    </w:p>
    <w:p w14:paraId="624B760C">
      <w:pPr>
        <w:pStyle w:val="16"/>
        <w:spacing w:line="440" w:lineRule="exact"/>
        <w:ind w:firstLine="590" w:firstLineChars="196"/>
        <w:jc w:val="center"/>
        <w:rPr>
          <w:rFonts w:hAnsi="宋体" w:cs="宋体"/>
          <w:b/>
          <w:sz w:val="30"/>
          <w:szCs w:val="30"/>
        </w:rPr>
      </w:pPr>
      <w:r>
        <w:rPr>
          <w:rFonts w:hint="eastAsia" w:hAnsi="宋体" w:cs="宋体"/>
          <w:b/>
          <w:sz w:val="30"/>
          <w:szCs w:val="30"/>
        </w:rPr>
        <w:t>法人授权委托书（格式）</w:t>
      </w:r>
    </w:p>
    <w:p w14:paraId="03FC8421">
      <w:pPr>
        <w:spacing w:line="440" w:lineRule="exact"/>
        <w:jc w:val="left"/>
        <w:rPr>
          <w:rFonts w:ascii="宋体" w:hAnsi="宋体" w:cs="宋体"/>
          <w:sz w:val="24"/>
        </w:rPr>
      </w:pPr>
    </w:p>
    <w:p w14:paraId="09658A55">
      <w:pPr>
        <w:spacing w:line="500" w:lineRule="exact"/>
        <w:jc w:val="left"/>
        <w:rPr>
          <w:rFonts w:ascii="宋体" w:hAnsi="宋体" w:cs="宋体"/>
          <w:sz w:val="24"/>
        </w:rPr>
      </w:pPr>
      <w:r>
        <w:rPr>
          <w:rFonts w:hint="eastAsia" w:ascii="宋体" w:hAnsi="宋体" w:cs="宋体"/>
          <w:sz w:val="24"/>
        </w:rPr>
        <w:t>致：</w:t>
      </w:r>
      <w:r>
        <w:rPr>
          <w:rFonts w:hint="eastAsia" w:ascii="宋体" w:hAnsi="宋体" w:cs="宋体"/>
          <w:sz w:val="24"/>
          <w:u w:val="single"/>
        </w:rPr>
        <w:t>桂林市人民医院</w:t>
      </w:r>
    </w:p>
    <w:p w14:paraId="17789607">
      <w:pPr>
        <w:spacing w:line="500" w:lineRule="exact"/>
        <w:ind w:firstLine="420"/>
        <w:jc w:val="left"/>
        <w:rPr>
          <w:rFonts w:ascii="宋体" w:hAnsi="宋体" w:cs="宋体"/>
          <w:sz w:val="24"/>
        </w:rPr>
      </w:pPr>
      <w:r>
        <w:rPr>
          <w:rFonts w:hint="eastAsia" w:ascii="宋体" w:hAnsi="宋体" w:cs="宋体"/>
          <w:sz w:val="24"/>
        </w:rPr>
        <w:t>我（姓名）系（投标人名称）的法定代表人（负责人），现授权委托本单位在职职工（姓名）以我方名义参加</w:t>
      </w:r>
      <w:r>
        <w:rPr>
          <w:rFonts w:ascii="宋体" w:hAnsi="宋体" w:cs="宋体"/>
          <w:sz w:val="24"/>
          <w:u w:val="single"/>
        </w:rPr>
        <w:t xml:space="preserve">      （项目名称及项目编号）        </w:t>
      </w:r>
      <w:r>
        <w:rPr>
          <w:rFonts w:hint="eastAsia" w:ascii="宋体" w:hAnsi="宋体" w:cs="宋体"/>
          <w:sz w:val="24"/>
        </w:rPr>
        <w:t>项目的招标活动，并代表我方全权办理针对上述项目的具体事务和签署相关文件。</w:t>
      </w:r>
    </w:p>
    <w:p w14:paraId="08205866">
      <w:pPr>
        <w:spacing w:line="500" w:lineRule="exact"/>
        <w:ind w:firstLine="420"/>
        <w:jc w:val="left"/>
        <w:rPr>
          <w:rFonts w:ascii="宋体" w:hAnsi="宋体" w:cs="宋体"/>
          <w:sz w:val="24"/>
        </w:rPr>
      </w:pPr>
      <w:r>
        <w:rPr>
          <w:rFonts w:hint="eastAsia" w:ascii="宋体" w:hAnsi="宋体" w:cs="宋体"/>
          <w:sz w:val="24"/>
        </w:rPr>
        <w:t>我方对被授权人的签字事项负全部责任。</w:t>
      </w:r>
    </w:p>
    <w:p w14:paraId="5BEBE9F7">
      <w:pPr>
        <w:spacing w:line="500" w:lineRule="exact"/>
        <w:ind w:firstLine="420"/>
        <w:jc w:val="left"/>
        <w:rPr>
          <w:rFonts w:ascii="宋体" w:hAnsi="宋体" w:cs="宋体"/>
          <w:sz w:val="24"/>
          <w:u w:val="single"/>
        </w:rPr>
      </w:pPr>
      <w:r>
        <w:rPr>
          <w:rFonts w:hint="eastAsia" w:ascii="宋体" w:hAnsi="宋体" w:cs="宋体"/>
          <w:sz w:val="24"/>
        </w:rPr>
        <w:t>授权委托代理期限：从</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日起至</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日止。</w:t>
      </w:r>
    </w:p>
    <w:p w14:paraId="047B8951">
      <w:pPr>
        <w:spacing w:line="440" w:lineRule="exact"/>
        <w:jc w:val="left"/>
        <w:rPr>
          <w:rFonts w:ascii="宋体" w:hAnsi="宋体" w:cs="宋体"/>
          <w:sz w:val="24"/>
          <w:u w:val="single"/>
        </w:rPr>
      </w:pPr>
    </w:p>
    <w:p w14:paraId="124FA113">
      <w:pPr>
        <w:spacing w:line="440" w:lineRule="exact"/>
        <w:ind w:firstLine="420"/>
        <w:jc w:val="left"/>
        <w:rPr>
          <w:rFonts w:ascii="宋体" w:hAnsi="宋体" w:cs="宋体"/>
          <w:sz w:val="24"/>
        </w:rPr>
      </w:pPr>
      <w:r>
        <w:rPr>
          <w:rFonts w:hint="eastAsia" w:ascii="宋体" w:hAnsi="宋体" w:cs="宋体"/>
          <w:sz w:val="24"/>
        </w:rPr>
        <w:t>代理人无转委托权</w:t>
      </w:r>
      <w:r>
        <w:rPr>
          <w:rFonts w:ascii="宋体" w:hAnsi="宋体" w:cs="宋体"/>
          <w:sz w:val="24"/>
        </w:rPr>
        <w:t xml:space="preserve">,特此委托。 </w:t>
      </w:r>
    </w:p>
    <w:p w14:paraId="13E315AB">
      <w:pPr>
        <w:snapToGrid w:val="0"/>
        <w:spacing w:line="440" w:lineRule="exact"/>
        <w:ind w:firstLine="525"/>
        <w:jc w:val="left"/>
        <w:rPr>
          <w:rFonts w:ascii="宋体" w:hAnsi="宋体" w:cs="宋体"/>
          <w:sz w:val="24"/>
        </w:rPr>
      </w:pPr>
    </w:p>
    <w:p w14:paraId="09C30AB4">
      <w:pPr>
        <w:snapToGrid w:val="0"/>
        <w:spacing w:line="440" w:lineRule="exact"/>
        <w:ind w:firstLine="420"/>
        <w:jc w:val="left"/>
        <w:rPr>
          <w:rFonts w:ascii="宋体" w:hAnsi="宋体" w:cs="宋体"/>
          <w:sz w:val="24"/>
        </w:rPr>
      </w:pPr>
      <w:r>
        <w:rPr>
          <w:rFonts w:hint="eastAsia" w:ascii="宋体" w:hAnsi="宋体" w:cs="宋体"/>
          <w:sz w:val="24"/>
        </w:rPr>
        <w:t>我已在下面签字，以资证明。</w:t>
      </w:r>
    </w:p>
    <w:p w14:paraId="1A7E5D1B">
      <w:pPr>
        <w:snapToGrid w:val="0"/>
        <w:spacing w:line="440" w:lineRule="exact"/>
        <w:ind w:firstLine="420"/>
        <w:jc w:val="left"/>
        <w:rPr>
          <w:rFonts w:ascii="宋体" w:hAnsi="宋体" w:cs="宋体"/>
          <w:sz w:val="24"/>
        </w:rPr>
      </w:pPr>
    </w:p>
    <w:p w14:paraId="7CC693BF">
      <w:pPr>
        <w:snapToGrid w:val="0"/>
        <w:spacing w:line="440" w:lineRule="exact"/>
        <w:ind w:firstLine="420"/>
        <w:jc w:val="left"/>
        <w:rPr>
          <w:rFonts w:ascii="宋体" w:hAnsi="宋体" w:cs="宋体"/>
          <w:sz w:val="24"/>
        </w:rPr>
      </w:pPr>
    </w:p>
    <w:p w14:paraId="691EF667">
      <w:pPr>
        <w:snapToGrid w:val="0"/>
        <w:spacing w:line="440" w:lineRule="exact"/>
        <w:ind w:firstLine="420"/>
        <w:jc w:val="left"/>
        <w:rPr>
          <w:rFonts w:ascii="宋体" w:hAnsi="宋体" w:cs="宋体"/>
          <w:sz w:val="24"/>
          <w:u w:val="single"/>
        </w:rPr>
      </w:pPr>
      <w:r>
        <w:rPr>
          <w:rFonts w:hint="eastAsia" w:ascii="宋体" w:hAnsi="宋体" w:cs="宋体"/>
          <w:sz w:val="24"/>
        </w:rPr>
        <w:t>投标人（公章）：</w:t>
      </w:r>
    </w:p>
    <w:p w14:paraId="63DFBC89">
      <w:pPr>
        <w:snapToGrid w:val="0"/>
        <w:spacing w:line="440" w:lineRule="exact"/>
        <w:ind w:firstLine="420"/>
        <w:jc w:val="left"/>
        <w:rPr>
          <w:rFonts w:ascii="宋体" w:hAnsi="宋体" w:cs="宋体"/>
          <w:sz w:val="24"/>
        </w:rPr>
      </w:pPr>
    </w:p>
    <w:p w14:paraId="1950BBEC">
      <w:pPr>
        <w:snapToGrid w:val="0"/>
        <w:spacing w:line="440" w:lineRule="exact"/>
        <w:ind w:firstLine="420"/>
        <w:jc w:val="left"/>
        <w:rPr>
          <w:rFonts w:ascii="宋体" w:hAnsi="宋体" w:cs="宋体"/>
          <w:sz w:val="24"/>
        </w:rPr>
      </w:pPr>
      <w:r>
        <w:rPr>
          <w:rFonts w:hint="eastAsia" w:ascii="宋体" w:hAnsi="宋体" w:cs="宋体"/>
          <w:sz w:val="24"/>
        </w:rPr>
        <w:t>法定代表人（负责人）签字或盖章：</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p>
    <w:p w14:paraId="5E11B7C1">
      <w:pPr>
        <w:pStyle w:val="2"/>
      </w:pPr>
      <w:r>
        <w:br w:type="page"/>
      </w:r>
    </w:p>
    <w:p w14:paraId="074CAFDC">
      <w:pPr>
        <w:spacing w:line="400" w:lineRule="exact"/>
        <w:jc w:val="center"/>
        <w:rPr>
          <w:rFonts w:hint="eastAsia" w:ascii="宋体" w:hAnsi="宋体" w:cs="宋体"/>
          <w:b/>
          <w:kern w:val="0"/>
          <w:sz w:val="32"/>
          <w:szCs w:val="32"/>
        </w:rPr>
      </w:pPr>
      <w:r>
        <w:rPr>
          <w:rFonts w:hint="eastAsia" w:ascii="宋体" w:hAnsi="宋体" w:cs="宋体"/>
          <w:b/>
          <w:kern w:val="0"/>
          <w:sz w:val="32"/>
          <w:szCs w:val="32"/>
        </w:rPr>
        <w:t>投标人参加政府采购活动前3年内在经营活动中没有重大违法记录的书面声明（格式）</w:t>
      </w:r>
    </w:p>
    <w:p w14:paraId="4EA5DD0E">
      <w:pPr>
        <w:snapToGrid w:val="0"/>
        <w:spacing w:line="400" w:lineRule="exact"/>
        <w:jc w:val="left"/>
        <w:rPr>
          <w:rFonts w:hint="eastAsia" w:ascii="宋体" w:hAnsi="宋体" w:cs="宋体"/>
          <w:b/>
          <w:kern w:val="0"/>
          <w:sz w:val="28"/>
          <w:szCs w:val="28"/>
        </w:rPr>
      </w:pPr>
    </w:p>
    <w:p w14:paraId="24033722">
      <w:pPr>
        <w:snapToGrid/>
        <w:spacing w:line="500" w:lineRule="exact"/>
        <w:ind w:firstLine="0"/>
        <w:jc w:val="left"/>
        <w:rPr>
          <w:rFonts w:hint="eastAsia" w:ascii="宋体" w:hAnsi="宋体" w:cs="宋体"/>
          <w:kern w:val="2"/>
          <w:sz w:val="24"/>
          <w:szCs w:val="24"/>
        </w:rPr>
      </w:pPr>
      <w:r>
        <w:rPr>
          <w:rFonts w:hint="eastAsia" w:ascii="宋体" w:hAnsi="宋体" w:cs="宋体"/>
          <w:b/>
          <w:kern w:val="0"/>
          <w:sz w:val="28"/>
          <w:szCs w:val="28"/>
        </w:rPr>
        <w:t>致</w:t>
      </w:r>
      <w:r>
        <w:rPr>
          <w:rFonts w:hint="eastAsia" w:ascii="宋体" w:hAnsi="宋体" w:cs="宋体"/>
          <w:kern w:val="0"/>
          <w:sz w:val="28"/>
          <w:szCs w:val="28"/>
        </w:rPr>
        <w:t>：</w:t>
      </w:r>
      <w:r>
        <w:rPr>
          <w:rFonts w:hint="eastAsia" w:ascii="宋体" w:hAnsi="宋体" w:cs="宋体"/>
          <w:kern w:val="2"/>
          <w:sz w:val="24"/>
          <w:szCs w:val="24"/>
        </w:rPr>
        <w:t>桂林市人民医院</w:t>
      </w:r>
    </w:p>
    <w:p w14:paraId="44DDB991">
      <w:pPr>
        <w:spacing w:line="500" w:lineRule="exact"/>
        <w:ind w:firstLine="480" w:firstLineChars="200"/>
        <w:jc w:val="left"/>
        <w:rPr>
          <w:rFonts w:hint="eastAsia" w:ascii="宋体" w:hAnsi="宋体" w:cs="宋体"/>
          <w:kern w:val="2"/>
          <w:sz w:val="24"/>
          <w:szCs w:val="24"/>
        </w:rPr>
      </w:pPr>
      <w:r>
        <w:rPr>
          <w:rFonts w:hint="eastAsia" w:ascii="宋体" w:hAnsi="宋体" w:cs="宋体"/>
          <w:kern w:val="2"/>
          <w:sz w:val="24"/>
          <w:szCs w:val="24"/>
        </w:rPr>
        <w:t>我（公司）郑重声明，在参加本项目采购活动前3年内在经营活动中没有重大违法记录（重大违法记录是指投标人因违法经营受到刑事处罚或者责令停产停业、吊销许可证或者执照、较大数额罚款等行政处罚），未被列入失信被执行人、</w:t>
      </w:r>
      <w:r>
        <w:rPr>
          <w:rFonts w:hint="eastAsia" w:ascii="宋体" w:hAnsi="宋体" w:cs="宋体"/>
          <w:sz w:val="24"/>
          <w:szCs w:val="24"/>
        </w:rPr>
        <w:t>重大税收违法失信主体</w:t>
      </w:r>
      <w:r>
        <w:rPr>
          <w:rFonts w:hint="eastAsia" w:ascii="宋体" w:hAnsi="宋体" w:cs="宋体"/>
          <w:kern w:val="2"/>
          <w:sz w:val="24"/>
          <w:szCs w:val="24"/>
        </w:rPr>
        <w:t>，完全符合本项目招标文件规定的投标人资格条件，我方对此声明负全部法律责任。</w:t>
      </w:r>
    </w:p>
    <w:p w14:paraId="0924BFED">
      <w:pPr>
        <w:snapToGrid w:val="0"/>
        <w:spacing w:before="50" w:after="156" w:afterLines="50" w:line="360" w:lineRule="auto"/>
        <w:jc w:val="left"/>
        <w:rPr>
          <w:rFonts w:hint="eastAsia" w:ascii="宋体" w:hAnsi="宋体"/>
          <w:sz w:val="28"/>
          <w:szCs w:val="28"/>
        </w:rPr>
      </w:pPr>
    </w:p>
    <w:p w14:paraId="61E3AF2D">
      <w:pPr>
        <w:snapToGrid/>
        <w:spacing w:before="0" w:beforeLines="-2147483648" w:line="500" w:lineRule="exact"/>
        <w:ind w:left="0" w:leftChars="0" w:right="0" w:firstLine="420" w:firstLineChars="0"/>
        <w:jc w:val="center"/>
        <w:rPr>
          <w:rFonts w:hint="eastAsia" w:ascii="宋体" w:hAnsi="宋体" w:cs="宋体"/>
          <w:sz w:val="24"/>
          <w:szCs w:val="24"/>
          <w:u w:val="none"/>
        </w:rPr>
      </w:pPr>
      <w:r>
        <w:rPr>
          <w:rFonts w:hint="eastAsia" w:ascii="宋体" w:hAnsi="宋体" w:cs="宋体"/>
          <w:sz w:val="24"/>
          <w:szCs w:val="24"/>
        </w:rPr>
        <w:t>法定代表人签名：</w:t>
      </w:r>
    </w:p>
    <w:p w14:paraId="76C44782">
      <w:pPr>
        <w:snapToGrid/>
        <w:spacing w:before="0" w:beforeLines="-2147483648" w:line="500" w:lineRule="exact"/>
        <w:ind w:left="0" w:leftChars="0" w:right="0" w:firstLine="420" w:firstLineChars="0"/>
        <w:jc w:val="center"/>
        <w:rPr>
          <w:rFonts w:hint="eastAsia" w:ascii="宋体" w:hAnsi="宋体" w:cs="宋体"/>
          <w:sz w:val="24"/>
          <w:szCs w:val="24"/>
        </w:rPr>
      </w:pPr>
      <w:r>
        <w:rPr>
          <w:rFonts w:hint="eastAsia" w:ascii="宋体" w:hAnsi="宋体" w:cs="宋体"/>
          <w:sz w:val="24"/>
          <w:szCs w:val="24"/>
        </w:rPr>
        <w:t>投标人（盖公章）：</w:t>
      </w:r>
    </w:p>
    <w:p w14:paraId="62F83139">
      <w:pPr>
        <w:snapToGrid/>
        <w:spacing w:before="0" w:beforeLines="-2147483648" w:after="0" w:line="500" w:lineRule="exact"/>
        <w:ind w:right="0" w:firstLine="420" w:firstLineChars="0"/>
        <w:jc w:val="center"/>
        <w:rPr>
          <w:rFonts w:hint="eastAsia" w:ascii="宋体" w:hAnsi="宋体" w:cs="宋体"/>
          <w:sz w:val="24"/>
          <w:szCs w:val="24"/>
        </w:rPr>
      </w:pPr>
      <w:r>
        <w:rPr>
          <w:rFonts w:hint="eastAsia" w:ascii="宋体" w:hAnsi="宋体" w:cs="宋体"/>
          <w:sz w:val="24"/>
          <w:szCs w:val="24"/>
        </w:rPr>
        <w:t>年</w:t>
      </w:r>
      <w:r>
        <w:rPr>
          <w:rFonts w:hint="eastAsia" w:ascii="宋体" w:hAnsi="宋体" w:cs="宋体"/>
          <w:sz w:val="24"/>
          <w:szCs w:val="24"/>
          <w:u w:val="none"/>
        </w:rPr>
        <w:t xml:space="preserve">    </w:t>
      </w:r>
      <w:r>
        <w:rPr>
          <w:rFonts w:hint="eastAsia" w:ascii="宋体" w:hAnsi="宋体" w:cs="宋体"/>
          <w:sz w:val="24"/>
          <w:szCs w:val="24"/>
        </w:rPr>
        <w:t>月</w:t>
      </w:r>
      <w:r>
        <w:rPr>
          <w:rFonts w:hint="eastAsia" w:ascii="宋体" w:hAnsi="宋体" w:cs="宋体"/>
          <w:sz w:val="24"/>
          <w:szCs w:val="24"/>
          <w:u w:val="none"/>
        </w:rPr>
        <w:t xml:space="preserve">    </w:t>
      </w:r>
      <w:r>
        <w:rPr>
          <w:rFonts w:hint="eastAsia" w:ascii="宋体" w:hAnsi="宋体" w:cs="宋体"/>
          <w:sz w:val="24"/>
          <w:szCs w:val="24"/>
        </w:rPr>
        <w:t>日</w:t>
      </w:r>
    </w:p>
    <w:p w14:paraId="4AE09A7D">
      <w:pPr>
        <w:pStyle w:val="2"/>
        <w:rPr>
          <w:rFonts w:hint="eastAsia" w:ascii="宋体" w:hAnsi="宋体" w:cs="宋体"/>
          <w:sz w:val="24"/>
        </w:rPr>
      </w:pPr>
    </w:p>
    <w:p w14:paraId="494612A4">
      <w:pPr>
        <w:rPr>
          <w:rFonts w:ascii="宋体" w:hAnsi="宋体" w:cs="宋体"/>
          <w:b/>
          <w:sz w:val="30"/>
          <w:szCs w:val="30"/>
        </w:rPr>
      </w:pPr>
      <w:r>
        <w:rPr>
          <w:rFonts w:ascii="宋体" w:hAnsi="宋体" w:cs="宋体"/>
          <w:b/>
          <w:bCs/>
          <w:sz w:val="24"/>
        </w:rPr>
        <w:br w:type="page"/>
      </w:r>
    </w:p>
    <w:p w14:paraId="2046097A">
      <w:pPr>
        <w:spacing w:line="0" w:lineRule="atLeast"/>
        <w:jc w:val="center"/>
        <w:rPr>
          <w:rFonts w:ascii="宋体" w:hAnsi="宋体" w:cs="宋体"/>
          <w:b/>
          <w:sz w:val="30"/>
          <w:szCs w:val="30"/>
        </w:rPr>
      </w:pPr>
      <w:r>
        <w:rPr>
          <w:rFonts w:hint="eastAsia" w:ascii="宋体" w:hAnsi="宋体" w:cs="宋体"/>
          <w:b/>
          <w:sz w:val="30"/>
          <w:szCs w:val="30"/>
        </w:rPr>
        <w:t>采购需求响应表</w:t>
      </w:r>
    </w:p>
    <w:p w14:paraId="39E65660">
      <w:pPr>
        <w:spacing w:line="420" w:lineRule="exact"/>
        <w:rPr>
          <w:rFonts w:ascii="宋体" w:hAnsi="宋体" w:cs="宋体"/>
          <w:sz w:val="24"/>
        </w:rPr>
      </w:pPr>
    </w:p>
    <w:p w14:paraId="548C7E89">
      <w:pPr>
        <w:spacing w:line="420" w:lineRule="exact"/>
        <w:rPr>
          <w:rFonts w:ascii="宋体" w:hAnsi="宋体" w:cs="宋体"/>
          <w:sz w:val="24"/>
          <w:u w:val="single"/>
        </w:rPr>
      </w:pPr>
      <w:r>
        <w:rPr>
          <w:rFonts w:hint="eastAsia" w:ascii="宋体" w:hAnsi="宋体" w:cs="宋体"/>
          <w:sz w:val="24"/>
        </w:rPr>
        <w:t>采购项目名称</w:t>
      </w:r>
      <w:r>
        <w:rPr>
          <w:rFonts w:ascii="宋体" w:hAnsi="宋体" w:cs="宋体"/>
          <w:sz w:val="24"/>
        </w:rPr>
        <w:t>:</w:t>
      </w:r>
      <w:r>
        <w:rPr>
          <w:rFonts w:ascii="宋体" w:hAnsi="宋体" w:cs="宋体"/>
          <w:sz w:val="24"/>
          <w:u w:val="single"/>
        </w:rPr>
        <w:t xml:space="preserve">               </w:t>
      </w:r>
    </w:p>
    <w:p w14:paraId="2CDF298F">
      <w:pPr>
        <w:spacing w:line="420" w:lineRule="exact"/>
        <w:rPr>
          <w:rFonts w:hAnsi="宋体" w:cs="宋体"/>
          <w:sz w:val="24"/>
          <w:u w:val="single"/>
        </w:rPr>
      </w:pPr>
      <w:r>
        <w:rPr>
          <w:rFonts w:hint="eastAsia" w:hAnsi="宋体" w:cs="宋体"/>
          <w:sz w:val="24"/>
        </w:rPr>
        <w:t>采购项目编号</w:t>
      </w:r>
      <w:r>
        <w:rPr>
          <w:rFonts w:ascii="宋体" w:hAnsi="宋体" w:cs="宋体"/>
          <w:sz w:val="24"/>
        </w:rPr>
        <w:t>:</w:t>
      </w:r>
      <w:r>
        <w:rPr>
          <w:rFonts w:hAnsi="宋体" w:cs="宋体"/>
          <w:sz w:val="24"/>
          <w:u w:val="single"/>
        </w:rPr>
        <w:t xml:space="preserve">               </w:t>
      </w:r>
    </w:p>
    <w:tbl>
      <w:tblPr>
        <w:tblStyle w:val="26"/>
        <w:tblW w:w="86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2"/>
        <w:gridCol w:w="4020"/>
        <w:gridCol w:w="2956"/>
        <w:gridCol w:w="1083"/>
      </w:tblGrid>
      <w:tr w14:paraId="2B74F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582" w:type="dxa"/>
            <w:vAlign w:val="center"/>
          </w:tcPr>
          <w:p w14:paraId="084A19FC">
            <w:pPr>
              <w:widowControl/>
              <w:jc w:val="center"/>
              <w:rPr>
                <w:rFonts w:asciiTheme="minorEastAsia" w:hAnsiTheme="minorEastAsia" w:eastAsiaTheme="minorEastAsia" w:cstheme="minorEastAsia"/>
                <w:b/>
                <w:bCs/>
                <w:spacing w:val="1"/>
                <w:szCs w:val="21"/>
              </w:rPr>
            </w:pPr>
            <w:r>
              <w:rPr>
                <w:rFonts w:hint="eastAsia" w:ascii="宋体" w:hAnsi="宋体" w:cs="宋体"/>
                <w:b/>
                <w:bCs/>
                <w:kern w:val="0"/>
                <w:szCs w:val="21"/>
              </w:rPr>
              <w:t>序号</w:t>
            </w:r>
          </w:p>
        </w:tc>
        <w:tc>
          <w:tcPr>
            <w:tcW w:w="4020" w:type="dxa"/>
            <w:vAlign w:val="center"/>
          </w:tcPr>
          <w:p w14:paraId="1DD39385">
            <w:pPr>
              <w:widowControl/>
              <w:jc w:val="center"/>
              <w:rPr>
                <w:rFonts w:asciiTheme="minorEastAsia" w:hAnsiTheme="minorEastAsia" w:eastAsiaTheme="minorEastAsia" w:cstheme="minorEastAsia"/>
                <w:b/>
                <w:bCs/>
                <w:spacing w:val="1"/>
                <w:szCs w:val="21"/>
              </w:rPr>
            </w:pPr>
            <w:r>
              <w:rPr>
                <w:rFonts w:hint="eastAsia" w:asciiTheme="minorEastAsia" w:hAnsiTheme="minorEastAsia" w:eastAsiaTheme="minorEastAsia" w:cstheme="minorEastAsia"/>
                <w:b/>
                <w:bCs/>
                <w:spacing w:val="1"/>
                <w:szCs w:val="21"/>
              </w:rPr>
              <w:t>内容</w:t>
            </w:r>
          </w:p>
        </w:tc>
        <w:tc>
          <w:tcPr>
            <w:tcW w:w="2956" w:type="dxa"/>
            <w:vAlign w:val="center"/>
          </w:tcPr>
          <w:p w14:paraId="58CF06EB">
            <w:pPr>
              <w:spacing w:line="460" w:lineRule="exact"/>
              <w:jc w:val="center"/>
              <w:outlineLvl w:val="0"/>
              <w:rPr>
                <w:rFonts w:asciiTheme="minorEastAsia" w:hAnsiTheme="minorEastAsia" w:eastAsiaTheme="minorEastAsia" w:cstheme="minorEastAsia"/>
                <w:b/>
                <w:bCs/>
                <w:spacing w:val="1"/>
                <w:szCs w:val="21"/>
              </w:rPr>
            </w:pPr>
            <w:r>
              <w:rPr>
                <w:rFonts w:hint="eastAsia" w:asciiTheme="minorEastAsia" w:hAnsiTheme="minorEastAsia" w:eastAsiaTheme="minorEastAsia" w:cstheme="minorEastAsia"/>
                <w:b/>
                <w:bCs/>
                <w:spacing w:val="1"/>
                <w:szCs w:val="21"/>
              </w:rPr>
              <w:t>投标文件的响应内容</w:t>
            </w:r>
          </w:p>
        </w:tc>
        <w:tc>
          <w:tcPr>
            <w:tcW w:w="1083" w:type="dxa"/>
            <w:vAlign w:val="center"/>
          </w:tcPr>
          <w:p w14:paraId="194948A7">
            <w:pPr>
              <w:spacing w:line="460" w:lineRule="exact"/>
              <w:jc w:val="center"/>
              <w:outlineLvl w:val="0"/>
              <w:rPr>
                <w:rFonts w:asciiTheme="minorEastAsia" w:hAnsiTheme="minorEastAsia" w:eastAsiaTheme="minorEastAsia" w:cstheme="minorEastAsia"/>
                <w:b/>
                <w:bCs/>
                <w:spacing w:val="1"/>
                <w:szCs w:val="21"/>
              </w:rPr>
            </w:pPr>
            <w:r>
              <w:rPr>
                <w:rFonts w:hint="eastAsia" w:asciiTheme="minorEastAsia" w:hAnsiTheme="minorEastAsia" w:eastAsiaTheme="minorEastAsia" w:cstheme="minorEastAsia"/>
                <w:b/>
                <w:bCs/>
                <w:spacing w:val="1"/>
                <w:szCs w:val="21"/>
              </w:rPr>
              <w:t>响应情况</w:t>
            </w:r>
          </w:p>
        </w:tc>
      </w:tr>
      <w:tr w14:paraId="1A9AA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2" w:type="dxa"/>
            <w:vAlign w:val="center"/>
          </w:tcPr>
          <w:p w14:paraId="41F42A7F">
            <w:pPr>
              <w:widowControl/>
              <w:spacing w:line="360" w:lineRule="exact"/>
              <w:jc w:val="center"/>
              <w:rPr>
                <w:rFonts w:asciiTheme="minorEastAsia" w:hAnsiTheme="minorEastAsia" w:eastAsiaTheme="minorEastAsia" w:cstheme="minorEastAsia"/>
                <w:b/>
                <w:bCs/>
                <w:spacing w:val="1"/>
                <w:szCs w:val="21"/>
              </w:rPr>
            </w:pPr>
            <w:r>
              <w:rPr>
                <w:rFonts w:ascii="宋体" w:hAnsi="宋体" w:cs="宋体"/>
                <w:bCs/>
                <w:kern w:val="0"/>
                <w:szCs w:val="21"/>
              </w:rPr>
              <w:t>1</w:t>
            </w:r>
          </w:p>
        </w:tc>
        <w:tc>
          <w:tcPr>
            <w:tcW w:w="4020" w:type="dxa"/>
            <w:vAlign w:val="center"/>
          </w:tcPr>
          <w:p w14:paraId="4F0F2134">
            <w:pPr>
              <w:pStyle w:val="9"/>
              <w:spacing w:line="360" w:lineRule="exact"/>
              <w:rPr>
                <w:rFonts w:asciiTheme="minorEastAsia" w:hAnsiTheme="minorEastAsia" w:eastAsiaTheme="minorEastAsia" w:cstheme="minorEastAsia"/>
                <w:b/>
                <w:bCs/>
                <w:spacing w:val="1"/>
                <w:szCs w:val="21"/>
              </w:rPr>
            </w:pPr>
            <w:r>
              <w:rPr>
                <w:rFonts w:hint="eastAsia" w:ascii="宋体" w:hAnsi="宋体" w:cs="宋体"/>
                <w:szCs w:val="21"/>
              </w:rPr>
              <w:t>采购标准：汽油国(VIB)，柴油国(VI)</w:t>
            </w:r>
          </w:p>
        </w:tc>
        <w:tc>
          <w:tcPr>
            <w:tcW w:w="2956" w:type="dxa"/>
            <w:vAlign w:val="center"/>
          </w:tcPr>
          <w:p w14:paraId="1279A448">
            <w:pPr>
              <w:spacing w:line="460" w:lineRule="exact"/>
              <w:outlineLvl w:val="0"/>
              <w:rPr>
                <w:rFonts w:asciiTheme="minorEastAsia" w:hAnsiTheme="minorEastAsia" w:eastAsiaTheme="minorEastAsia" w:cstheme="minorEastAsia"/>
                <w:b/>
                <w:bCs/>
                <w:spacing w:val="1"/>
                <w:sz w:val="24"/>
              </w:rPr>
            </w:pPr>
          </w:p>
        </w:tc>
        <w:tc>
          <w:tcPr>
            <w:tcW w:w="1083" w:type="dxa"/>
            <w:vAlign w:val="center"/>
          </w:tcPr>
          <w:p w14:paraId="5FA01035">
            <w:pPr>
              <w:spacing w:line="460" w:lineRule="exact"/>
              <w:outlineLvl w:val="0"/>
              <w:rPr>
                <w:rFonts w:asciiTheme="minorEastAsia" w:hAnsiTheme="minorEastAsia" w:eastAsiaTheme="minorEastAsia" w:cstheme="minorEastAsia"/>
                <w:b/>
                <w:bCs/>
                <w:spacing w:val="1"/>
                <w:sz w:val="24"/>
              </w:rPr>
            </w:pPr>
          </w:p>
        </w:tc>
      </w:tr>
      <w:tr w14:paraId="2F681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vAlign w:val="center"/>
          </w:tcPr>
          <w:p w14:paraId="3A2B2326">
            <w:pPr>
              <w:widowControl/>
              <w:spacing w:line="360" w:lineRule="exact"/>
              <w:jc w:val="center"/>
              <w:rPr>
                <w:rFonts w:asciiTheme="minorEastAsia" w:hAnsiTheme="minorEastAsia" w:eastAsiaTheme="minorEastAsia" w:cstheme="minorEastAsia"/>
                <w:kern w:val="0"/>
                <w:szCs w:val="21"/>
              </w:rPr>
            </w:pPr>
            <w:r>
              <w:rPr>
                <w:rFonts w:ascii="宋体" w:hAnsi="宋体" w:cs="宋体"/>
                <w:bCs/>
                <w:kern w:val="0"/>
                <w:szCs w:val="21"/>
              </w:rPr>
              <w:t>2</w:t>
            </w:r>
          </w:p>
        </w:tc>
        <w:tc>
          <w:tcPr>
            <w:tcW w:w="4020" w:type="dxa"/>
            <w:vAlign w:val="center"/>
          </w:tcPr>
          <w:p w14:paraId="23F02FEA">
            <w:pPr>
              <w:pStyle w:val="9"/>
              <w:spacing w:line="360" w:lineRule="exact"/>
              <w:rPr>
                <w:rFonts w:asciiTheme="minorEastAsia" w:hAnsiTheme="minorEastAsia" w:eastAsiaTheme="minorEastAsia" w:cstheme="minorEastAsia"/>
                <w:kern w:val="0"/>
                <w:szCs w:val="21"/>
              </w:rPr>
            </w:pPr>
            <w:r>
              <w:rPr>
                <w:rFonts w:hint="eastAsia" w:ascii="宋体" w:hAnsi="宋体" w:cs="宋体"/>
                <w:sz w:val="21"/>
                <w:szCs w:val="21"/>
              </w:rPr>
              <w:t>★燃油质量：投标人提供的燃油必须符合国家质量认证标准和安全环保标准，所经销油品全部从国家正规炼油厂国有石油公司采购，所有油品均有有效的油品来源证明文件，所提供的油品必须符合国家标准化管理委员会公布的GB19147-2016《车用柴油》、GB17930-2016《车用汽油》的要求，必须符合国家行业生产及经营标准，各项技术指标必须完全符合国家有关质量检测、环保标准及产品出厂标准。如双方对燃油质量发生争议，可将货物送至具有资质的质量检测机构检测，检测费由投标人支付。</w:t>
            </w:r>
          </w:p>
        </w:tc>
        <w:tc>
          <w:tcPr>
            <w:tcW w:w="2956" w:type="dxa"/>
          </w:tcPr>
          <w:p w14:paraId="506AE5F2">
            <w:pPr>
              <w:pStyle w:val="38"/>
              <w:spacing w:line="460" w:lineRule="exact"/>
              <w:ind w:firstLine="0" w:firstLineChars="0"/>
              <w:jc w:val="left"/>
              <w:rPr>
                <w:rFonts w:asciiTheme="minorEastAsia" w:hAnsiTheme="minorEastAsia" w:eastAsiaTheme="minorEastAsia" w:cstheme="minorEastAsia"/>
                <w:kern w:val="0"/>
                <w:sz w:val="24"/>
                <w:szCs w:val="24"/>
              </w:rPr>
            </w:pPr>
          </w:p>
        </w:tc>
        <w:tc>
          <w:tcPr>
            <w:tcW w:w="1083" w:type="dxa"/>
          </w:tcPr>
          <w:p w14:paraId="300448C3">
            <w:pPr>
              <w:pStyle w:val="38"/>
              <w:spacing w:line="460" w:lineRule="exact"/>
              <w:ind w:firstLine="0" w:firstLineChars="0"/>
              <w:jc w:val="left"/>
              <w:rPr>
                <w:rFonts w:asciiTheme="minorEastAsia" w:hAnsiTheme="minorEastAsia" w:eastAsiaTheme="minorEastAsia" w:cstheme="minorEastAsia"/>
                <w:kern w:val="0"/>
                <w:sz w:val="24"/>
                <w:szCs w:val="24"/>
              </w:rPr>
            </w:pPr>
          </w:p>
        </w:tc>
      </w:tr>
      <w:tr w14:paraId="1C047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vAlign w:val="center"/>
          </w:tcPr>
          <w:p w14:paraId="4858C828">
            <w:pPr>
              <w:widowControl/>
              <w:spacing w:line="360" w:lineRule="exact"/>
              <w:jc w:val="center"/>
              <w:rPr>
                <w:rFonts w:asciiTheme="minorEastAsia" w:hAnsiTheme="minorEastAsia" w:eastAsiaTheme="minorEastAsia" w:cstheme="minorEastAsia"/>
                <w:kern w:val="0"/>
                <w:szCs w:val="21"/>
              </w:rPr>
            </w:pPr>
            <w:r>
              <w:rPr>
                <w:rFonts w:ascii="宋体" w:hAnsi="宋体" w:cs="宋体"/>
                <w:bCs/>
                <w:kern w:val="0"/>
                <w:szCs w:val="21"/>
              </w:rPr>
              <w:t>3</w:t>
            </w:r>
          </w:p>
        </w:tc>
        <w:tc>
          <w:tcPr>
            <w:tcW w:w="4020" w:type="dxa"/>
            <w:vAlign w:val="center"/>
          </w:tcPr>
          <w:p w14:paraId="278C5511">
            <w:pPr>
              <w:pStyle w:val="9"/>
              <w:spacing w:line="360" w:lineRule="exact"/>
              <w:ind w:firstLine="0" w:firstLineChars="0"/>
              <w:rPr>
                <w:rFonts w:asciiTheme="minorEastAsia" w:hAnsiTheme="minorEastAsia" w:eastAsiaTheme="minorEastAsia" w:cstheme="minorEastAsia"/>
                <w:kern w:val="0"/>
                <w:szCs w:val="21"/>
              </w:rPr>
            </w:pPr>
            <w:r>
              <w:rPr>
                <w:rFonts w:hint="eastAsia" w:ascii="宋体" w:hAnsi="宋体" w:cs="宋体"/>
                <w:sz w:val="21"/>
                <w:szCs w:val="21"/>
              </w:rPr>
              <w:t>加油记录：投标人在后续服务过程中可实现一车一卡绑定车牌号、限制购买商品（油品品号或非油品）、限制每日加油数量、限制每日加油次数、限制每日消费金额、限制加油频率（多少天加一次油）、限制指定油站加油等风险管控功能，并提供详细的加油记录，包括加油时间、地点、车辆信息、加油量、单价、总金额等，提供相应软件截图。</w:t>
            </w:r>
          </w:p>
        </w:tc>
        <w:tc>
          <w:tcPr>
            <w:tcW w:w="2956" w:type="dxa"/>
          </w:tcPr>
          <w:p w14:paraId="4DE4F3BE">
            <w:pPr>
              <w:pStyle w:val="38"/>
              <w:spacing w:line="460" w:lineRule="exact"/>
              <w:ind w:firstLine="0" w:firstLineChars="0"/>
              <w:rPr>
                <w:rFonts w:asciiTheme="minorEastAsia" w:hAnsiTheme="minorEastAsia" w:eastAsiaTheme="minorEastAsia" w:cstheme="minorEastAsia"/>
                <w:kern w:val="0"/>
                <w:sz w:val="24"/>
                <w:szCs w:val="24"/>
              </w:rPr>
            </w:pPr>
          </w:p>
        </w:tc>
        <w:tc>
          <w:tcPr>
            <w:tcW w:w="1083" w:type="dxa"/>
          </w:tcPr>
          <w:p w14:paraId="6367B12A">
            <w:pPr>
              <w:pStyle w:val="38"/>
              <w:spacing w:line="460" w:lineRule="exact"/>
              <w:ind w:firstLine="0" w:firstLineChars="0"/>
              <w:rPr>
                <w:rFonts w:asciiTheme="minorEastAsia" w:hAnsiTheme="minorEastAsia" w:eastAsiaTheme="minorEastAsia" w:cstheme="minorEastAsia"/>
                <w:kern w:val="0"/>
                <w:sz w:val="24"/>
                <w:szCs w:val="24"/>
              </w:rPr>
            </w:pPr>
          </w:p>
        </w:tc>
      </w:tr>
      <w:tr w14:paraId="0E417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vAlign w:val="center"/>
          </w:tcPr>
          <w:p w14:paraId="73322863">
            <w:pPr>
              <w:widowControl/>
              <w:spacing w:line="360" w:lineRule="exact"/>
              <w:jc w:val="center"/>
              <w:rPr>
                <w:rFonts w:asciiTheme="minorEastAsia" w:hAnsiTheme="minorEastAsia" w:cstheme="minorEastAsia"/>
                <w:kern w:val="0"/>
                <w:szCs w:val="21"/>
              </w:rPr>
            </w:pPr>
            <w:r>
              <w:rPr>
                <w:rFonts w:ascii="宋体" w:hAnsi="宋体" w:cs="宋体"/>
                <w:bCs/>
                <w:kern w:val="0"/>
                <w:szCs w:val="21"/>
              </w:rPr>
              <w:t>4</w:t>
            </w:r>
          </w:p>
        </w:tc>
        <w:tc>
          <w:tcPr>
            <w:tcW w:w="4020" w:type="dxa"/>
            <w:vAlign w:val="center"/>
          </w:tcPr>
          <w:p w14:paraId="5BB290D5">
            <w:pPr>
              <w:pStyle w:val="9"/>
              <w:spacing w:line="360" w:lineRule="exact"/>
              <w:ind w:firstLine="0" w:firstLineChars="0"/>
              <w:rPr>
                <w:rFonts w:asciiTheme="minorEastAsia" w:hAnsiTheme="minorEastAsia" w:eastAsiaTheme="minorEastAsia" w:cstheme="minorEastAsia"/>
                <w:kern w:val="0"/>
                <w:szCs w:val="21"/>
              </w:rPr>
            </w:pPr>
            <w:r>
              <w:rPr>
                <w:rFonts w:hint="eastAsia" w:ascii="宋体" w:hAnsi="宋体" w:cs="宋体"/>
                <w:sz w:val="21"/>
                <w:szCs w:val="21"/>
              </w:rPr>
              <w:t>★投标人加油设备必须通过质量技术监督局计量部门监测，保证加油机油量符合国家计量标准。若出现短斤少两或数据造假的，投标人应支付当月所供应油量总价款的20%作为违约金赔偿，同时采购人有权单方终止采购合同。</w:t>
            </w:r>
          </w:p>
        </w:tc>
        <w:tc>
          <w:tcPr>
            <w:tcW w:w="2956" w:type="dxa"/>
          </w:tcPr>
          <w:p w14:paraId="66567AF4">
            <w:pPr>
              <w:pStyle w:val="38"/>
              <w:spacing w:line="460" w:lineRule="exact"/>
              <w:ind w:firstLine="0" w:firstLineChars="0"/>
              <w:rPr>
                <w:rFonts w:asciiTheme="minorEastAsia" w:hAnsiTheme="minorEastAsia" w:eastAsiaTheme="minorEastAsia" w:cstheme="minorEastAsia"/>
                <w:kern w:val="0"/>
                <w:sz w:val="24"/>
                <w:szCs w:val="24"/>
              </w:rPr>
            </w:pPr>
          </w:p>
        </w:tc>
        <w:tc>
          <w:tcPr>
            <w:tcW w:w="1083" w:type="dxa"/>
          </w:tcPr>
          <w:p w14:paraId="1EB7DA61">
            <w:pPr>
              <w:pStyle w:val="38"/>
              <w:spacing w:line="460" w:lineRule="exact"/>
              <w:ind w:firstLine="0" w:firstLineChars="0"/>
              <w:rPr>
                <w:rFonts w:asciiTheme="minorEastAsia" w:hAnsiTheme="minorEastAsia" w:eastAsiaTheme="minorEastAsia" w:cstheme="minorEastAsia"/>
                <w:kern w:val="0"/>
                <w:sz w:val="24"/>
                <w:szCs w:val="24"/>
              </w:rPr>
            </w:pPr>
          </w:p>
        </w:tc>
      </w:tr>
      <w:tr w14:paraId="3BDEA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vAlign w:val="center"/>
          </w:tcPr>
          <w:p w14:paraId="00C262D4">
            <w:pPr>
              <w:widowControl/>
              <w:spacing w:line="360" w:lineRule="exact"/>
              <w:jc w:val="center"/>
              <w:rPr>
                <w:rFonts w:ascii="宋体" w:hAnsi="宋体" w:cs="宋体"/>
                <w:bCs/>
                <w:kern w:val="0"/>
                <w:szCs w:val="21"/>
              </w:rPr>
            </w:pPr>
            <w:r>
              <w:rPr>
                <w:rFonts w:ascii="宋体" w:hAnsi="宋体" w:cs="宋体"/>
                <w:bCs/>
                <w:kern w:val="0"/>
                <w:szCs w:val="21"/>
              </w:rPr>
              <w:t>5</w:t>
            </w:r>
          </w:p>
        </w:tc>
        <w:tc>
          <w:tcPr>
            <w:tcW w:w="4020" w:type="dxa"/>
            <w:vAlign w:val="center"/>
          </w:tcPr>
          <w:p w14:paraId="3C5602E8">
            <w:pPr>
              <w:pStyle w:val="9"/>
              <w:spacing w:line="360" w:lineRule="exact"/>
              <w:rPr>
                <w:rFonts w:asciiTheme="minorEastAsia" w:hAnsiTheme="minorEastAsia" w:eastAsiaTheme="minorEastAsia" w:cstheme="minorEastAsia"/>
                <w:kern w:val="0"/>
                <w:szCs w:val="21"/>
              </w:rPr>
            </w:pPr>
            <w:r>
              <w:rPr>
                <w:rFonts w:hint="eastAsia" w:ascii="宋体" w:hAnsi="宋体" w:cs="宋体"/>
                <w:sz w:val="21"/>
                <w:szCs w:val="21"/>
              </w:rPr>
              <w:t>投标人在全市各县(区)均有加油站点，所属的经营场所设施条件及防火安全符合国家加油站管理标准，具备全年7×24小时为机动车加油服务的能力。</w:t>
            </w:r>
          </w:p>
        </w:tc>
        <w:tc>
          <w:tcPr>
            <w:tcW w:w="2956" w:type="dxa"/>
          </w:tcPr>
          <w:p w14:paraId="4ABA5859">
            <w:pPr>
              <w:pStyle w:val="38"/>
              <w:spacing w:line="460" w:lineRule="exact"/>
              <w:ind w:firstLine="0" w:firstLineChars="0"/>
              <w:rPr>
                <w:rFonts w:asciiTheme="minorEastAsia" w:hAnsiTheme="minorEastAsia" w:eastAsiaTheme="minorEastAsia" w:cstheme="minorEastAsia"/>
                <w:kern w:val="0"/>
                <w:sz w:val="24"/>
                <w:szCs w:val="24"/>
              </w:rPr>
            </w:pPr>
          </w:p>
        </w:tc>
        <w:tc>
          <w:tcPr>
            <w:tcW w:w="1083" w:type="dxa"/>
          </w:tcPr>
          <w:p w14:paraId="69DC1A02">
            <w:pPr>
              <w:pStyle w:val="38"/>
              <w:spacing w:line="460" w:lineRule="exact"/>
              <w:ind w:firstLine="0" w:firstLineChars="0"/>
              <w:rPr>
                <w:rFonts w:asciiTheme="minorEastAsia" w:hAnsiTheme="minorEastAsia" w:eastAsiaTheme="minorEastAsia" w:cstheme="minorEastAsia"/>
                <w:kern w:val="0"/>
                <w:sz w:val="24"/>
                <w:szCs w:val="24"/>
              </w:rPr>
            </w:pPr>
          </w:p>
        </w:tc>
      </w:tr>
      <w:tr w14:paraId="30D54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vAlign w:val="center"/>
          </w:tcPr>
          <w:p w14:paraId="68306615">
            <w:pPr>
              <w:widowControl/>
              <w:spacing w:line="360" w:lineRule="exact"/>
              <w:jc w:val="center"/>
              <w:rPr>
                <w:rFonts w:ascii="宋体" w:hAnsi="宋体" w:cs="宋体"/>
                <w:bCs/>
                <w:kern w:val="0"/>
                <w:szCs w:val="21"/>
              </w:rPr>
            </w:pPr>
            <w:r>
              <w:rPr>
                <w:rFonts w:ascii="宋体" w:hAnsi="宋体" w:cs="宋体"/>
                <w:bCs/>
                <w:kern w:val="0"/>
                <w:szCs w:val="21"/>
              </w:rPr>
              <w:t>6</w:t>
            </w:r>
          </w:p>
        </w:tc>
        <w:tc>
          <w:tcPr>
            <w:tcW w:w="4020" w:type="dxa"/>
            <w:vAlign w:val="center"/>
          </w:tcPr>
          <w:p w14:paraId="53562446">
            <w:pPr>
              <w:pStyle w:val="9"/>
              <w:spacing w:line="360" w:lineRule="exact"/>
              <w:rPr>
                <w:rFonts w:asciiTheme="minorEastAsia" w:hAnsiTheme="minorEastAsia" w:eastAsiaTheme="minorEastAsia" w:cstheme="minorEastAsia"/>
                <w:kern w:val="0"/>
                <w:szCs w:val="21"/>
              </w:rPr>
            </w:pPr>
            <w:r>
              <w:rPr>
                <w:rFonts w:hint="eastAsia" w:ascii="宋体" w:hAnsi="宋体" w:cs="宋体"/>
                <w:sz w:val="21"/>
                <w:szCs w:val="21"/>
              </w:rPr>
              <w:t>定点加油站必须严格执行采购优惠条件，保证供油质量，准确计量，提供优质、方便快捷的服务。当油品供应紧张时，也能高效满足采购人加油需求。</w:t>
            </w:r>
          </w:p>
        </w:tc>
        <w:tc>
          <w:tcPr>
            <w:tcW w:w="2956" w:type="dxa"/>
          </w:tcPr>
          <w:p w14:paraId="1216106D">
            <w:pPr>
              <w:pStyle w:val="38"/>
              <w:spacing w:line="460" w:lineRule="exact"/>
              <w:ind w:firstLine="0" w:firstLineChars="0"/>
              <w:rPr>
                <w:rFonts w:asciiTheme="minorEastAsia" w:hAnsiTheme="minorEastAsia" w:eastAsiaTheme="minorEastAsia" w:cstheme="minorEastAsia"/>
                <w:kern w:val="0"/>
                <w:sz w:val="24"/>
                <w:szCs w:val="24"/>
              </w:rPr>
            </w:pPr>
          </w:p>
        </w:tc>
        <w:tc>
          <w:tcPr>
            <w:tcW w:w="1083" w:type="dxa"/>
          </w:tcPr>
          <w:p w14:paraId="7380D76C">
            <w:pPr>
              <w:pStyle w:val="38"/>
              <w:spacing w:line="460" w:lineRule="exact"/>
              <w:ind w:firstLine="0" w:firstLineChars="0"/>
              <w:rPr>
                <w:rFonts w:asciiTheme="minorEastAsia" w:hAnsiTheme="minorEastAsia" w:eastAsiaTheme="minorEastAsia" w:cstheme="minorEastAsia"/>
                <w:kern w:val="0"/>
                <w:sz w:val="24"/>
                <w:szCs w:val="24"/>
              </w:rPr>
            </w:pPr>
          </w:p>
        </w:tc>
      </w:tr>
      <w:tr w14:paraId="6C756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vAlign w:val="center"/>
          </w:tcPr>
          <w:p w14:paraId="0061EA34">
            <w:pPr>
              <w:widowControl/>
              <w:spacing w:line="360" w:lineRule="exact"/>
              <w:jc w:val="center"/>
              <w:rPr>
                <w:rFonts w:ascii="宋体" w:hAnsi="宋体" w:cs="宋体"/>
                <w:bCs/>
                <w:kern w:val="0"/>
                <w:szCs w:val="21"/>
              </w:rPr>
            </w:pPr>
            <w:r>
              <w:rPr>
                <w:rFonts w:ascii="宋体" w:hAnsi="宋体" w:cs="宋体"/>
                <w:bCs/>
                <w:kern w:val="0"/>
                <w:szCs w:val="21"/>
              </w:rPr>
              <w:t>7</w:t>
            </w:r>
          </w:p>
        </w:tc>
        <w:tc>
          <w:tcPr>
            <w:tcW w:w="4020" w:type="dxa"/>
            <w:vAlign w:val="center"/>
          </w:tcPr>
          <w:p w14:paraId="10EE641F">
            <w:pPr>
              <w:pStyle w:val="9"/>
              <w:spacing w:line="360" w:lineRule="exact"/>
              <w:rPr>
                <w:rFonts w:asciiTheme="minorEastAsia" w:hAnsiTheme="minorEastAsia" w:eastAsiaTheme="minorEastAsia" w:cstheme="minorEastAsia"/>
                <w:kern w:val="0"/>
                <w:szCs w:val="21"/>
              </w:rPr>
            </w:pPr>
            <w:r>
              <w:rPr>
                <w:rFonts w:hint="eastAsia" w:ascii="宋体" w:hAnsi="宋体" w:cs="宋体"/>
                <w:sz w:val="21"/>
                <w:szCs w:val="21"/>
              </w:rPr>
              <w:t>投标人必须承诺采取切实措施保证油品供应。除不可抗力事件外(不可抗力包括:火灾、骚乱、地震、台风、大面积停油等自身不能预见或不能避免或不能克服的客观情况;上述情况以相关部门出具的报案或书面证明为准)，在合同期限内，不论市场如何波动，保证不断油、不停供。无正当理由，不得拖延或拒绝为采购单位车辆加油。</w:t>
            </w:r>
          </w:p>
        </w:tc>
        <w:tc>
          <w:tcPr>
            <w:tcW w:w="2956" w:type="dxa"/>
          </w:tcPr>
          <w:p w14:paraId="102F2E0B">
            <w:pPr>
              <w:pStyle w:val="38"/>
              <w:spacing w:line="460" w:lineRule="exact"/>
              <w:ind w:firstLine="0" w:firstLineChars="0"/>
              <w:rPr>
                <w:rFonts w:asciiTheme="minorEastAsia" w:hAnsiTheme="minorEastAsia" w:eastAsiaTheme="minorEastAsia" w:cstheme="minorEastAsia"/>
                <w:kern w:val="0"/>
                <w:sz w:val="24"/>
                <w:szCs w:val="24"/>
              </w:rPr>
            </w:pPr>
          </w:p>
        </w:tc>
        <w:tc>
          <w:tcPr>
            <w:tcW w:w="1083" w:type="dxa"/>
          </w:tcPr>
          <w:p w14:paraId="7D060EDE">
            <w:pPr>
              <w:pStyle w:val="38"/>
              <w:spacing w:line="460" w:lineRule="exact"/>
              <w:ind w:firstLine="0" w:firstLineChars="0"/>
              <w:rPr>
                <w:rFonts w:asciiTheme="minorEastAsia" w:hAnsiTheme="minorEastAsia" w:eastAsiaTheme="minorEastAsia" w:cstheme="minorEastAsia"/>
                <w:kern w:val="0"/>
                <w:sz w:val="24"/>
                <w:szCs w:val="24"/>
              </w:rPr>
            </w:pPr>
          </w:p>
        </w:tc>
      </w:tr>
      <w:tr w14:paraId="59F20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dxa"/>
            <w:vAlign w:val="center"/>
          </w:tcPr>
          <w:p w14:paraId="6F16B8E6">
            <w:pPr>
              <w:widowControl/>
              <w:spacing w:line="360" w:lineRule="exact"/>
              <w:jc w:val="center"/>
              <w:rPr>
                <w:rFonts w:ascii="宋体" w:hAnsi="宋体" w:cs="宋体"/>
                <w:bCs/>
                <w:kern w:val="0"/>
                <w:szCs w:val="21"/>
              </w:rPr>
            </w:pPr>
            <w:r>
              <w:rPr>
                <w:rFonts w:ascii="宋体" w:hAnsi="宋体" w:cs="宋体"/>
                <w:bCs/>
                <w:kern w:val="0"/>
                <w:szCs w:val="21"/>
              </w:rPr>
              <w:t>8</w:t>
            </w:r>
          </w:p>
        </w:tc>
        <w:tc>
          <w:tcPr>
            <w:tcW w:w="4020" w:type="dxa"/>
            <w:vAlign w:val="center"/>
          </w:tcPr>
          <w:p w14:paraId="4DA99842">
            <w:pPr>
              <w:pStyle w:val="9"/>
              <w:spacing w:line="360" w:lineRule="exact"/>
              <w:ind w:firstLine="0" w:firstLineChars="0"/>
              <w:rPr>
                <w:rFonts w:asciiTheme="minorEastAsia" w:hAnsiTheme="minorEastAsia" w:eastAsiaTheme="minorEastAsia" w:cstheme="minorEastAsia"/>
                <w:kern w:val="0"/>
                <w:szCs w:val="21"/>
              </w:rPr>
            </w:pPr>
            <w:r>
              <w:rPr>
                <w:rFonts w:hint="eastAsia" w:ascii="宋体" w:hAnsi="宋体" w:cs="宋体"/>
                <w:sz w:val="21"/>
                <w:szCs w:val="21"/>
              </w:rPr>
              <w:t>投标人能够提供应急情况下移动加油服务，配备移动加油车辆</w:t>
            </w:r>
            <w:r>
              <w:rPr>
                <w:rFonts w:hint="eastAsia" w:ascii="宋体" w:hAnsi="宋体" w:cs="宋体"/>
                <w:sz w:val="21"/>
                <w:szCs w:val="21"/>
                <w:lang w:eastAsia="zh-CN"/>
              </w:rPr>
              <w:t>。</w:t>
            </w:r>
          </w:p>
        </w:tc>
        <w:tc>
          <w:tcPr>
            <w:tcW w:w="2956" w:type="dxa"/>
          </w:tcPr>
          <w:p w14:paraId="7E42F6F0">
            <w:pPr>
              <w:pStyle w:val="38"/>
              <w:spacing w:line="460" w:lineRule="exact"/>
              <w:ind w:firstLine="0" w:firstLineChars="0"/>
              <w:rPr>
                <w:rFonts w:asciiTheme="minorEastAsia" w:hAnsiTheme="minorEastAsia" w:eastAsiaTheme="minorEastAsia" w:cstheme="minorEastAsia"/>
                <w:kern w:val="0"/>
                <w:sz w:val="24"/>
                <w:szCs w:val="24"/>
              </w:rPr>
            </w:pPr>
          </w:p>
        </w:tc>
        <w:tc>
          <w:tcPr>
            <w:tcW w:w="1083" w:type="dxa"/>
          </w:tcPr>
          <w:p w14:paraId="6A0842A8">
            <w:pPr>
              <w:pStyle w:val="38"/>
              <w:spacing w:line="460" w:lineRule="exact"/>
              <w:ind w:firstLine="0" w:firstLineChars="0"/>
              <w:rPr>
                <w:rFonts w:asciiTheme="minorEastAsia" w:hAnsiTheme="minorEastAsia" w:eastAsiaTheme="minorEastAsia" w:cstheme="minorEastAsia"/>
                <w:kern w:val="0"/>
                <w:sz w:val="24"/>
                <w:szCs w:val="24"/>
              </w:rPr>
            </w:pPr>
          </w:p>
        </w:tc>
      </w:tr>
      <w:tr w14:paraId="54373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1" w:type="dxa"/>
            <w:gridSpan w:val="4"/>
            <w:vAlign w:val="center"/>
          </w:tcPr>
          <w:p w14:paraId="3645E398">
            <w:pPr>
              <w:pStyle w:val="5"/>
              <w:spacing w:line="440" w:lineRule="exact"/>
              <w:jc w:val="left"/>
              <w:outlineLvl w:val="3"/>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注：按“第二章</w:t>
            </w:r>
            <w:r>
              <w:rPr>
                <w:rFonts w:asciiTheme="minorEastAsia" w:hAnsiTheme="minorEastAsia" w:eastAsiaTheme="minorEastAsia" w:cstheme="minorEastAsia"/>
                <w:kern w:val="0"/>
                <w:sz w:val="24"/>
                <w:szCs w:val="24"/>
              </w:rPr>
              <w:t xml:space="preserve">  </w:t>
            </w:r>
            <w:r>
              <w:rPr>
                <w:rFonts w:hint="eastAsia" w:asciiTheme="minorEastAsia" w:hAnsiTheme="minorEastAsia" w:eastAsiaTheme="minorEastAsia" w:cstheme="minorEastAsia"/>
                <w:kern w:val="0"/>
                <w:sz w:val="24"/>
                <w:szCs w:val="24"/>
              </w:rPr>
              <w:t>项目需求和说明”逐条响应</w:t>
            </w:r>
          </w:p>
        </w:tc>
      </w:tr>
    </w:tbl>
    <w:p w14:paraId="6683F357">
      <w:pPr>
        <w:pStyle w:val="10"/>
      </w:pPr>
    </w:p>
    <w:p w14:paraId="6F1B3B4D">
      <w:pPr>
        <w:spacing w:line="0" w:lineRule="atLeast"/>
        <w:rPr>
          <w:rFonts w:ascii="宋体" w:hAnsi="宋体" w:cs="宋体"/>
          <w:b/>
          <w:sz w:val="30"/>
          <w:szCs w:val="30"/>
        </w:rPr>
      </w:pPr>
    </w:p>
    <w:p w14:paraId="02BEEBFE">
      <w:pPr>
        <w:spacing w:line="0" w:lineRule="atLeast"/>
        <w:jc w:val="center"/>
        <w:rPr>
          <w:rFonts w:ascii="宋体" w:hAnsi="宋体" w:cs="宋体"/>
          <w:b/>
          <w:sz w:val="30"/>
          <w:szCs w:val="30"/>
        </w:rPr>
      </w:pPr>
    </w:p>
    <w:p w14:paraId="71701BDA">
      <w:pPr>
        <w:spacing w:line="0" w:lineRule="atLeast"/>
        <w:jc w:val="center"/>
        <w:rPr>
          <w:rFonts w:ascii="宋体" w:hAnsi="宋体" w:cs="宋体"/>
          <w:b/>
          <w:sz w:val="30"/>
          <w:szCs w:val="30"/>
        </w:rPr>
      </w:pPr>
    </w:p>
    <w:p w14:paraId="74E97D52">
      <w:pPr>
        <w:spacing w:line="0" w:lineRule="atLeast"/>
        <w:jc w:val="center"/>
        <w:rPr>
          <w:rFonts w:ascii="宋体" w:hAnsi="宋体" w:cs="宋体"/>
          <w:b/>
          <w:sz w:val="30"/>
          <w:szCs w:val="30"/>
        </w:rPr>
      </w:pPr>
    </w:p>
    <w:p w14:paraId="3C799EC3">
      <w:pPr>
        <w:spacing w:line="0" w:lineRule="atLeast"/>
        <w:jc w:val="center"/>
        <w:rPr>
          <w:rFonts w:ascii="宋体" w:hAnsi="宋体" w:cs="宋体"/>
          <w:b/>
          <w:sz w:val="30"/>
          <w:szCs w:val="30"/>
        </w:rPr>
      </w:pPr>
    </w:p>
    <w:p w14:paraId="20CC6EF1">
      <w:pPr>
        <w:spacing w:line="0" w:lineRule="atLeast"/>
        <w:jc w:val="center"/>
        <w:rPr>
          <w:rFonts w:ascii="宋体" w:hAnsi="宋体" w:cs="宋体"/>
          <w:b/>
          <w:sz w:val="30"/>
          <w:szCs w:val="30"/>
        </w:rPr>
      </w:pPr>
    </w:p>
    <w:p w14:paraId="5DC8CDB2">
      <w:pPr>
        <w:spacing w:line="0" w:lineRule="atLeast"/>
        <w:jc w:val="center"/>
        <w:rPr>
          <w:rFonts w:ascii="宋体" w:hAnsi="宋体" w:cs="宋体"/>
          <w:b/>
          <w:sz w:val="30"/>
          <w:szCs w:val="30"/>
        </w:rPr>
      </w:pPr>
    </w:p>
    <w:p w14:paraId="7B87FDB4">
      <w:pPr>
        <w:spacing w:line="0" w:lineRule="atLeast"/>
        <w:jc w:val="center"/>
        <w:rPr>
          <w:rFonts w:ascii="宋体" w:hAnsi="宋体" w:cs="宋体"/>
          <w:b/>
          <w:sz w:val="30"/>
          <w:szCs w:val="30"/>
        </w:rPr>
      </w:pPr>
    </w:p>
    <w:p w14:paraId="2B1CCCA4">
      <w:pPr>
        <w:spacing w:line="0" w:lineRule="atLeast"/>
        <w:jc w:val="center"/>
        <w:rPr>
          <w:rFonts w:ascii="宋体" w:hAnsi="宋体" w:cs="宋体"/>
          <w:b/>
          <w:sz w:val="30"/>
          <w:szCs w:val="30"/>
        </w:rPr>
      </w:pPr>
    </w:p>
    <w:p w14:paraId="0AE378F0">
      <w:pPr>
        <w:spacing w:line="0" w:lineRule="atLeast"/>
        <w:jc w:val="center"/>
        <w:rPr>
          <w:rFonts w:ascii="宋体" w:hAnsi="宋体" w:cs="宋体"/>
          <w:b/>
          <w:sz w:val="30"/>
          <w:szCs w:val="30"/>
        </w:rPr>
      </w:pPr>
    </w:p>
    <w:p w14:paraId="53A33BFE">
      <w:pPr>
        <w:spacing w:line="0" w:lineRule="atLeast"/>
        <w:jc w:val="center"/>
        <w:rPr>
          <w:rFonts w:ascii="宋体" w:hAnsi="宋体" w:cs="宋体"/>
          <w:b/>
          <w:sz w:val="30"/>
          <w:szCs w:val="30"/>
        </w:rPr>
      </w:pPr>
    </w:p>
    <w:p w14:paraId="384170F1">
      <w:pPr>
        <w:jc w:val="left"/>
        <w:rPr>
          <w:rFonts w:ascii="宋体" w:hAnsi="宋体" w:cs="宋体"/>
          <w:b/>
          <w:sz w:val="30"/>
          <w:szCs w:val="30"/>
        </w:rPr>
      </w:pPr>
      <w:r>
        <w:rPr>
          <w:rFonts w:ascii="宋体" w:hAnsi="宋体" w:cs="宋体"/>
          <w:b/>
          <w:sz w:val="30"/>
          <w:szCs w:val="30"/>
        </w:rPr>
        <w:br w:type="page"/>
      </w:r>
    </w:p>
    <w:p w14:paraId="41969615">
      <w:pPr>
        <w:spacing w:line="0" w:lineRule="atLeast"/>
        <w:jc w:val="center"/>
        <w:rPr>
          <w:rFonts w:ascii="宋体" w:hAnsi="宋体" w:cs="宋体"/>
          <w:sz w:val="24"/>
        </w:rPr>
      </w:pPr>
      <w:r>
        <w:rPr>
          <w:rFonts w:hint="eastAsia" w:ascii="宋体" w:hAnsi="宋体" w:cs="宋体"/>
          <w:b/>
          <w:sz w:val="30"/>
          <w:szCs w:val="30"/>
        </w:rPr>
        <w:t>商务需求响应表</w:t>
      </w:r>
    </w:p>
    <w:p w14:paraId="490876E0">
      <w:pPr>
        <w:spacing w:line="420" w:lineRule="exact"/>
        <w:rPr>
          <w:rFonts w:ascii="宋体" w:hAnsi="宋体" w:cs="宋体"/>
          <w:sz w:val="24"/>
          <w:u w:val="single"/>
        </w:rPr>
      </w:pPr>
      <w:r>
        <w:rPr>
          <w:rFonts w:hint="eastAsia" w:ascii="宋体" w:hAnsi="宋体" w:cs="宋体"/>
          <w:sz w:val="24"/>
        </w:rPr>
        <w:t>采购项目名称</w:t>
      </w:r>
      <w:r>
        <w:rPr>
          <w:rFonts w:ascii="宋体" w:hAnsi="宋体" w:cs="宋体"/>
          <w:sz w:val="24"/>
        </w:rPr>
        <w:t>:</w:t>
      </w:r>
      <w:r>
        <w:rPr>
          <w:rFonts w:ascii="宋体" w:hAnsi="宋体" w:cs="宋体"/>
          <w:sz w:val="24"/>
          <w:u w:val="single"/>
        </w:rPr>
        <w:t xml:space="preserve">               </w:t>
      </w:r>
    </w:p>
    <w:p w14:paraId="64C541A5">
      <w:pPr>
        <w:spacing w:line="420" w:lineRule="exact"/>
        <w:rPr>
          <w:rFonts w:hAnsi="宋体" w:cs="宋体"/>
          <w:sz w:val="24"/>
          <w:u w:val="single"/>
        </w:rPr>
      </w:pPr>
      <w:r>
        <w:rPr>
          <w:rFonts w:hint="eastAsia" w:hAnsi="宋体" w:cs="宋体"/>
          <w:sz w:val="24"/>
        </w:rPr>
        <w:t>采购项目编号</w:t>
      </w:r>
      <w:r>
        <w:rPr>
          <w:rFonts w:ascii="宋体" w:hAnsi="宋体" w:cs="宋体"/>
          <w:sz w:val="24"/>
        </w:rPr>
        <w:t>:</w:t>
      </w:r>
      <w:r>
        <w:rPr>
          <w:rFonts w:hAnsi="宋体" w:cs="宋体"/>
          <w:sz w:val="24"/>
          <w:u w:val="single"/>
        </w:rPr>
        <w:t xml:space="preserve">               </w:t>
      </w:r>
    </w:p>
    <w:p w14:paraId="7E7441B6">
      <w:pPr>
        <w:pStyle w:val="7"/>
        <w:ind w:left="0"/>
        <w:rPr>
          <w:rFonts w:ascii="宋体" w:hAnsi="宋体" w:cs="宋体"/>
          <w:sz w:val="24"/>
        </w:rPr>
      </w:pPr>
    </w:p>
    <w:tbl>
      <w:tblPr>
        <w:tblStyle w:val="25"/>
        <w:tblW w:w="10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1"/>
        <w:gridCol w:w="4401"/>
        <w:gridCol w:w="3639"/>
        <w:gridCol w:w="741"/>
      </w:tblGrid>
      <w:tr w14:paraId="1CF70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221" w:type="dxa"/>
            <w:shd w:val="clear" w:color="auto" w:fill="auto"/>
            <w:vAlign w:val="center"/>
          </w:tcPr>
          <w:p w14:paraId="4D09DD1A">
            <w:pPr>
              <w:snapToGrid w:val="0"/>
              <w:spacing w:line="300" w:lineRule="exact"/>
              <w:jc w:val="center"/>
              <w:rPr>
                <w:rFonts w:ascii="宋体" w:hAnsi="宋体" w:cs="宋体"/>
                <w:b/>
                <w:szCs w:val="21"/>
              </w:rPr>
            </w:pPr>
            <w:r>
              <w:rPr>
                <w:rFonts w:hint="eastAsia" w:ascii="宋体" w:hAnsi="宋体" w:cs="宋体"/>
                <w:b/>
                <w:szCs w:val="21"/>
              </w:rPr>
              <w:t>服务要求</w:t>
            </w:r>
          </w:p>
        </w:tc>
        <w:tc>
          <w:tcPr>
            <w:tcW w:w="4401" w:type="dxa"/>
            <w:shd w:val="clear" w:color="auto" w:fill="auto"/>
            <w:vAlign w:val="center"/>
          </w:tcPr>
          <w:p w14:paraId="0E73FD33">
            <w:pPr>
              <w:snapToGrid w:val="0"/>
              <w:spacing w:line="300" w:lineRule="exact"/>
              <w:jc w:val="center"/>
              <w:rPr>
                <w:rFonts w:ascii="宋体" w:hAnsi="宋体" w:cs="宋体"/>
                <w:b/>
                <w:szCs w:val="21"/>
              </w:rPr>
            </w:pPr>
            <w:r>
              <w:rPr>
                <w:rFonts w:hint="eastAsia" w:ascii="宋体" w:hAnsi="宋体" w:cs="宋体"/>
                <w:b/>
                <w:szCs w:val="21"/>
              </w:rPr>
              <w:t>服务要求内容</w:t>
            </w:r>
          </w:p>
        </w:tc>
        <w:tc>
          <w:tcPr>
            <w:tcW w:w="3639" w:type="dxa"/>
            <w:shd w:val="clear" w:color="auto" w:fill="auto"/>
            <w:vAlign w:val="center"/>
          </w:tcPr>
          <w:p w14:paraId="12C53D56">
            <w:pPr>
              <w:snapToGrid w:val="0"/>
              <w:spacing w:line="300" w:lineRule="exact"/>
              <w:jc w:val="center"/>
              <w:rPr>
                <w:rFonts w:ascii="宋体" w:hAnsi="宋体" w:cs="宋体"/>
                <w:b/>
                <w:szCs w:val="21"/>
              </w:rPr>
            </w:pPr>
            <w:r>
              <w:rPr>
                <w:rFonts w:hint="eastAsia" w:asciiTheme="minorEastAsia" w:hAnsiTheme="minorEastAsia" w:eastAsiaTheme="minorEastAsia" w:cstheme="minorEastAsia"/>
                <w:b/>
                <w:bCs/>
                <w:spacing w:val="1"/>
                <w:szCs w:val="21"/>
              </w:rPr>
              <w:t>投标文件的</w:t>
            </w:r>
            <w:r>
              <w:rPr>
                <w:rFonts w:hint="eastAsia" w:ascii="宋体" w:hAnsi="宋体" w:cs="宋体"/>
                <w:b/>
                <w:szCs w:val="21"/>
              </w:rPr>
              <w:t>响应内容</w:t>
            </w:r>
          </w:p>
        </w:tc>
        <w:tc>
          <w:tcPr>
            <w:tcW w:w="741" w:type="dxa"/>
            <w:shd w:val="clear" w:color="auto" w:fill="auto"/>
            <w:vAlign w:val="center"/>
          </w:tcPr>
          <w:p w14:paraId="33CEBB60">
            <w:pPr>
              <w:snapToGrid w:val="0"/>
              <w:spacing w:line="300" w:lineRule="exact"/>
              <w:jc w:val="center"/>
              <w:rPr>
                <w:rFonts w:ascii="宋体" w:hAnsi="宋体" w:cs="宋体"/>
                <w:b/>
                <w:szCs w:val="21"/>
              </w:rPr>
            </w:pPr>
            <w:r>
              <w:rPr>
                <w:rFonts w:hint="eastAsia" w:ascii="宋体" w:hAnsi="宋体" w:cs="宋体"/>
                <w:b/>
                <w:szCs w:val="21"/>
              </w:rPr>
              <w:t>响应情况</w:t>
            </w:r>
          </w:p>
        </w:tc>
      </w:tr>
      <w:tr w14:paraId="7C58C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9" w:hRule="atLeast"/>
          <w:jc w:val="center"/>
        </w:trPr>
        <w:tc>
          <w:tcPr>
            <w:tcW w:w="1221" w:type="dxa"/>
            <w:shd w:val="clear" w:color="auto" w:fill="auto"/>
            <w:vAlign w:val="center"/>
          </w:tcPr>
          <w:p w14:paraId="70F7827E">
            <w:pPr>
              <w:pStyle w:val="53"/>
              <w:widowControl/>
              <w:spacing w:line="360" w:lineRule="exact"/>
              <w:ind w:left="0" w:firstLine="0"/>
              <w:jc w:val="center"/>
              <w:rPr>
                <w:bCs/>
                <w:kern w:val="0"/>
                <w:sz w:val="21"/>
                <w:szCs w:val="21"/>
              </w:rPr>
            </w:pPr>
            <w:r>
              <w:rPr>
                <w:rFonts w:hint="eastAsia"/>
                <w:bCs/>
                <w:kern w:val="0"/>
                <w:sz w:val="21"/>
                <w:szCs w:val="21"/>
              </w:rPr>
              <w:t>⑴付款方式</w:t>
            </w:r>
          </w:p>
          <w:p w14:paraId="445C8E6F">
            <w:pPr>
              <w:pStyle w:val="53"/>
              <w:widowControl/>
              <w:spacing w:line="360" w:lineRule="exact"/>
              <w:jc w:val="center"/>
              <w:rPr>
                <w:szCs w:val="21"/>
              </w:rPr>
            </w:pPr>
          </w:p>
        </w:tc>
        <w:tc>
          <w:tcPr>
            <w:tcW w:w="4401" w:type="dxa"/>
            <w:shd w:val="clear" w:color="auto" w:fill="auto"/>
          </w:tcPr>
          <w:p w14:paraId="219A7EA7">
            <w:pPr>
              <w:pStyle w:val="9"/>
              <w:spacing w:line="360" w:lineRule="exact"/>
              <w:rPr>
                <w:rFonts w:ascii="宋体" w:hAnsi="宋体" w:cs="宋体"/>
                <w:sz w:val="21"/>
                <w:szCs w:val="21"/>
              </w:rPr>
            </w:pPr>
            <w:r>
              <w:rPr>
                <w:rFonts w:hint="eastAsia" w:ascii="宋体" w:hAnsi="宋体" w:cs="宋体"/>
                <w:sz w:val="21"/>
                <w:szCs w:val="21"/>
              </w:rPr>
              <w:t>采购人以预付款方式办理加油卡充值业务，在加油站加油：</w:t>
            </w:r>
          </w:p>
          <w:p w14:paraId="03B80E2D">
            <w:pPr>
              <w:pStyle w:val="9"/>
              <w:spacing w:line="360" w:lineRule="exact"/>
              <w:rPr>
                <w:rFonts w:ascii="宋体" w:hAnsi="宋体" w:cs="宋体"/>
                <w:sz w:val="21"/>
                <w:szCs w:val="21"/>
              </w:rPr>
            </w:pPr>
            <w:r>
              <w:rPr>
                <w:rFonts w:hint="eastAsia" w:ascii="宋体" w:hAnsi="宋体" w:cs="宋体"/>
                <w:sz w:val="21"/>
                <w:szCs w:val="21"/>
              </w:rPr>
              <w:t>1.加油当天油费的结算单价按以下情况执行折算：加油当天油费的结算单价=加油当日加油站挂牌零售价×（1-合同优惠率）。</w:t>
            </w:r>
          </w:p>
          <w:p w14:paraId="1B58C35C">
            <w:pPr>
              <w:pStyle w:val="9"/>
              <w:spacing w:line="360" w:lineRule="exact"/>
              <w:rPr>
                <w:rFonts w:ascii="宋体" w:hAnsi="宋体" w:cs="宋体"/>
                <w:sz w:val="21"/>
                <w:szCs w:val="21"/>
              </w:rPr>
            </w:pPr>
            <w:r>
              <w:rPr>
                <w:rFonts w:hint="eastAsia" w:ascii="宋体" w:hAnsi="宋体" w:cs="宋体"/>
                <w:sz w:val="21"/>
                <w:szCs w:val="21"/>
              </w:rPr>
              <w:t>2.实际结算金额以车辆实际汽柴油使用量、加油当天油费的结算单价及合同下浮率作为计算依据。</w:t>
            </w:r>
          </w:p>
          <w:p w14:paraId="2133E164">
            <w:pPr>
              <w:pStyle w:val="9"/>
              <w:spacing w:line="360" w:lineRule="exact"/>
              <w:rPr>
                <w:rFonts w:ascii="宋体" w:hAnsi="宋体" w:cs="宋体"/>
                <w:sz w:val="21"/>
                <w:szCs w:val="21"/>
              </w:rPr>
            </w:pPr>
            <w:r>
              <w:rPr>
                <w:rFonts w:hint="eastAsia" w:ascii="宋体" w:hAnsi="宋体" w:cs="宋体"/>
                <w:sz w:val="21"/>
                <w:szCs w:val="21"/>
              </w:rPr>
              <w:t>3.服务期内，成交优惠率不因市场价格波动等情况而调整，投标人应综合考虑由此带来的相关风险。</w:t>
            </w:r>
          </w:p>
          <w:p w14:paraId="5EC086DE">
            <w:pPr>
              <w:pStyle w:val="9"/>
              <w:spacing w:line="360" w:lineRule="exact"/>
              <w:rPr>
                <w:rFonts w:ascii="宋体" w:hAnsi="宋体" w:cs="宋体"/>
                <w:b/>
                <w:szCs w:val="21"/>
              </w:rPr>
            </w:pPr>
            <w:r>
              <w:rPr>
                <w:rFonts w:hint="eastAsia" w:ascii="宋体" w:hAnsi="宋体" w:cs="宋体"/>
                <w:sz w:val="21"/>
                <w:szCs w:val="21"/>
              </w:rPr>
              <w:t>4.投标人按合同约定提供服务并经采购人验收合格，按月结算，采取预付款方式，采购人根据每月加油量，预付充值加油款，每月结算日后，投标人开具增值税发票报账。投标人负责提供实际使用油料情况明细表（每台车辆的每一笔加油明细及汇总金额等）供采购人和投标人双方共同核对一致并盖章确认。</w:t>
            </w:r>
          </w:p>
        </w:tc>
        <w:tc>
          <w:tcPr>
            <w:tcW w:w="3639" w:type="dxa"/>
            <w:shd w:val="clear" w:color="auto" w:fill="auto"/>
            <w:vAlign w:val="center"/>
          </w:tcPr>
          <w:p w14:paraId="1B02DDF3">
            <w:pPr>
              <w:snapToGrid w:val="0"/>
              <w:spacing w:line="280" w:lineRule="exact"/>
              <w:jc w:val="center"/>
              <w:rPr>
                <w:rFonts w:ascii="宋体" w:hAnsi="宋体" w:cs="宋体"/>
                <w:b/>
                <w:szCs w:val="21"/>
              </w:rPr>
            </w:pPr>
          </w:p>
        </w:tc>
        <w:tc>
          <w:tcPr>
            <w:tcW w:w="741" w:type="dxa"/>
            <w:shd w:val="clear" w:color="auto" w:fill="auto"/>
            <w:vAlign w:val="center"/>
          </w:tcPr>
          <w:p w14:paraId="58096AF3">
            <w:pPr>
              <w:snapToGrid w:val="0"/>
              <w:spacing w:line="280" w:lineRule="exact"/>
              <w:jc w:val="center"/>
              <w:rPr>
                <w:rFonts w:ascii="宋体" w:hAnsi="宋体" w:cs="宋体"/>
                <w:b/>
                <w:szCs w:val="21"/>
              </w:rPr>
            </w:pPr>
          </w:p>
        </w:tc>
      </w:tr>
      <w:tr w14:paraId="4F589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1221" w:type="dxa"/>
            <w:shd w:val="clear" w:color="auto" w:fill="auto"/>
            <w:vAlign w:val="center"/>
          </w:tcPr>
          <w:p w14:paraId="7478E149">
            <w:pPr>
              <w:pStyle w:val="53"/>
              <w:widowControl/>
              <w:spacing w:line="360" w:lineRule="exact"/>
              <w:ind w:left="0" w:firstLine="0"/>
              <w:jc w:val="center"/>
              <w:rPr>
                <w:szCs w:val="21"/>
              </w:rPr>
            </w:pPr>
            <w:r>
              <w:rPr>
                <w:rFonts w:hint="eastAsia"/>
                <w:bCs/>
                <w:kern w:val="0"/>
                <w:sz w:val="21"/>
                <w:szCs w:val="21"/>
              </w:rPr>
              <w:t>⑵违约责任</w:t>
            </w:r>
          </w:p>
        </w:tc>
        <w:tc>
          <w:tcPr>
            <w:tcW w:w="4401" w:type="dxa"/>
            <w:shd w:val="clear" w:color="auto" w:fill="auto"/>
          </w:tcPr>
          <w:p w14:paraId="100C8BCF">
            <w:pPr>
              <w:pStyle w:val="53"/>
              <w:widowControl/>
              <w:spacing w:line="360" w:lineRule="exact"/>
              <w:ind w:left="0" w:firstLine="0"/>
              <w:rPr>
                <w:bCs/>
                <w:kern w:val="0"/>
                <w:sz w:val="21"/>
                <w:szCs w:val="21"/>
              </w:rPr>
            </w:pPr>
            <w:r>
              <w:rPr>
                <w:rFonts w:hint="eastAsia"/>
                <w:bCs/>
                <w:kern w:val="0"/>
                <w:sz w:val="21"/>
                <w:szCs w:val="21"/>
              </w:rPr>
              <w:t>1.投标人无正当理由拒绝向采购人供油的，应当承担违约金100元/次；投标人供油计量不足的，应补足油量，并按照不足油量的10%承担违约责任；投标人供油不符合相关国家标准、行业标准、地方标准或者其他标准、规范等有关质量标准，应按照当次加油价格的10%承担违约责任。</w:t>
            </w:r>
          </w:p>
          <w:p w14:paraId="048BFCF2">
            <w:pPr>
              <w:pStyle w:val="53"/>
              <w:widowControl/>
              <w:spacing w:line="360" w:lineRule="exact"/>
              <w:ind w:left="0" w:firstLine="0"/>
              <w:rPr>
                <w:bCs/>
                <w:kern w:val="0"/>
                <w:sz w:val="21"/>
                <w:szCs w:val="21"/>
              </w:rPr>
            </w:pPr>
            <w:r>
              <w:rPr>
                <w:rFonts w:hint="eastAsia"/>
                <w:bCs/>
                <w:kern w:val="0"/>
                <w:sz w:val="21"/>
                <w:szCs w:val="21"/>
              </w:rPr>
              <w:t>2.投标人提供的货物如果侵犯了第三方合法权益而引发的任何纠纷或诉讼，均由投标人负责交涉并承担全部责任；在履行本合同过程中非因采购人的原因引发的诉讼，由投标人承担全部责任（包括不限于赔偿费、采购人的经济损失费、律师费、仲裁费、诉讼费等费用，投标人承担后，有权向第三方追偿）。</w:t>
            </w:r>
          </w:p>
          <w:p w14:paraId="40D0D306">
            <w:pPr>
              <w:pStyle w:val="53"/>
              <w:widowControl/>
              <w:spacing w:line="360" w:lineRule="exact"/>
              <w:ind w:left="0" w:firstLine="0"/>
              <w:rPr>
                <w:bCs/>
                <w:kern w:val="0"/>
                <w:sz w:val="21"/>
                <w:szCs w:val="21"/>
              </w:rPr>
            </w:pPr>
            <w:r>
              <w:rPr>
                <w:rFonts w:hint="eastAsia"/>
                <w:bCs/>
                <w:kern w:val="0"/>
                <w:sz w:val="21"/>
                <w:szCs w:val="21"/>
              </w:rPr>
              <w:t>3.投标人未按本合同和招标文件中规定的服务要求及投标文件承诺提供售后服务的，投标人应每次按本次加油金额2%向采购人支付违约金。</w:t>
            </w:r>
          </w:p>
          <w:p w14:paraId="749CA3D5">
            <w:pPr>
              <w:pStyle w:val="53"/>
              <w:widowControl/>
              <w:spacing w:line="360" w:lineRule="exact"/>
              <w:ind w:left="0" w:firstLine="0"/>
              <w:rPr>
                <w:b/>
                <w:szCs w:val="21"/>
              </w:rPr>
            </w:pPr>
            <w:r>
              <w:rPr>
                <w:rFonts w:hint="eastAsia"/>
                <w:bCs/>
                <w:kern w:val="0"/>
                <w:sz w:val="21"/>
                <w:szCs w:val="21"/>
              </w:rPr>
              <w:t>4.投标人其他违约行为按违约货款额5%收取违约金并赔偿经济损失。</w:t>
            </w:r>
          </w:p>
        </w:tc>
        <w:tc>
          <w:tcPr>
            <w:tcW w:w="3639" w:type="dxa"/>
            <w:shd w:val="clear" w:color="auto" w:fill="auto"/>
            <w:vAlign w:val="center"/>
          </w:tcPr>
          <w:p w14:paraId="38462581">
            <w:pPr>
              <w:snapToGrid w:val="0"/>
              <w:spacing w:line="280" w:lineRule="exact"/>
              <w:jc w:val="center"/>
              <w:rPr>
                <w:rFonts w:ascii="宋体" w:hAnsi="宋体" w:cs="宋体"/>
                <w:b/>
                <w:szCs w:val="21"/>
              </w:rPr>
            </w:pPr>
          </w:p>
        </w:tc>
        <w:tc>
          <w:tcPr>
            <w:tcW w:w="741" w:type="dxa"/>
            <w:shd w:val="clear" w:color="auto" w:fill="auto"/>
            <w:vAlign w:val="center"/>
          </w:tcPr>
          <w:p w14:paraId="76199AE7">
            <w:pPr>
              <w:snapToGrid w:val="0"/>
              <w:spacing w:line="280" w:lineRule="exact"/>
              <w:jc w:val="center"/>
              <w:rPr>
                <w:rFonts w:ascii="宋体" w:hAnsi="宋体" w:cs="宋体"/>
                <w:b/>
                <w:szCs w:val="21"/>
              </w:rPr>
            </w:pPr>
          </w:p>
        </w:tc>
      </w:tr>
      <w:tr w14:paraId="665C6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6" w:hRule="atLeast"/>
          <w:jc w:val="center"/>
        </w:trPr>
        <w:tc>
          <w:tcPr>
            <w:tcW w:w="1221" w:type="dxa"/>
            <w:shd w:val="clear" w:color="auto" w:fill="auto"/>
            <w:vAlign w:val="center"/>
          </w:tcPr>
          <w:p w14:paraId="58B96CF2">
            <w:pPr>
              <w:pStyle w:val="53"/>
              <w:widowControl/>
              <w:spacing w:line="360" w:lineRule="exact"/>
              <w:ind w:left="0" w:firstLine="0"/>
              <w:jc w:val="center"/>
              <w:rPr>
                <w:bCs/>
                <w:kern w:val="0"/>
                <w:sz w:val="21"/>
                <w:szCs w:val="21"/>
              </w:rPr>
            </w:pPr>
            <w:r>
              <w:rPr>
                <w:rFonts w:hint="eastAsia"/>
                <w:bCs/>
                <w:kern w:val="0"/>
                <w:sz w:val="21"/>
                <w:szCs w:val="21"/>
              </w:rPr>
              <w:t>⑶其他商务要求</w:t>
            </w:r>
          </w:p>
          <w:p w14:paraId="67BFACE1">
            <w:pPr>
              <w:pStyle w:val="53"/>
              <w:widowControl/>
              <w:spacing w:line="360" w:lineRule="exact"/>
              <w:jc w:val="center"/>
              <w:rPr>
                <w:szCs w:val="21"/>
              </w:rPr>
            </w:pPr>
          </w:p>
        </w:tc>
        <w:tc>
          <w:tcPr>
            <w:tcW w:w="4401" w:type="dxa"/>
            <w:shd w:val="clear" w:color="auto" w:fill="auto"/>
          </w:tcPr>
          <w:p w14:paraId="4BFB015E">
            <w:pPr>
              <w:pStyle w:val="53"/>
              <w:widowControl/>
              <w:spacing w:line="360" w:lineRule="exact"/>
              <w:ind w:left="0" w:firstLine="0"/>
              <w:rPr>
                <w:bCs/>
                <w:kern w:val="0"/>
                <w:sz w:val="21"/>
                <w:szCs w:val="21"/>
              </w:rPr>
            </w:pPr>
            <w:r>
              <w:rPr>
                <w:rFonts w:hint="eastAsia"/>
                <w:bCs/>
                <w:kern w:val="0"/>
                <w:sz w:val="21"/>
                <w:szCs w:val="21"/>
              </w:rPr>
              <w:t>1.</w:t>
            </w:r>
            <w:r>
              <w:rPr>
                <w:rFonts w:hint="eastAsia"/>
                <w:sz w:val="21"/>
                <w:szCs w:val="21"/>
              </w:rPr>
              <w:t>投标人</w:t>
            </w:r>
            <w:r>
              <w:rPr>
                <w:rFonts w:hint="eastAsia"/>
                <w:bCs/>
                <w:kern w:val="0"/>
                <w:sz w:val="21"/>
                <w:szCs w:val="21"/>
              </w:rPr>
              <w:t>应保证针对本项目的货物涉及到的知识产权和所提供的相关技术资料是合法取得，并享有完整的知识产权，不会因为采购人的使用而被责令停止使用，追偿或要求赔偿损失，如出现此情况，一切经济和法律责任均由</w:t>
            </w:r>
            <w:r>
              <w:rPr>
                <w:rFonts w:hint="eastAsia"/>
                <w:sz w:val="21"/>
                <w:szCs w:val="21"/>
              </w:rPr>
              <w:t>投标人</w:t>
            </w:r>
            <w:r>
              <w:rPr>
                <w:rFonts w:hint="eastAsia"/>
                <w:bCs/>
                <w:kern w:val="0"/>
                <w:sz w:val="21"/>
                <w:szCs w:val="21"/>
              </w:rPr>
              <w:t>承担。</w:t>
            </w:r>
          </w:p>
          <w:p w14:paraId="382C9A9D">
            <w:pPr>
              <w:pStyle w:val="53"/>
              <w:widowControl/>
              <w:spacing w:line="360" w:lineRule="exact"/>
              <w:ind w:left="0" w:firstLine="0"/>
              <w:rPr>
                <w:bCs/>
                <w:kern w:val="0"/>
                <w:sz w:val="21"/>
                <w:szCs w:val="21"/>
              </w:rPr>
            </w:pPr>
            <w:r>
              <w:rPr>
                <w:rFonts w:hint="eastAsia"/>
                <w:bCs/>
                <w:kern w:val="0"/>
                <w:sz w:val="21"/>
                <w:szCs w:val="21"/>
              </w:rPr>
              <w:t>2.</w:t>
            </w:r>
            <w:r>
              <w:rPr>
                <w:rFonts w:hint="eastAsia"/>
                <w:sz w:val="21"/>
                <w:szCs w:val="21"/>
              </w:rPr>
              <w:t>投标人</w:t>
            </w:r>
            <w:r>
              <w:rPr>
                <w:rFonts w:hint="eastAsia"/>
                <w:bCs/>
                <w:kern w:val="0"/>
                <w:sz w:val="21"/>
                <w:szCs w:val="21"/>
              </w:rPr>
              <w:t>应充分考虑供货成本及参数要求，如</w:t>
            </w:r>
            <w:r>
              <w:rPr>
                <w:rFonts w:hint="eastAsia"/>
                <w:sz w:val="21"/>
                <w:szCs w:val="21"/>
              </w:rPr>
              <w:t>投标人</w:t>
            </w:r>
            <w:r>
              <w:rPr>
                <w:rFonts w:hint="eastAsia"/>
                <w:bCs/>
                <w:kern w:val="0"/>
                <w:sz w:val="21"/>
                <w:szCs w:val="21"/>
              </w:rPr>
              <w:t>恶意竞争、且中标后无法按要求提供加油或者所供油品无法满足招标文件要求及投标文件承诺的，采购人有权全部退货，按违约处理，采购人保留因耽误采购人使用时间造成的损失进行赔偿的权利，移送司法机关诉诸法律手段，追究</w:t>
            </w:r>
            <w:r>
              <w:rPr>
                <w:rFonts w:hint="eastAsia"/>
                <w:sz w:val="21"/>
                <w:szCs w:val="21"/>
              </w:rPr>
              <w:t>投标人</w:t>
            </w:r>
            <w:r>
              <w:rPr>
                <w:rFonts w:hint="eastAsia"/>
                <w:bCs/>
                <w:kern w:val="0"/>
                <w:sz w:val="21"/>
                <w:szCs w:val="21"/>
              </w:rPr>
              <w:t>的法律责任，由此引发的一切后果由</w:t>
            </w:r>
            <w:r>
              <w:rPr>
                <w:rFonts w:hint="eastAsia"/>
                <w:sz w:val="21"/>
                <w:szCs w:val="21"/>
              </w:rPr>
              <w:t>投标人</w:t>
            </w:r>
            <w:r>
              <w:rPr>
                <w:rFonts w:hint="eastAsia"/>
                <w:bCs/>
                <w:kern w:val="0"/>
                <w:sz w:val="21"/>
                <w:szCs w:val="21"/>
              </w:rPr>
              <w:t>承担。</w:t>
            </w:r>
          </w:p>
          <w:p w14:paraId="36AB85AD">
            <w:pPr>
              <w:pStyle w:val="53"/>
              <w:widowControl/>
              <w:spacing w:line="360" w:lineRule="exact"/>
              <w:ind w:left="0" w:firstLine="0"/>
              <w:rPr>
                <w:b/>
                <w:szCs w:val="21"/>
              </w:rPr>
            </w:pPr>
            <w:r>
              <w:rPr>
                <w:rFonts w:hint="eastAsia"/>
                <w:bCs/>
                <w:kern w:val="0"/>
                <w:sz w:val="21"/>
                <w:szCs w:val="21"/>
              </w:rPr>
              <w:t>3.</w:t>
            </w:r>
            <w:r>
              <w:rPr>
                <w:rFonts w:hint="eastAsia"/>
                <w:sz w:val="21"/>
                <w:szCs w:val="21"/>
              </w:rPr>
              <w:t>投标人</w:t>
            </w:r>
            <w:r>
              <w:rPr>
                <w:rFonts w:hint="eastAsia"/>
                <w:bCs/>
                <w:kern w:val="0"/>
                <w:sz w:val="21"/>
                <w:szCs w:val="21"/>
              </w:rPr>
              <w:t>在本次招标活动中提供任何虚假材料，按否决投标处理；若投标人中标后，采购人发现投标人提供虚假材料的，投标人须按照《中华人民共和国消费者权益保护法》第55条规定，且民事赔偿并不免除违法</w:t>
            </w:r>
            <w:r>
              <w:rPr>
                <w:rFonts w:hint="eastAsia"/>
                <w:sz w:val="21"/>
                <w:szCs w:val="21"/>
              </w:rPr>
              <w:t>投标人</w:t>
            </w:r>
            <w:r>
              <w:rPr>
                <w:rFonts w:hint="eastAsia"/>
                <w:bCs/>
                <w:kern w:val="0"/>
                <w:sz w:val="21"/>
                <w:szCs w:val="21"/>
              </w:rPr>
              <w:t>的行政与刑事责任。</w:t>
            </w:r>
          </w:p>
        </w:tc>
        <w:tc>
          <w:tcPr>
            <w:tcW w:w="3639" w:type="dxa"/>
            <w:shd w:val="clear" w:color="auto" w:fill="auto"/>
            <w:vAlign w:val="center"/>
          </w:tcPr>
          <w:p w14:paraId="6D341DE7">
            <w:pPr>
              <w:snapToGrid w:val="0"/>
              <w:spacing w:line="280" w:lineRule="exact"/>
              <w:jc w:val="center"/>
              <w:rPr>
                <w:rFonts w:ascii="宋体" w:hAnsi="宋体" w:cs="宋体"/>
                <w:b/>
                <w:szCs w:val="21"/>
              </w:rPr>
            </w:pPr>
          </w:p>
        </w:tc>
        <w:tc>
          <w:tcPr>
            <w:tcW w:w="741" w:type="dxa"/>
            <w:shd w:val="clear" w:color="auto" w:fill="auto"/>
            <w:vAlign w:val="center"/>
          </w:tcPr>
          <w:p w14:paraId="036C21E1">
            <w:pPr>
              <w:snapToGrid w:val="0"/>
              <w:spacing w:line="280" w:lineRule="exact"/>
              <w:jc w:val="center"/>
              <w:rPr>
                <w:rFonts w:ascii="宋体" w:hAnsi="宋体" w:cs="宋体"/>
                <w:b/>
                <w:szCs w:val="21"/>
              </w:rPr>
            </w:pPr>
          </w:p>
        </w:tc>
      </w:tr>
      <w:tr w14:paraId="2B03D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0002" w:type="dxa"/>
            <w:gridSpan w:val="4"/>
            <w:shd w:val="clear" w:color="auto" w:fill="auto"/>
            <w:vAlign w:val="center"/>
          </w:tcPr>
          <w:p w14:paraId="78A9F408">
            <w:pPr>
              <w:snapToGrid w:val="0"/>
              <w:spacing w:line="280" w:lineRule="exact"/>
              <w:jc w:val="both"/>
              <w:rPr>
                <w:rFonts w:ascii="宋体" w:hAnsi="宋体" w:cs="宋体"/>
                <w:b/>
                <w:szCs w:val="21"/>
              </w:rPr>
            </w:pPr>
            <w:r>
              <w:rPr>
                <w:rFonts w:hint="eastAsia" w:ascii="宋体" w:hAnsi="宋体" w:cs="宋体"/>
                <w:b/>
                <w:szCs w:val="21"/>
              </w:rPr>
              <w:t>注：按“第二章  项目需求和说明”逐条响应</w:t>
            </w:r>
          </w:p>
        </w:tc>
      </w:tr>
    </w:tbl>
    <w:p w14:paraId="028412BE">
      <w:pPr>
        <w:spacing w:line="0" w:lineRule="atLeast"/>
        <w:rPr>
          <w:rFonts w:ascii="宋体" w:hAnsi="宋体" w:cs="宋体"/>
          <w:b/>
          <w:szCs w:val="21"/>
        </w:rPr>
      </w:pPr>
    </w:p>
    <w:p w14:paraId="1FCFB2E8">
      <w:pPr>
        <w:spacing w:line="0" w:lineRule="atLeast"/>
        <w:rPr>
          <w:rFonts w:hAnsi="宋体"/>
          <w:b/>
          <w:szCs w:val="21"/>
        </w:rPr>
      </w:pPr>
    </w:p>
    <w:p w14:paraId="7E0F2461">
      <w:pPr>
        <w:spacing w:line="0" w:lineRule="atLeast"/>
        <w:rPr>
          <w:rFonts w:hAnsi="宋体"/>
          <w:b/>
          <w:szCs w:val="21"/>
        </w:rPr>
      </w:pPr>
    </w:p>
    <w:p w14:paraId="5ED29561">
      <w:pPr>
        <w:spacing w:line="0" w:lineRule="atLeast"/>
        <w:jc w:val="both"/>
        <w:rPr>
          <w:rFonts w:hAnsi="宋体"/>
          <w:b/>
          <w:sz w:val="32"/>
          <w:szCs w:val="32"/>
        </w:rPr>
      </w:pPr>
    </w:p>
    <w:p w14:paraId="0B966F6E">
      <w:pPr>
        <w:spacing w:line="0" w:lineRule="atLeast"/>
        <w:jc w:val="center"/>
        <w:rPr>
          <w:rFonts w:hint="eastAsia" w:hAnsi="宋体"/>
          <w:b/>
          <w:sz w:val="32"/>
          <w:szCs w:val="32"/>
        </w:rPr>
      </w:pPr>
    </w:p>
    <w:p w14:paraId="7B48DE5D">
      <w:pPr>
        <w:spacing w:line="0" w:lineRule="atLeast"/>
        <w:jc w:val="center"/>
        <w:rPr>
          <w:rFonts w:hint="eastAsia" w:hAnsi="宋体"/>
          <w:b/>
          <w:sz w:val="32"/>
          <w:szCs w:val="32"/>
        </w:rPr>
      </w:pPr>
    </w:p>
    <w:p w14:paraId="042817F4">
      <w:pPr>
        <w:spacing w:line="0" w:lineRule="atLeast"/>
        <w:jc w:val="center"/>
        <w:rPr>
          <w:rFonts w:hint="eastAsia" w:hAnsi="宋体"/>
          <w:b/>
          <w:sz w:val="32"/>
          <w:szCs w:val="32"/>
        </w:rPr>
      </w:pPr>
    </w:p>
    <w:p w14:paraId="3EC0987B">
      <w:pPr>
        <w:spacing w:line="0" w:lineRule="atLeast"/>
        <w:jc w:val="center"/>
        <w:rPr>
          <w:rFonts w:hint="eastAsia" w:hAnsi="宋体"/>
          <w:b/>
          <w:sz w:val="32"/>
          <w:szCs w:val="32"/>
        </w:rPr>
      </w:pPr>
    </w:p>
    <w:p w14:paraId="6786F3E3">
      <w:pPr>
        <w:spacing w:line="0" w:lineRule="atLeast"/>
        <w:jc w:val="center"/>
        <w:rPr>
          <w:rFonts w:hint="eastAsia" w:hAnsi="宋体"/>
          <w:b/>
          <w:sz w:val="32"/>
          <w:szCs w:val="32"/>
        </w:rPr>
      </w:pPr>
    </w:p>
    <w:p w14:paraId="4D061CCA">
      <w:pPr>
        <w:spacing w:line="0" w:lineRule="atLeast"/>
        <w:jc w:val="center"/>
        <w:rPr>
          <w:rFonts w:hint="eastAsia" w:hAnsi="宋体"/>
          <w:b/>
          <w:sz w:val="32"/>
          <w:szCs w:val="32"/>
        </w:rPr>
      </w:pPr>
    </w:p>
    <w:p w14:paraId="4E0C1727">
      <w:pPr>
        <w:spacing w:line="0" w:lineRule="atLeast"/>
        <w:jc w:val="center"/>
        <w:rPr>
          <w:rFonts w:hint="eastAsia" w:hAnsi="宋体"/>
          <w:b/>
          <w:sz w:val="32"/>
          <w:szCs w:val="32"/>
        </w:rPr>
      </w:pPr>
    </w:p>
    <w:p w14:paraId="4FB98B1F">
      <w:pPr>
        <w:spacing w:line="0" w:lineRule="atLeast"/>
        <w:jc w:val="center"/>
        <w:rPr>
          <w:rFonts w:ascii="宋体" w:hAnsi="宋体"/>
          <w:b/>
          <w:sz w:val="32"/>
          <w:szCs w:val="32"/>
        </w:rPr>
      </w:pPr>
      <w:r>
        <w:rPr>
          <w:rFonts w:hint="eastAsia" w:hAnsi="宋体"/>
          <w:b/>
          <w:sz w:val="32"/>
          <w:szCs w:val="32"/>
        </w:rPr>
        <w:t>投标人根据评分标准提供其他材料</w:t>
      </w:r>
    </w:p>
    <w:p w14:paraId="1C1AF8C9">
      <w:pPr>
        <w:pStyle w:val="5"/>
      </w:pPr>
    </w:p>
    <w:sectPr>
      <w:footerReference r:id="rId4" w:type="default"/>
      <w:pgSz w:w="11906" w:h="16838"/>
      <w:pgMar w:top="1304" w:right="1304" w:bottom="130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F11B6">
    <w:pPr>
      <w:pStyle w:val="1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19469A3">
                          <w:pPr>
                            <w:pStyle w:val="1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119469A3">
                    <w:pPr>
                      <w:pStyle w:val="1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7C120">
    <w:pPr>
      <w:pStyle w:val="1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EEE3A4E">
                          <w:pPr>
                            <w:pStyle w:val="19"/>
                          </w:pPr>
                          <w:r>
                            <w:fldChar w:fldCharType="begin"/>
                          </w:r>
                          <w:r>
                            <w:instrText xml:space="preserve"> PAGE  \* MERGEFORMAT </w:instrText>
                          </w:r>
                          <w:r>
                            <w:fldChar w:fldCharType="separate"/>
                          </w:r>
                          <w:r>
                            <w:t>19</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VircYBAACb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bBWKtxgEAAJsDAAAOAAAAAAAAAAEAIAAAAB4BAABkcnMvZTJvRG9jLnht&#10;bFBLBQYAAAAABgAGAFkBAABWBQAAAAA=&#10;">
              <v:fill on="f" focussize="0,0"/>
              <v:stroke on="f"/>
              <v:imagedata o:title=""/>
              <o:lock v:ext="edit" aspectratio="f"/>
              <v:textbox inset="0mm,0mm,0mm,0mm" style="mso-fit-shape-to-text:t;">
                <w:txbxContent>
                  <w:p w14:paraId="2EEE3A4E">
                    <w:pPr>
                      <w:pStyle w:val="19"/>
                    </w:pPr>
                    <w:r>
                      <w:fldChar w:fldCharType="begin"/>
                    </w:r>
                    <w:r>
                      <w:instrText xml:space="preserve"> PAGE  \* MERGEFORMAT </w:instrText>
                    </w:r>
                    <w:r>
                      <w:fldChar w:fldCharType="separate"/>
                    </w:r>
                    <w:r>
                      <w:t>19</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946299"/>
    <w:multiLevelType w:val="singleLevel"/>
    <w:tmpl w:val="5C946299"/>
    <w:lvl w:ilvl="0" w:tentative="0">
      <w:start w:val="0"/>
      <w:numFmt w:val="decimal"/>
      <w:lvlText w:val=""/>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小薇">
    <w15:presenceInfo w15:providerId="WPS Office" w15:userId="805036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lYzBkYTEwODIwYzhjZjA1MTAxNTFkOTI0NzUzNjkifQ=="/>
  </w:docVars>
  <w:rsids>
    <w:rsidRoot w:val="1382169D"/>
    <w:rsid w:val="00016CD1"/>
    <w:rsid w:val="00026396"/>
    <w:rsid w:val="0003046C"/>
    <w:rsid w:val="000316F8"/>
    <w:rsid w:val="00035B8D"/>
    <w:rsid w:val="00054630"/>
    <w:rsid w:val="00071416"/>
    <w:rsid w:val="000916CD"/>
    <w:rsid w:val="00096FE2"/>
    <w:rsid w:val="000A42CC"/>
    <w:rsid w:val="00103897"/>
    <w:rsid w:val="00133934"/>
    <w:rsid w:val="00171715"/>
    <w:rsid w:val="00177135"/>
    <w:rsid w:val="001968C8"/>
    <w:rsid w:val="001D214E"/>
    <w:rsid w:val="001D4AB3"/>
    <w:rsid w:val="00236D74"/>
    <w:rsid w:val="00253136"/>
    <w:rsid w:val="0028253B"/>
    <w:rsid w:val="002A5935"/>
    <w:rsid w:val="002E5241"/>
    <w:rsid w:val="002E74F1"/>
    <w:rsid w:val="002F6B35"/>
    <w:rsid w:val="00301AE6"/>
    <w:rsid w:val="00327CB1"/>
    <w:rsid w:val="003C27C6"/>
    <w:rsid w:val="003E3CED"/>
    <w:rsid w:val="00441DE8"/>
    <w:rsid w:val="00454CE0"/>
    <w:rsid w:val="004879FA"/>
    <w:rsid w:val="004D39E5"/>
    <w:rsid w:val="006246BF"/>
    <w:rsid w:val="006424E5"/>
    <w:rsid w:val="00666C0C"/>
    <w:rsid w:val="0068399E"/>
    <w:rsid w:val="006B2051"/>
    <w:rsid w:val="007D0E5E"/>
    <w:rsid w:val="007E78B6"/>
    <w:rsid w:val="00840AB8"/>
    <w:rsid w:val="00854CF2"/>
    <w:rsid w:val="00875F3E"/>
    <w:rsid w:val="008F2ABB"/>
    <w:rsid w:val="00954166"/>
    <w:rsid w:val="00A03CDF"/>
    <w:rsid w:val="00A16BF8"/>
    <w:rsid w:val="00A2145D"/>
    <w:rsid w:val="00A21F17"/>
    <w:rsid w:val="00A82E44"/>
    <w:rsid w:val="00B031AC"/>
    <w:rsid w:val="00B927BE"/>
    <w:rsid w:val="00BD0062"/>
    <w:rsid w:val="00BE75C1"/>
    <w:rsid w:val="00C033BD"/>
    <w:rsid w:val="00C44F1C"/>
    <w:rsid w:val="00C56DAB"/>
    <w:rsid w:val="00C93052"/>
    <w:rsid w:val="00CE5013"/>
    <w:rsid w:val="00D47E0D"/>
    <w:rsid w:val="00DB4E7D"/>
    <w:rsid w:val="00DE743F"/>
    <w:rsid w:val="00E2240C"/>
    <w:rsid w:val="00EA470C"/>
    <w:rsid w:val="00EC5EA9"/>
    <w:rsid w:val="00F40163"/>
    <w:rsid w:val="00F96C12"/>
    <w:rsid w:val="01CC0983"/>
    <w:rsid w:val="02477EC2"/>
    <w:rsid w:val="02683984"/>
    <w:rsid w:val="02B52671"/>
    <w:rsid w:val="02FD0CF1"/>
    <w:rsid w:val="03170066"/>
    <w:rsid w:val="03D760FC"/>
    <w:rsid w:val="040C25C7"/>
    <w:rsid w:val="04243DB5"/>
    <w:rsid w:val="0439090E"/>
    <w:rsid w:val="04B37A2D"/>
    <w:rsid w:val="050745CD"/>
    <w:rsid w:val="059238F8"/>
    <w:rsid w:val="0659586C"/>
    <w:rsid w:val="07007FB0"/>
    <w:rsid w:val="07131B99"/>
    <w:rsid w:val="0774597E"/>
    <w:rsid w:val="07B1527D"/>
    <w:rsid w:val="07D72731"/>
    <w:rsid w:val="084A6CA8"/>
    <w:rsid w:val="08DC4C5E"/>
    <w:rsid w:val="08E753B1"/>
    <w:rsid w:val="08FA6292"/>
    <w:rsid w:val="0951415D"/>
    <w:rsid w:val="0986545C"/>
    <w:rsid w:val="09BC05EC"/>
    <w:rsid w:val="09D26538"/>
    <w:rsid w:val="0AC32F5A"/>
    <w:rsid w:val="0B2B77D7"/>
    <w:rsid w:val="0B6708EC"/>
    <w:rsid w:val="0BBB53E9"/>
    <w:rsid w:val="0C410494"/>
    <w:rsid w:val="0C607D04"/>
    <w:rsid w:val="0CBB0F91"/>
    <w:rsid w:val="0D1E53E8"/>
    <w:rsid w:val="0DA37AF0"/>
    <w:rsid w:val="0DA737E2"/>
    <w:rsid w:val="0E1F47C3"/>
    <w:rsid w:val="0ED85BEE"/>
    <w:rsid w:val="0F100784"/>
    <w:rsid w:val="0F144FD0"/>
    <w:rsid w:val="0F1477F1"/>
    <w:rsid w:val="0F307AB2"/>
    <w:rsid w:val="0F8D7EF3"/>
    <w:rsid w:val="110A2690"/>
    <w:rsid w:val="114F21D0"/>
    <w:rsid w:val="11574FFC"/>
    <w:rsid w:val="119D51A7"/>
    <w:rsid w:val="11C369CD"/>
    <w:rsid w:val="11E06E41"/>
    <w:rsid w:val="12936D65"/>
    <w:rsid w:val="13195B80"/>
    <w:rsid w:val="136F3FF2"/>
    <w:rsid w:val="1382169D"/>
    <w:rsid w:val="138C54D3"/>
    <w:rsid w:val="13932382"/>
    <w:rsid w:val="13ED1A3D"/>
    <w:rsid w:val="141D2BC3"/>
    <w:rsid w:val="142B4CEC"/>
    <w:rsid w:val="14917093"/>
    <w:rsid w:val="149A7571"/>
    <w:rsid w:val="14C56781"/>
    <w:rsid w:val="150F1F18"/>
    <w:rsid w:val="152279A2"/>
    <w:rsid w:val="15B81AAD"/>
    <w:rsid w:val="167100F6"/>
    <w:rsid w:val="17021BD7"/>
    <w:rsid w:val="176E5B42"/>
    <w:rsid w:val="188350F6"/>
    <w:rsid w:val="18EC5F6C"/>
    <w:rsid w:val="19236F54"/>
    <w:rsid w:val="19240790"/>
    <w:rsid w:val="195B717C"/>
    <w:rsid w:val="19692D39"/>
    <w:rsid w:val="197D7C42"/>
    <w:rsid w:val="19B749B1"/>
    <w:rsid w:val="1A2C63B1"/>
    <w:rsid w:val="1A8A68FD"/>
    <w:rsid w:val="1AEE25CF"/>
    <w:rsid w:val="1BFB4B15"/>
    <w:rsid w:val="1C14008C"/>
    <w:rsid w:val="1CA55D24"/>
    <w:rsid w:val="1D213EAF"/>
    <w:rsid w:val="1D2E7C28"/>
    <w:rsid w:val="1D550BE9"/>
    <w:rsid w:val="1D6F2F20"/>
    <w:rsid w:val="1EB1403F"/>
    <w:rsid w:val="1EBF357F"/>
    <w:rsid w:val="1FE639ED"/>
    <w:rsid w:val="201F4C41"/>
    <w:rsid w:val="20854155"/>
    <w:rsid w:val="208B10B6"/>
    <w:rsid w:val="20D34741"/>
    <w:rsid w:val="21895A79"/>
    <w:rsid w:val="21A306E8"/>
    <w:rsid w:val="21A91DD1"/>
    <w:rsid w:val="21B971A7"/>
    <w:rsid w:val="2205092A"/>
    <w:rsid w:val="228856AB"/>
    <w:rsid w:val="237B69CA"/>
    <w:rsid w:val="243E26CD"/>
    <w:rsid w:val="25CC7E3D"/>
    <w:rsid w:val="25E023B3"/>
    <w:rsid w:val="26026DCB"/>
    <w:rsid w:val="26080819"/>
    <w:rsid w:val="260D5FD0"/>
    <w:rsid w:val="27AC53B6"/>
    <w:rsid w:val="280076E6"/>
    <w:rsid w:val="28083D45"/>
    <w:rsid w:val="280F4863"/>
    <w:rsid w:val="28CD5F1A"/>
    <w:rsid w:val="290752BF"/>
    <w:rsid w:val="29082E95"/>
    <w:rsid w:val="29575C73"/>
    <w:rsid w:val="2A2E6B02"/>
    <w:rsid w:val="2AAE4597"/>
    <w:rsid w:val="2AB949A8"/>
    <w:rsid w:val="2AF97F39"/>
    <w:rsid w:val="2B542366"/>
    <w:rsid w:val="2B793605"/>
    <w:rsid w:val="2BEF16B5"/>
    <w:rsid w:val="2BFF4CF2"/>
    <w:rsid w:val="2C6142EF"/>
    <w:rsid w:val="2CAC44FE"/>
    <w:rsid w:val="2CCF04B2"/>
    <w:rsid w:val="2CEF7B05"/>
    <w:rsid w:val="2D1E4F96"/>
    <w:rsid w:val="2D2C4FA8"/>
    <w:rsid w:val="2D37421B"/>
    <w:rsid w:val="2F212776"/>
    <w:rsid w:val="2F803CE6"/>
    <w:rsid w:val="2F8070B6"/>
    <w:rsid w:val="2F8F690F"/>
    <w:rsid w:val="30933641"/>
    <w:rsid w:val="312A1C3D"/>
    <w:rsid w:val="313F54DB"/>
    <w:rsid w:val="31D43762"/>
    <w:rsid w:val="321C56C6"/>
    <w:rsid w:val="324673DF"/>
    <w:rsid w:val="3279475B"/>
    <w:rsid w:val="329761A5"/>
    <w:rsid w:val="32B0162D"/>
    <w:rsid w:val="33912141"/>
    <w:rsid w:val="33D86299"/>
    <w:rsid w:val="33E07B69"/>
    <w:rsid w:val="341C79D9"/>
    <w:rsid w:val="3495360E"/>
    <w:rsid w:val="34BF4EEE"/>
    <w:rsid w:val="34CD5E58"/>
    <w:rsid w:val="35750DC5"/>
    <w:rsid w:val="35DA7E89"/>
    <w:rsid w:val="36173CCD"/>
    <w:rsid w:val="379F3931"/>
    <w:rsid w:val="38085B45"/>
    <w:rsid w:val="38624687"/>
    <w:rsid w:val="389F0A37"/>
    <w:rsid w:val="3981345F"/>
    <w:rsid w:val="39CF7145"/>
    <w:rsid w:val="39E373A4"/>
    <w:rsid w:val="3A576195"/>
    <w:rsid w:val="3AC743FB"/>
    <w:rsid w:val="3ADD3822"/>
    <w:rsid w:val="3B3C456A"/>
    <w:rsid w:val="3B512793"/>
    <w:rsid w:val="3C0D57D9"/>
    <w:rsid w:val="3C4367D2"/>
    <w:rsid w:val="3C4F309A"/>
    <w:rsid w:val="3C990531"/>
    <w:rsid w:val="3D43787A"/>
    <w:rsid w:val="3E3A59A8"/>
    <w:rsid w:val="3EED2C60"/>
    <w:rsid w:val="404623E2"/>
    <w:rsid w:val="40CB61A3"/>
    <w:rsid w:val="4142490E"/>
    <w:rsid w:val="419D213C"/>
    <w:rsid w:val="423A41C8"/>
    <w:rsid w:val="42841AF1"/>
    <w:rsid w:val="42863674"/>
    <w:rsid w:val="429E19A1"/>
    <w:rsid w:val="42B356F4"/>
    <w:rsid w:val="42DF230B"/>
    <w:rsid w:val="42E21359"/>
    <w:rsid w:val="435D0145"/>
    <w:rsid w:val="43CC0E50"/>
    <w:rsid w:val="44457C73"/>
    <w:rsid w:val="44613C8E"/>
    <w:rsid w:val="45240818"/>
    <w:rsid w:val="4597723C"/>
    <w:rsid w:val="46764208"/>
    <w:rsid w:val="46AF231E"/>
    <w:rsid w:val="46B33190"/>
    <w:rsid w:val="46EB31A0"/>
    <w:rsid w:val="479B2F0C"/>
    <w:rsid w:val="483A4452"/>
    <w:rsid w:val="48BB490C"/>
    <w:rsid w:val="48FA4C52"/>
    <w:rsid w:val="4A312547"/>
    <w:rsid w:val="4A791068"/>
    <w:rsid w:val="4ABA1761"/>
    <w:rsid w:val="4B4C0AC8"/>
    <w:rsid w:val="4B4D3A91"/>
    <w:rsid w:val="4B4E47F1"/>
    <w:rsid w:val="4B895879"/>
    <w:rsid w:val="4C3A6B73"/>
    <w:rsid w:val="4C651AA9"/>
    <w:rsid w:val="4CBC303B"/>
    <w:rsid w:val="4D740965"/>
    <w:rsid w:val="4D795329"/>
    <w:rsid w:val="4D7A7AAC"/>
    <w:rsid w:val="4D9667F9"/>
    <w:rsid w:val="4E526418"/>
    <w:rsid w:val="4E87251F"/>
    <w:rsid w:val="4EC015F4"/>
    <w:rsid w:val="4EDC68F1"/>
    <w:rsid w:val="4EEA0F57"/>
    <w:rsid w:val="4F652159"/>
    <w:rsid w:val="4F78415C"/>
    <w:rsid w:val="4FA04619"/>
    <w:rsid w:val="4FAB15AD"/>
    <w:rsid w:val="4FBA24A4"/>
    <w:rsid w:val="501F407B"/>
    <w:rsid w:val="503E4BB7"/>
    <w:rsid w:val="5043693E"/>
    <w:rsid w:val="50B13D19"/>
    <w:rsid w:val="50F1408A"/>
    <w:rsid w:val="512629D9"/>
    <w:rsid w:val="521710D8"/>
    <w:rsid w:val="52B54C41"/>
    <w:rsid w:val="52C06024"/>
    <w:rsid w:val="539232A3"/>
    <w:rsid w:val="53B15BCA"/>
    <w:rsid w:val="53C11E26"/>
    <w:rsid w:val="54200C96"/>
    <w:rsid w:val="542F7997"/>
    <w:rsid w:val="54B90E02"/>
    <w:rsid w:val="553F60B4"/>
    <w:rsid w:val="558176A7"/>
    <w:rsid w:val="55E20E59"/>
    <w:rsid w:val="55FE26A7"/>
    <w:rsid w:val="569573EA"/>
    <w:rsid w:val="56F407C2"/>
    <w:rsid w:val="572D1A06"/>
    <w:rsid w:val="5791024B"/>
    <w:rsid w:val="57AC32CF"/>
    <w:rsid w:val="5852361E"/>
    <w:rsid w:val="58A24002"/>
    <w:rsid w:val="595D75C8"/>
    <w:rsid w:val="59B631A1"/>
    <w:rsid w:val="59CC3A3D"/>
    <w:rsid w:val="59FF38D6"/>
    <w:rsid w:val="5A266784"/>
    <w:rsid w:val="5A6A6AA4"/>
    <w:rsid w:val="5AF727FF"/>
    <w:rsid w:val="5B682B6F"/>
    <w:rsid w:val="5B9F6428"/>
    <w:rsid w:val="5C0D7E00"/>
    <w:rsid w:val="5C1761A2"/>
    <w:rsid w:val="5C5A21B6"/>
    <w:rsid w:val="5C5D4ED4"/>
    <w:rsid w:val="5CAB38A1"/>
    <w:rsid w:val="5CEF75D4"/>
    <w:rsid w:val="5D72486F"/>
    <w:rsid w:val="5D7C0480"/>
    <w:rsid w:val="5E2B4A9C"/>
    <w:rsid w:val="5ED03A93"/>
    <w:rsid w:val="5FE13BEC"/>
    <w:rsid w:val="606B0631"/>
    <w:rsid w:val="60AC4FE5"/>
    <w:rsid w:val="615700BA"/>
    <w:rsid w:val="631E0465"/>
    <w:rsid w:val="633B34A5"/>
    <w:rsid w:val="63A804BC"/>
    <w:rsid w:val="64B355D5"/>
    <w:rsid w:val="65C854C3"/>
    <w:rsid w:val="65DC302A"/>
    <w:rsid w:val="65F91B21"/>
    <w:rsid w:val="662E167F"/>
    <w:rsid w:val="66523899"/>
    <w:rsid w:val="6656456F"/>
    <w:rsid w:val="673A4CF0"/>
    <w:rsid w:val="67A34A51"/>
    <w:rsid w:val="67A82BE8"/>
    <w:rsid w:val="67C917C4"/>
    <w:rsid w:val="685963A3"/>
    <w:rsid w:val="691055B9"/>
    <w:rsid w:val="69246CE7"/>
    <w:rsid w:val="695E4CB0"/>
    <w:rsid w:val="69B224E8"/>
    <w:rsid w:val="69DA26C1"/>
    <w:rsid w:val="6A1D2900"/>
    <w:rsid w:val="6AD24564"/>
    <w:rsid w:val="6AD447E1"/>
    <w:rsid w:val="6AE31739"/>
    <w:rsid w:val="6B0A69F2"/>
    <w:rsid w:val="6C9914BA"/>
    <w:rsid w:val="6CB1796E"/>
    <w:rsid w:val="6CD02EB0"/>
    <w:rsid w:val="6DC974C3"/>
    <w:rsid w:val="6DCE6203"/>
    <w:rsid w:val="6E9F7321"/>
    <w:rsid w:val="6F2E0F39"/>
    <w:rsid w:val="6F6A1F57"/>
    <w:rsid w:val="6F6C0CDE"/>
    <w:rsid w:val="6F800BBD"/>
    <w:rsid w:val="6F9264CF"/>
    <w:rsid w:val="6FB865A9"/>
    <w:rsid w:val="702131CC"/>
    <w:rsid w:val="70DB05BF"/>
    <w:rsid w:val="71121CE9"/>
    <w:rsid w:val="71372ABA"/>
    <w:rsid w:val="714F4CEB"/>
    <w:rsid w:val="71C320DE"/>
    <w:rsid w:val="72393D46"/>
    <w:rsid w:val="7251239D"/>
    <w:rsid w:val="72612CB9"/>
    <w:rsid w:val="726A0E84"/>
    <w:rsid w:val="7290606C"/>
    <w:rsid w:val="72E37723"/>
    <w:rsid w:val="72E97C24"/>
    <w:rsid w:val="72F67EDA"/>
    <w:rsid w:val="734B14EC"/>
    <w:rsid w:val="7417382B"/>
    <w:rsid w:val="74426882"/>
    <w:rsid w:val="758834A4"/>
    <w:rsid w:val="75BD6F81"/>
    <w:rsid w:val="75C141A4"/>
    <w:rsid w:val="76455D9B"/>
    <w:rsid w:val="76673491"/>
    <w:rsid w:val="76BB3E8C"/>
    <w:rsid w:val="76E80695"/>
    <w:rsid w:val="774D6950"/>
    <w:rsid w:val="77EF59C9"/>
    <w:rsid w:val="7822613D"/>
    <w:rsid w:val="782571E8"/>
    <w:rsid w:val="7826607A"/>
    <w:rsid w:val="784016D6"/>
    <w:rsid w:val="78E71CAD"/>
    <w:rsid w:val="79F846E4"/>
    <w:rsid w:val="7A2333FA"/>
    <w:rsid w:val="7A6615E0"/>
    <w:rsid w:val="7AF17772"/>
    <w:rsid w:val="7B9C2DE6"/>
    <w:rsid w:val="7BEE0FEB"/>
    <w:rsid w:val="7C660AAA"/>
    <w:rsid w:val="7CD73B97"/>
    <w:rsid w:val="7D421604"/>
    <w:rsid w:val="7E4159BB"/>
    <w:rsid w:val="7E6B0C8A"/>
    <w:rsid w:val="7E7C4C45"/>
    <w:rsid w:val="7EAB1EEB"/>
    <w:rsid w:val="7FB13B9A"/>
    <w:rsid w:val="7FCA53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semiHidden="0" w:name="heading 2"/>
    <w:lsdException w:qFormat="1" w:uiPriority="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qFormat="1"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99"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1"/>
    <w:pPr>
      <w:spacing w:before="161"/>
      <w:ind w:left="218"/>
      <w:outlineLvl w:val="0"/>
    </w:pPr>
    <w:rPr>
      <w:rFonts w:ascii="宋体" w:hAnsi="宋体" w:cs="宋体"/>
      <w:b/>
      <w:bCs/>
      <w:sz w:val="24"/>
    </w:rPr>
  </w:style>
  <w:style w:type="paragraph" w:styleId="4">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paragraph" w:styleId="6">
    <w:name w:val="heading 6"/>
    <w:basedOn w:val="1"/>
    <w:next w:val="1"/>
    <w:qFormat/>
    <w:uiPriority w:val="0"/>
    <w:pPr>
      <w:keepNext/>
      <w:keepLines/>
      <w:spacing w:before="240" w:after="64" w:line="320" w:lineRule="auto"/>
      <w:outlineLvl w:val="5"/>
    </w:pPr>
    <w:rPr>
      <w:rFonts w:ascii="Arial" w:hAnsi="Arial" w:eastAsia="黑体"/>
      <w:b/>
      <w:bCs/>
      <w:sz w:val="24"/>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1"/>
    <w:pPr>
      <w:spacing w:before="171"/>
      <w:ind w:left="2520" w:right="2556"/>
      <w:jc w:val="center"/>
    </w:pPr>
    <w:rPr>
      <w:rFonts w:ascii="宋体" w:hAnsi="宋体" w:cs="宋体"/>
      <w:sz w:val="44"/>
      <w:szCs w:val="44"/>
    </w:rPr>
  </w:style>
  <w:style w:type="paragraph" w:styleId="7">
    <w:name w:val="index 8"/>
    <w:basedOn w:val="1"/>
    <w:next w:val="1"/>
    <w:unhideWhenUsed/>
    <w:qFormat/>
    <w:uiPriority w:val="0"/>
    <w:pPr>
      <w:ind w:left="2940"/>
    </w:pPr>
  </w:style>
  <w:style w:type="paragraph" w:styleId="8">
    <w:name w:val="Normal Indent"/>
    <w:basedOn w:val="1"/>
    <w:qFormat/>
    <w:uiPriority w:val="0"/>
    <w:pPr>
      <w:widowControl/>
      <w:ind w:firstLine="420"/>
      <w:jc w:val="left"/>
    </w:pPr>
    <w:rPr>
      <w:kern w:val="0"/>
      <w:sz w:val="20"/>
      <w:szCs w:val="20"/>
    </w:rPr>
  </w:style>
  <w:style w:type="paragraph" w:styleId="9">
    <w:name w:val="annotation text"/>
    <w:basedOn w:val="1"/>
    <w:link w:val="45"/>
    <w:qFormat/>
    <w:uiPriority w:val="0"/>
    <w:pPr>
      <w:jc w:val="left"/>
    </w:pPr>
  </w:style>
  <w:style w:type="paragraph" w:styleId="10">
    <w:name w:val="Body Text"/>
    <w:basedOn w:val="1"/>
    <w:next w:val="11"/>
    <w:qFormat/>
    <w:uiPriority w:val="0"/>
    <w:pPr>
      <w:spacing w:after="120"/>
    </w:pPr>
  </w:style>
  <w:style w:type="paragraph" w:styleId="11">
    <w:name w:val="header"/>
    <w:basedOn w:val="1"/>
    <w:next w:val="1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2">
    <w:name w:val="引用1"/>
    <w:basedOn w:val="1"/>
    <w:next w:val="1"/>
    <w:qFormat/>
    <w:uiPriority w:val="0"/>
    <w:pPr>
      <w:ind w:left="864" w:right="864"/>
      <w:jc w:val="center"/>
    </w:pPr>
    <w:rPr>
      <w:i/>
      <w:iCs/>
      <w:color w:val="404040"/>
      <w:szCs w:val="21"/>
    </w:rPr>
  </w:style>
  <w:style w:type="paragraph" w:styleId="13">
    <w:name w:val="Body Text Indent"/>
    <w:basedOn w:val="1"/>
    <w:qFormat/>
    <w:uiPriority w:val="0"/>
    <w:pPr>
      <w:spacing w:line="460" w:lineRule="exact"/>
      <w:ind w:firstLine="560"/>
    </w:pPr>
    <w:rPr>
      <w:sz w:val="28"/>
      <w:szCs w:val="20"/>
    </w:rPr>
  </w:style>
  <w:style w:type="paragraph" w:styleId="14">
    <w:name w:val="index 4"/>
    <w:basedOn w:val="1"/>
    <w:next w:val="1"/>
    <w:unhideWhenUsed/>
    <w:qFormat/>
    <w:uiPriority w:val="99"/>
    <w:pPr>
      <w:ind w:left="600" w:leftChars="600"/>
    </w:pPr>
    <w:rPr>
      <w:rFonts w:ascii="Verdana" w:hAnsi="Verdana"/>
      <w:szCs w:val="20"/>
    </w:rPr>
  </w:style>
  <w:style w:type="paragraph" w:styleId="15">
    <w:name w:val="toc 3"/>
    <w:basedOn w:val="1"/>
    <w:next w:val="1"/>
    <w:unhideWhenUsed/>
    <w:qFormat/>
    <w:uiPriority w:val="39"/>
    <w:pPr>
      <w:ind w:left="840" w:leftChars="400"/>
    </w:pPr>
  </w:style>
  <w:style w:type="paragraph" w:styleId="16">
    <w:name w:val="Plain Text"/>
    <w:basedOn w:val="1"/>
    <w:qFormat/>
    <w:uiPriority w:val="0"/>
    <w:rPr>
      <w:rFonts w:ascii="宋体" w:hAnsi="Courier New"/>
      <w:kern w:val="0"/>
      <w:sz w:val="20"/>
      <w:szCs w:val="20"/>
    </w:rPr>
  </w:style>
  <w:style w:type="paragraph" w:styleId="17">
    <w:name w:val="endnote text"/>
    <w:basedOn w:val="1"/>
    <w:semiHidden/>
    <w:qFormat/>
    <w:uiPriority w:val="99"/>
    <w:pPr>
      <w:snapToGrid w:val="0"/>
      <w:jc w:val="left"/>
    </w:pPr>
  </w:style>
  <w:style w:type="paragraph" w:styleId="18">
    <w:name w:val="Balloon Text"/>
    <w:basedOn w:val="1"/>
    <w:link w:val="47"/>
    <w:qFormat/>
    <w:uiPriority w:val="0"/>
    <w:rPr>
      <w:sz w:val="18"/>
      <w:szCs w:val="18"/>
    </w:rPr>
  </w:style>
  <w:style w:type="paragraph" w:styleId="19">
    <w:name w:val="footer"/>
    <w:basedOn w:val="1"/>
    <w:qFormat/>
    <w:uiPriority w:val="0"/>
    <w:pPr>
      <w:tabs>
        <w:tab w:val="center" w:pos="4153"/>
        <w:tab w:val="right" w:pos="8306"/>
      </w:tabs>
      <w:snapToGrid w:val="0"/>
      <w:jc w:val="left"/>
    </w:pPr>
    <w:rPr>
      <w:kern w:val="0"/>
      <w:sz w:val="18"/>
      <w:szCs w:val="18"/>
    </w:rPr>
  </w:style>
  <w:style w:type="paragraph" w:styleId="20">
    <w:name w:val="toc 1"/>
    <w:basedOn w:val="1"/>
    <w:next w:val="1"/>
    <w:qFormat/>
    <w:uiPriority w:val="39"/>
  </w:style>
  <w:style w:type="paragraph" w:styleId="21">
    <w:name w:val="footnote text"/>
    <w:basedOn w:val="1"/>
    <w:unhideWhenUsed/>
    <w:qFormat/>
    <w:uiPriority w:val="99"/>
    <w:pPr>
      <w:snapToGrid w:val="0"/>
      <w:jc w:val="left"/>
    </w:pPr>
    <w:rPr>
      <w:sz w:val="18"/>
      <w:szCs w:val="18"/>
    </w:rPr>
  </w:style>
  <w:style w:type="paragraph" w:styleId="22">
    <w:name w:val="Normal (Web)"/>
    <w:basedOn w:val="1"/>
    <w:qFormat/>
    <w:uiPriority w:val="0"/>
    <w:pPr>
      <w:spacing w:before="100" w:beforeAutospacing="1" w:after="100" w:afterAutospacing="1"/>
      <w:jc w:val="left"/>
    </w:pPr>
    <w:rPr>
      <w:kern w:val="0"/>
      <w:sz w:val="24"/>
    </w:rPr>
  </w:style>
  <w:style w:type="paragraph" w:styleId="23">
    <w:name w:val="annotation subject"/>
    <w:basedOn w:val="9"/>
    <w:next w:val="9"/>
    <w:link w:val="46"/>
    <w:qFormat/>
    <w:uiPriority w:val="0"/>
    <w:rPr>
      <w:b/>
      <w:bCs/>
    </w:rPr>
  </w:style>
  <w:style w:type="paragraph" w:styleId="24">
    <w:name w:val="Body Text First Indent"/>
    <w:basedOn w:val="10"/>
    <w:qFormat/>
    <w:uiPriority w:val="99"/>
    <w:pPr>
      <w:ind w:firstLine="420" w:firstLineChars="100"/>
    </w:p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rPr>
  </w:style>
  <w:style w:type="character" w:styleId="29">
    <w:name w:val="Hyperlink"/>
    <w:basedOn w:val="27"/>
    <w:qFormat/>
    <w:uiPriority w:val="0"/>
    <w:rPr>
      <w:color w:val="0000FF"/>
      <w:u w:val="single"/>
    </w:rPr>
  </w:style>
  <w:style w:type="character" w:styleId="30">
    <w:name w:val="annotation reference"/>
    <w:unhideWhenUsed/>
    <w:qFormat/>
    <w:uiPriority w:val="99"/>
    <w:rPr>
      <w:sz w:val="21"/>
      <w:szCs w:val="21"/>
    </w:rPr>
  </w:style>
  <w:style w:type="paragraph" w:customStyle="1" w:styleId="31">
    <w:name w:val="首行缩进"/>
    <w:basedOn w:val="1"/>
    <w:qFormat/>
    <w:uiPriority w:val="0"/>
    <w:pPr>
      <w:ind w:firstLine="480" w:firstLineChars="200"/>
    </w:pPr>
  </w:style>
  <w:style w:type="paragraph" w:customStyle="1" w:styleId="32">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33">
    <w:name w:val="font11"/>
    <w:basedOn w:val="27"/>
    <w:qFormat/>
    <w:uiPriority w:val="0"/>
    <w:rPr>
      <w:rFonts w:hint="eastAsia" w:ascii="宋体" w:hAnsi="宋体" w:eastAsia="宋体" w:cs="宋体"/>
      <w:color w:val="000000"/>
      <w:sz w:val="20"/>
      <w:szCs w:val="20"/>
      <w:u w:val="none"/>
    </w:rPr>
  </w:style>
  <w:style w:type="character" w:customStyle="1" w:styleId="34">
    <w:name w:val="font01"/>
    <w:basedOn w:val="27"/>
    <w:qFormat/>
    <w:uiPriority w:val="0"/>
    <w:rPr>
      <w:rFonts w:hint="default" w:ascii="Arial" w:hAnsi="Arial" w:cs="Arial"/>
      <w:color w:val="000000"/>
      <w:sz w:val="20"/>
      <w:szCs w:val="20"/>
      <w:u w:val="none"/>
    </w:rPr>
  </w:style>
  <w:style w:type="paragraph" w:customStyle="1" w:styleId="35">
    <w:name w:val="列出段落1"/>
    <w:basedOn w:val="1"/>
    <w:qFormat/>
    <w:uiPriority w:val="34"/>
    <w:pPr>
      <w:widowControl/>
      <w:ind w:firstLine="420" w:firstLineChars="200"/>
      <w:jc w:val="left"/>
    </w:pPr>
    <w:rPr>
      <w:rFonts w:ascii="宋体" w:hAnsi="宋体" w:cs="宋体"/>
      <w:kern w:val="0"/>
      <w:sz w:val="24"/>
    </w:rPr>
  </w:style>
  <w:style w:type="paragraph" w:customStyle="1" w:styleId="36">
    <w:name w:val="正文1"/>
    <w:qFormat/>
    <w:uiPriority w:val="0"/>
    <w:pPr>
      <w:jc w:val="both"/>
    </w:pPr>
    <w:rPr>
      <w:rFonts w:ascii="Times New Roman" w:hAnsi="Times New Roman" w:eastAsia="宋体" w:cs="Times New Roman"/>
      <w:sz w:val="21"/>
      <w:szCs w:val="24"/>
      <w:lang w:val="en-US" w:eastAsia="zh-CN" w:bidi="ar-SA"/>
    </w:rPr>
  </w:style>
  <w:style w:type="paragraph" w:customStyle="1" w:styleId="37">
    <w:name w:val="_Style 7"/>
    <w:basedOn w:val="3"/>
    <w:next w:val="1"/>
    <w:qFormat/>
    <w:uiPriority w:val="39"/>
    <w:pPr>
      <w:widowControl/>
      <w:spacing w:before="240" w:line="259" w:lineRule="auto"/>
      <w:jc w:val="left"/>
      <w:outlineLvl w:val="9"/>
    </w:pPr>
    <w:rPr>
      <w:rFonts w:ascii="等线 Light" w:hAnsi="等线 Light" w:eastAsia="等线 Light" w:cs="Times New Roman"/>
      <w:b w:val="0"/>
      <w:bCs w:val="0"/>
      <w:color w:val="2F5496"/>
      <w:kern w:val="0"/>
      <w:sz w:val="32"/>
      <w:szCs w:val="32"/>
    </w:rPr>
  </w:style>
  <w:style w:type="paragraph" w:customStyle="1" w:styleId="38">
    <w:name w:val="List Paragraph_40b67d30-6b8b-4697-8f49-97c11e174001"/>
    <w:basedOn w:val="1"/>
    <w:qFormat/>
    <w:uiPriority w:val="0"/>
    <w:pPr>
      <w:ind w:firstLine="420" w:firstLineChars="200"/>
    </w:pPr>
    <w:rPr>
      <w:rFonts w:ascii="Calibri" w:hAnsi="Calibri" w:cs="宋体"/>
      <w:szCs w:val="22"/>
    </w:rPr>
  </w:style>
  <w:style w:type="paragraph" w:customStyle="1" w:styleId="39">
    <w:name w:val="Table Paragraph"/>
    <w:basedOn w:val="1"/>
    <w:qFormat/>
    <w:uiPriority w:val="0"/>
    <w:rPr>
      <w:rFonts w:ascii="Calibri" w:hAnsi="Calibri" w:cs="宋体"/>
      <w:szCs w:val="22"/>
    </w:rPr>
  </w:style>
  <w:style w:type="character" w:customStyle="1" w:styleId="40">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41">
    <w:name w:val="PlainText"/>
    <w:basedOn w:val="1"/>
    <w:next w:val="1"/>
    <w:qFormat/>
    <w:uiPriority w:val="0"/>
    <w:pPr>
      <w:textAlignment w:val="baseline"/>
    </w:pPr>
    <w:rPr>
      <w:rFonts w:ascii="宋体" w:hAnsi="Courier New"/>
      <w:szCs w:val="20"/>
    </w:rPr>
  </w:style>
  <w:style w:type="paragraph" w:customStyle="1" w:styleId="42">
    <w:name w:val="Heading1"/>
    <w:basedOn w:val="1"/>
    <w:next w:val="1"/>
    <w:qFormat/>
    <w:uiPriority w:val="0"/>
    <w:pPr>
      <w:keepNext/>
      <w:keepLines/>
      <w:spacing w:before="340" w:after="330" w:line="578" w:lineRule="auto"/>
      <w:textAlignment w:val="baseline"/>
    </w:pPr>
    <w:rPr>
      <w:b/>
      <w:bCs/>
      <w:kern w:val="44"/>
      <w:sz w:val="44"/>
      <w:szCs w:val="44"/>
    </w:rPr>
  </w:style>
  <w:style w:type="paragraph" w:customStyle="1" w:styleId="43">
    <w:name w:val="正文_0_0"/>
    <w:qFormat/>
    <w:uiPriority w:val="0"/>
    <w:rPr>
      <w:rFonts w:ascii="Times New Roman" w:hAnsi="Times New Roman" w:eastAsia="宋体" w:cs="Times New Roman"/>
      <w:sz w:val="21"/>
      <w:lang w:val="en-US" w:eastAsia="zh-CN" w:bidi="ar-SA"/>
    </w:rPr>
  </w:style>
  <w:style w:type="character" w:customStyle="1" w:styleId="44">
    <w:name w:val="15"/>
    <w:qFormat/>
    <w:uiPriority w:val="0"/>
    <w:rPr>
      <w:rFonts w:hint="default" w:ascii="Times New Roman" w:hAnsi="Times New Roman" w:cs="Times New Roman"/>
    </w:rPr>
  </w:style>
  <w:style w:type="character" w:customStyle="1" w:styleId="45">
    <w:name w:val="批注文字 字符"/>
    <w:basedOn w:val="27"/>
    <w:link w:val="9"/>
    <w:qFormat/>
    <w:uiPriority w:val="0"/>
    <w:rPr>
      <w:kern w:val="2"/>
      <w:sz w:val="21"/>
      <w:szCs w:val="24"/>
    </w:rPr>
  </w:style>
  <w:style w:type="character" w:customStyle="1" w:styleId="46">
    <w:name w:val="批注主题 字符"/>
    <w:basedOn w:val="45"/>
    <w:link w:val="23"/>
    <w:qFormat/>
    <w:uiPriority w:val="0"/>
    <w:rPr>
      <w:b/>
      <w:bCs/>
      <w:kern w:val="2"/>
      <w:sz w:val="21"/>
      <w:szCs w:val="24"/>
    </w:rPr>
  </w:style>
  <w:style w:type="character" w:customStyle="1" w:styleId="47">
    <w:name w:val="批注框文本 字符"/>
    <w:basedOn w:val="27"/>
    <w:link w:val="18"/>
    <w:qFormat/>
    <w:uiPriority w:val="0"/>
    <w:rPr>
      <w:kern w:val="2"/>
      <w:sz w:val="18"/>
      <w:szCs w:val="18"/>
    </w:rPr>
  </w:style>
  <w:style w:type="paragraph" w:customStyle="1" w:styleId="48">
    <w:name w:val="主送单位"/>
    <w:basedOn w:val="1"/>
    <w:autoRedefine/>
    <w:qFormat/>
    <w:uiPriority w:val="0"/>
    <w:pPr>
      <w:jc w:val="left"/>
    </w:pPr>
    <w:rPr>
      <w:szCs w:val="32"/>
    </w:rPr>
  </w:style>
  <w:style w:type="paragraph" w:customStyle="1" w:styleId="49">
    <w:name w:val="列表段落1"/>
    <w:basedOn w:val="1"/>
    <w:qFormat/>
    <w:uiPriority w:val="34"/>
    <w:pPr>
      <w:ind w:left="850"/>
    </w:pPr>
    <w:rPr>
      <w:rFonts w:ascii="Calibri" w:hAnsi="Calibri"/>
      <w:szCs w:val="21"/>
    </w:rPr>
  </w:style>
  <w:style w:type="character" w:customStyle="1" w:styleId="50">
    <w:name w:val="font31"/>
    <w:basedOn w:val="27"/>
    <w:qFormat/>
    <w:uiPriority w:val="0"/>
    <w:rPr>
      <w:rFonts w:hint="eastAsia" w:ascii="宋体" w:hAnsi="宋体" w:eastAsia="宋体" w:cs="宋体"/>
      <w:color w:val="000000"/>
      <w:sz w:val="22"/>
      <w:szCs w:val="22"/>
      <w:u w:val="none"/>
    </w:rPr>
  </w:style>
  <w:style w:type="character" w:customStyle="1" w:styleId="51">
    <w:name w:val="font21"/>
    <w:basedOn w:val="27"/>
    <w:qFormat/>
    <w:uiPriority w:val="0"/>
    <w:rPr>
      <w:rFonts w:hint="default" w:ascii="Times New Roman" w:hAnsi="Times New Roman" w:cs="Times New Roman"/>
      <w:color w:val="000000"/>
      <w:sz w:val="22"/>
      <w:szCs w:val="22"/>
      <w:u w:val="none"/>
    </w:rPr>
  </w:style>
  <w:style w:type="paragraph" w:customStyle="1" w:styleId="52">
    <w:name w:val="Table Text"/>
    <w:basedOn w:val="1"/>
    <w:semiHidden/>
    <w:qFormat/>
    <w:uiPriority w:val="0"/>
    <w:rPr>
      <w:rFonts w:ascii="宋体" w:hAnsi="宋体" w:cs="宋体"/>
      <w:sz w:val="20"/>
      <w:szCs w:val="20"/>
      <w:lang w:eastAsia="en-US"/>
    </w:rPr>
  </w:style>
  <w:style w:type="paragraph" w:styleId="53">
    <w:name w:val="List Paragraph"/>
    <w:basedOn w:val="1"/>
    <w:qFormat/>
    <w:uiPriority w:val="1"/>
    <w:pPr>
      <w:ind w:left="218" w:firstLine="424"/>
    </w:pPr>
    <w:rPr>
      <w:rFonts w:ascii="宋体" w:hAnsi="宋体" w:cs="宋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443F85-6D99-47FF-95EC-9DB58970CDCD}">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5738</Words>
  <Characters>6208</Characters>
  <Lines>71</Lines>
  <Paragraphs>20</Paragraphs>
  <TotalTime>20</TotalTime>
  <ScaleCrop>false</ScaleCrop>
  <LinksUpToDate>false</LinksUpToDate>
  <CharactersWithSpaces>6431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2024-10-15T07:56:00Z</dcterms:created>
  <dc:creator>敏儿好学</dc:creator>
  <cp:lastModifiedBy>H.小薇</cp:lastModifiedBy>
  <dcterms:modified xsi:type="dcterms:W3CDTF">2025-05-19T01:43:30Z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1DF41545DBFF476885890F163F781F6D_13</vt:lpwstr>
  </property>
  <property fmtid="{D5CDD505-2E9C-101B-9397-08002B2CF9AE}" pid="4" name="KSOTemplateDocerSaveRecord">
    <vt:lpwstr>eyJoZGlkIjoiZDBlYzBkYTEwODIwYzhjZjA1MTAxNTFkOTI0NzUzNjkiLCJ1c2VySWQiOiIyMjgyNjQ3NTgifQ==</vt:lpwstr>
  </property>
</Properties>
</file>