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3"/>
        <w:spacing w:line="440" w:lineRule="exact"/>
        <w:jc w:val="center"/>
        <w:rPr>
          <w:rFonts w:ascii="Arial" w:hAnsi="Arial" w:eastAsia="楷体_GB2312" w:cs="Arial"/>
          <w:b/>
          <w:bCs/>
          <w:color w:val="auto"/>
          <w:sz w:val="56"/>
          <w:szCs w:val="72"/>
        </w:rPr>
      </w:pPr>
    </w:p>
    <w:p w14:paraId="0B0F3DFC">
      <w:pPr>
        <w:pStyle w:val="13"/>
        <w:spacing w:line="600" w:lineRule="exact"/>
        <w:jc w:val="center"/>
        <w:rPr>
          <w:rFonts w:ascii="Arial" w:hAnsi="Arial" w:eastAsia="楷体_GB2312" w:cs="Arial"/>
          <w:b/>
          <w:bCs/>
          <w:color w:val="auto"/>
          <w:sz w:val="56"/>
          <w:szCs w:val="72"/>
        </w:rPr>
      </w:pPr>
    </w:p>
    <w:p w14:paraId="62C9B287">
      <w:pPr>
        <w:pStyle w:val="13"/>
        <w:spacing w:line="600" w:lineRule="exact"/>
        <w:jc w:val="center"/>
        <w:rPr>
          <w:rFonts w:ascii="Arial" w:hAnsi="Arial" w:eastAsia="楷体_GB2312" w:cs="Arial"/>
          <w:b/>
          <w:bCs/>
          <w:color w:val="auto"/>
          <w:sz w:val="56"/>
          <w:szCs w:val="72"/>
        </w:rPr>
      </w:pPr>
    </w:p>
    <w:p w14:paraId="6ED2D7E8">
      <w:pPr>
        <w:pStyle w:val="13"/>
        <w:spacing w:line="600" w:lineRule="exact"/>
        <w:jc w:val="center"/>
        <w:rPr>
          <w:rFonts w:ascii="Arial" w:hAnsi="Arial" w:eastAsia="楷体_GB2312" w:cs="Arial"/>
          <w:b/>
          <w:bCs/>
          <w:color w:val="auto"/>
          <w:sz w:val="56"/>
          <w:szCs w:val="72"/>
        </w:rPr>
      </w:pPr>
    </w:p>
    <w:p w14:paraId="29B1CA95">
      <w:pPr>
        <w:pStyle w:val="13"/>
        <w:spacing w:line="640" w:lineRule="exact"/>
        <w:jc w:val="center"/>
        <w:rPr>
          <w:rFonts w:ascii="Arial" w:hAnsi="Arial" w:eastAsia="楷体_GB2312" w:cs="Arial"/>
          <w:b/>
          <w:bCs/>
          <w:color w:val="auto"/>
          <w:sz w:val="56"/>
          <w:szCs w:val="72"/>
        </w:rPr>
      </w:pPr>
    </w:p>
    <w:p w14:paraId="72EABEF6">
      <w:pPr>
        <w:pStyle w:val="13"/>
        <w:spacing w:line="640" w:lineRule="exact"/>
        <w:jc w:val="center"/>
        <w:rPr>
          <w:rFonts w:hint="eastAsia" w:hAnsi="宋体" w:cs="宋体"/>
          <w:b/>
          <w:bCs/>
          <w:color w:val="auto"/>
          <w:sz w:val="44"/>
          <w:szCs w:val="44"/>
        </w:rPr>
      </w:pPr>
      <w:r>
        <w:rPr>
          <w:rFonts w:hint="eastAsia" w:hAnsi="宋体" w:cs="宋体"/>
          <w:b/>
          <w:bCs/>
          <w:color w:val="auto"/>
          <w:sz w:val="44"/>
          <w:szCs w:val="44"/>
        </w:rPr>
        <w:t>桂林市人民医院</w:t>
      </w:r>
    </w:p>
    <w:p w14:paraId="5F4229BD">
      <w:pPr>
        <w:pStyle w:val="13"/>
        <w:spacing w:line="640" w:lineRule="exact"/>
        <w:jc w:val="center"/>
        <w:rPr>
          <w:rFonts w:hint="eastAsia" w:hAnsi="宋体" w:eastAsia="宋体" w:cs="宋体"/>
          <w:b/>
          <w:bCs/>
          <w:color w:val="auto"/>
          <w:sz w:val="44"/>
          <w:szCs w:val="44"/>
          <w:lang w:val="en-US" w:eastAsia="zh-CN"/>
        </w:rPr>
      </w:pPr>
      <w:r>
        <w:rPr>
          <w:rFonts w:hint="eastAsia" w:hAnsi="宋体" w:cs="宋体"/>
          <w:b/>
          <w:bCs/>
          <w:color w:val="auto"/>
          <w:sz w:val="44"/>
          <w:szCs w:val="44"/>
        </w:rPr>
        <w:t>门诊楼中医门诊和心脑电门诊改造装饰工程</w:t>
      </w:r>
      <w:r>
        <w:rPr>
          <w:rFonts w:hint="eastAsia" w:hAnsi="宋体" w:cs="宋体"/>
          <w:b/>
          <w:bCs/>
          <w:color w:val="auto"/>
          <w:sz w:val="44"/>
          <w:szCs w:val="44"/>
          <w:lang w:val="en-US" w:eastAsia="zh-CN"/>
        </w:rPr>
        <w:t>项目</w:t>
      </w:r>
    </w:p>
    <w:p w14:paraId="08481074">
      <w:pPr>
        <w:pStyle w:val="13"/>
        <w:spacing w:line="640" w:lineRule="exact"/>
        <w:jc w:val="center"/>
        <w:rPr>
          <w:rFonts w:hAnsi="宋体" w:cs="宋体"/>
          <w:b/>
          <w:bCs/>
          <w:color w:val="auto"/>
          <w:sz w:val="44"/>
          <w:szCs w:val="44"/>
        </w:rPr>
      </w:pPr>
      <w:r>
        <w:rPr>
          <w:rFonts w:hint="eastAsia" w:hAnsi="宋体" w:cs="宋体"/>
          <w:b/>
          <w:bCs/>
          <w:color w:val="auto"/>
          <w:sz w:val="44"/>
          <w:szCs w:val="44"/>
        </w:rPr>
        <w:t>招标文件</w:t>
      </w:r>
    </w:p>
    <w:p w14:paraId="4FABEEFB">
      <w:pPr>
        <w:pStyle w:val="13"/>
        <w:spacing w:line="440" w:lineRule="exact"/>
        <w:jc w:val="center"/>
        <w:rPr>
          <w:rFonts w:ascii="Arial" w:hAnsi="Arial" w:eastAsia="楷体_GB2312" w:cs="Arial"/>
          <w:b/>
          <w:bCs/>
          <w:color w:val="auto"/>
          <w:sz w:val="24"/>
          <w:szCs w:val="24"/>
        </w:rPr>
      </w:pPr>
    </w:p>
    <w:p w14:paraId="11FBFFE8">
      <w:pPr>
        <w:pStyle w:val="13"/>
        <w:spacing w:line="440" w:lineRule="exact"/>
        <w:ind w:firstLine="2695"/>
        <w:rPr>
          <w:rFonts w:ascii="Arial" w:hAnsi="Arial" w:cs="Arial"/>
          <w:color w:val="auto"/>
          <w:sz w:val="24"/>
          <w:szCs w:val="24"/>
        </w:rPr>
      </w:pPr>
    </w:p>
    <w:p w14:paraId="0B953044">
      <w:pPr>
        <w:pStyle w:val="13"/>
        <w:spacing w:line="440" w:lineRule="exact"/>
        <w:ind w:firstLine="2695"/>
        <w:rPr>
          <w:rFonts w:ascii="Arial" w:hAnsi="Arial" w:cs="Arial"/>
          <w:color w:val="auto"/>
          <w:sz w:val="28"/>
        </w:rPr>
      </w:pPr>
      <w:r>
        <w:rPr>
          <w:rFonts w:ascii="Arial" w:hAnsi="Arial" w:cs="Arial"/>
          <w:color w:val="auto"/>
          <w:sz w:val="28"/>
        </w:rPr>
        <w:cr/>
      </w:r>
    </w:p>
    <w:p w14:paraId="75695107">
      <w:pPr>
        <w:pStyle w:val="13"/>
        <w:spacing w:line="440" w:lineRule="exact"/>
        <w:ind w:firstLine="2695"/>
        <w:rPr>
          <w:rFonts w:ascii="Arial" w:hAnsi="Arial" w:cs="Arial"/>
          <w:color w:val="auto"/>
          <w:sz w:val="28"/>
        </w:rPr>
      </w:pPr>
    </w:p>
    <w:p w14:paraId="64567FD0">
      <w:pPr>
        <w:pStyle w:val="13"/>
        <w:spacing w:line="440" w:lineRule="exact"/>
        <w:ind w:firstLine="2695"/>
        <w:rPr>
          <w:rFonts w:ascii="Arial" w:hAnsi="Arial" w:cs="Arial"/>
          <w:color w:val="auto"/>
          <w:sz w:val="28"/>
        </w:rPr>
      </w:pPr>
    </w:p>
    <w:p w14:paraId="65723B95">
      <w:pPr>
        <w:pStyle w:val="13"/>
        <w:spacing w:line="440" w:lineRule="exact"/>
        <w:ind w:firstLine="2695"/>
        <w:rPr>
          <w:rFonts w:ascii="Arial" w:hAnsi="Arial" w:cs="Arial"/>
          <w:color w:val="auto"/>
          <w:sz w:val="28"/>
        </w:rPr>
      </w:pPr>
    </w:p>
    <w:p w14:paraId="6A64A7FB">
      <w:pPr>
        <w:pStyle w:val="13"/>
        <w:spacing w:line="440" w:lineRule="exact"/>
        <w:ind w:firstLine="2695"/>
        <w:rPr>
          <w:rFonts w:ascii="Arial" w:hAnsi="Arial" w:cs="Arial"/>
          <w:color w:val="auto"/>
          <w:sz w:val="28"/>
        </w:rPr>
      </w:pPr>
    </w:p>
    <w:p w14:paraId="328D34C1">
      <w:pPr>
        <w:pStyle w:val="13"/>
        <w:spacing w:line="440" w:lineRule="exact"/>
        <w:rPr>
          <w:rFonts w:ascii="Arial" w:hAnsi="Arial" w:cs="Arial"/>
          <w:color w:val="auto"/>
          <w:sz w:val="28"/>
        </w:rPr>
      </w:pPr>
    </w:p>
    <w:p w14:paraId="6E2DB184">
      <w:pPr>
        <w:pStyle w:val="13"/>
        <w:spacing w:line="440" w:lineRule="exact"/>
        <w:rPr>
          <w:rFonts w:ascii="Arial" w:hAnsi="Arial" w:cs="Arial"/>
          <w:color w:val="auto"/>
          <w:sz w:val="28"/>
        </w:rPr>
      </w:pPr>
    </w:p>
    <w:p w14:paraId="6A001A40">
      <w:pPr>
        <w:pStyle w:val="6"/>
        <w:rPr>
          <w:rFonts w:ascii="Arial" w:hAnsi="Arial" w:cs="Arial"/>
          <w:color w:val="auto"/>
          <w:sz w:val="28"/>
        </w:rPr>
      </w:pPr>
      <w:bookmarkStart w:id="35" w:name="_GoBack"/>
      <w:bookmarkEnd w:id="35"/>
    </w:p>
    <w:p w14:paraId="20FBE87C">
      <w:pPr>
        <w:rPr>
          <w:rFonts w:ascii="Arial" w:hAnsi="Arial" w:cs="Arial"/>
          <w:color w:val="auto"/>
          <w:sz w:val="28"/>
        </w:rPr>
      </w:pPr>
    </w:p>
    <w:p w14:paraId="7B12B1B6">
      <w:pPr>
        <w:rPr>
          <w:rFonts w:ascii="Arial" w:hAnsi="Arial" w:cs="Arial"/>
          <w:color w:val="auto"/>
          <w:sz w:val="28"/>
        </w:rPr>
      </w:pPr>
    </w:p>
    <w:p w14:paraId="17389D10">
      <w:pPr>
        <w:rPr>
          <w:color w:val="auto"/>
        </w:rPr>
      </w:pPr>
    </w:p>
    <w:p w14:paraId="71EE31B9">
      <w:pPr>
        <w:rPr>
          <w:rFonts w:ascii="Arial" w:hAnsi="Arial" w:cs="Arial"/>
          <w:color w:val="auto"/>
          <w:sz w:val="28"/>
        </w:rPr>
      </w:pPr>
    </w:p>
    <w:p w14:paraId="59F667EA">
      <w:pPr>
        <w:pStyle w:val="13"/>
        <w:spacing w:line="440" w:lineRule="exact"/>
        <w:rPr>
          <w:rFonts w:ascii="Arial" w:hAnsi="Arial" w:cs="Arial"/>
          <w:color w:val="auto"/>
          <w:sz w:val="28"/>
        </w:rPr>
      </w:pPr>
    </w:p>
    <w:p w14:paraId="5CFD5073">
      <w:pPr>
        <w:pStyle w:val="13"/>
        <w:spacing w:line="440" w:lineRule="exact"/>
        <w:jc w:val="center"/>
        <w:rPr>
          <w:rFonts w:hAnsi="宋体" w:cs="宋体"/>
          <w:b/>
          <w:bCs/>
          <w:color w:val="auto"/>
          <w:sz w:val="36"/>
          <w:szCs w:val="36"/>
        </w:rPr>
      </w:pPr>
      <w:r>
        <w:rPr>
          <w:rFonts w:hint="eastAsia" w:hAnsi="宋体" w:cs="宋体"/>
          <w:b/>
          <w:bCs/>
          <w:color w:val="auto"/>
          <w:sz w:val="36"/>
          <w:szCs w:val="36"/>
        </w:rPr>
        <w:t>2025年</w:t>
      </w:r>
      <w:r>
        <w:rPr>
          <w:rFonts w:hint="eastAsia" w:hAnsi="宋体" w:cs="宋体"/>
          <w:b/>
          <w:bCs/>
          <w:color w:val="auto"/>
          <w:sz w:val="36"/>
          <w:szCs w:val="36"/>
          <w:lang w:val="en-US" w:eastAsia="zh-CN"/>
        </w:rPr>
        <w:t>6</w:t>
      </w:r>
      <w:r>
        <w:rPr>
          <w:rFonts w:hint="eastAsia" w:hAnsi="宋体" w:cs="宋体"/>
          <w:b/>
          <w:bCs/>
          <w:color w:val="auto"/>
          <w:sz w:val="36"/>
          <w:szCs w:val="36"/>
        </w:rPr>
        <w:t>月</w:t>
      </w:r>
      <w:r>
        <w:rPr>
          <w:rFonts w:hint="eastAsia" w:hAnsi="宋体" w:cs="宋体"/>
          <w:b/>
          <w:bCs/>
          <w:color w:val="auto"/>
          <w:sz w:val="36"/>
          <w:szCs w:val="36"/>
          <w:lang w:val="en-US" w:eastAsia="zh-CN"/>
        </w:rPr>
        <w:t>9</w:t>
      </w:r>
      <w:r>
        <w:rPr>
          <w:rFonts w:hint="eastAsia" w:hAnsi="宋体" w:cs="宋体"/>
          <w:b/>
          <w:bCs/>
          <w:color w:val="auto"/>
          <w:sz w:val="36"/>
          <w:szCs w:val="36"/>
        </w:rPr>
        <w:t>日</w:t>
      </w:r>
    </w:p>
    <w:p w14:paraId="7D0440D0">
      <w:pPr>
        <w:pStyle w:val="13"/>
        <w:spacing w:line="440" w:lineRule="exact"/>
        <w:jc w:val="center"/>
        <w:rPr>
          <w:rFonts w:hAnsi="宋体" w:cs="宋体"/>
          <w:b/>
          <w:bCs/>
          <w:color w:val="auto"/>
          <w:sz w:val="36"/>
          <w:szCs w:val="36"/>
        </w:rPr>
      </w:pPr>
    </w:p>
    <w:p w14:paraId="27376120">
      <w:pPr>
        <w:pStyle w:val="13"/>
        <w:spacing w:line="440" w:lineRule="exact"/>
        <w:rPr>
          <w:rFonts w:hAnsi="宋体" w:cs="宋体"/>
          <w:b/>
          <w:bCs/>
          <w:color w:val="auto"/>
          <w:sz w:val="36"/>
          <w:szCs w:val="36"/>
        </w:rPr>
      </w:pPr>
    </w:p>
    <w:p w14:paraId="1295E251">
      <w:pPr>
        <w:pStyle w:val="22"/>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1B18012A">
      <w:pPr>
        <w:spacing w:line="440" w:lineRule="exact"/>
        <w:rPr>
          <w:color w:val="auto"/>
        </w:rPr>
      </w:pPr>
    </w:p>
    <w:p w14:paraId="02F16388">
      <w:pPr>
        <w:pStyle w:val="12"/>
        <w:tabs>
          <w:tab w:val="right" w:leader="dot" w:pos="9628"/>
        </w:tabs>
        <w:spacing w:line="54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20"/>
          <w:rFonts w:ascii="Arial" w:cs="Arial"/>
          <w:color w:val="auto"/>
          <w:sz w:val="24"/>
        </w:rPr>
        <w:t>第一章</w:t>
      </w:r>
      <w:r>
        <w:rPr>
          <w:rStyle w:val="20"/>
          <w:rFonts w:hint="eastAsia" w:ascii="Arial" w:cs="Arial"/>
          <w:color w:val="auto"/>
          <w:sz w:val="24"/>
        </w:rPr>
        <w:t xml:space="preserve">  招标</w:t>
      </w:r>
      <w:r>
        <w:rPr>
          <w:rStyle w:val="20"/>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0183FF86">
      <w:pPr>
        <w:pStyle w:val="12"/>
        <w:tabs>
          <w:tab w:val="right" w:leader="dot" w:pos="9628"/>
        </w:tabs>
        <w:spacing w:line="540" w:lineRule="exact"/>
        <w:ind w:left="0" w:leftChars="0"/>
        <w:rPr>
          <w:rFonts w:ascii="Arial" w:hAnsi="Arial" w:cs="Arial"/>
          <w:color w:val="auto"/>
          <w:sz w:val="24"/>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二</w:t>
      </w:r>
      <w:r>
        <w:rPr>
          <w:rStyle w:val="20"/>
          <w:rFonts w:ascii="Arial" w:cs="Arial"/>
          <w:color w:val="auto"/>
          <w:sz w:val="24"/>
        </w:rPr>
        <w:t>章</w:t>
      </w:r>
      <w:r>
        <w:rPr>
          <w:rStyle w:val="20"/>
          <w:rFonts w:hint="eastAsia" w:ascii="Arial" w:cs="Arial"/>
          <w:color w:val="auto"/>
          <w:sz w:val="24"/>
        </w:rPr>
        <w:t xml:space="preserve">  </w:t>
      </w:r>
      <w:r>
        <w:rPr>
          <w:rFonts w:ascii="Arial" w:hAnsi="Arial" w:cs="Arial"/>
          <w:color w:val="auto"/>
          <w:sz w:val="24"/>
        </w:rPr>
        <w:t>评</w:t>
      </w:r>
      <w:r>
        <w:rPr>
          <w:rFonts w:hint="eastAsia" w:ascii="Arial" w:hAnsi="Arial" w:cs="Arial"/>
          <w:color w:val="auto"/>
          <w:sz w:val="24"/>
        </w:rPr>
        <w:t>分</w:t>
      </w:r>
      <w:r>
        <w:rPr>
          <w:rFonts w:ascii="Arial" w:hAnsi="Arial" w:cs="Arial"/>
          <w:color w:val="auto"/>
          <w:sz w:val="24"/>
        </w:rPr>
        <w:t>标准</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6</w:t>
      </w:r>
    </w:p>
    <w:p w14:paraId="3FEE641D">
      <w:pPr>
        <w:pStyle w:val="12"/>
        <w:tabs>
          <w:tab w:val="right" w:leader="dot" w:pos="9628"/>
        </w:tabs>
        <w:spacing w:line="540" w:lineRule="exact"/>
        <w:ind w:left="0" w:leftChars="0"/>
        <w:rPr>
          <w:rStyle w:val="20"/>
          <w:rFonts w:ascii="Arial" w:cs="Arial"/>
          <w:color w:val="auto"/>
          <w:sz w:val="24"/>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三</w:t>
      </w:r>
      <w:r>
        <w:rPr>
          <w:rStyle w:val="20"/>
          <w:rFonts w:ascii="Arial" w:cs="Arial"/>
          <w:color w:val="auto"/>
          <w:sz w:val="24"/>
        </w:rPr>
        <w:t>章</w:t>
      </w:r>
      <w:r>
        <w:rPr>
          <w:rStyle w:val="20"/>
          <w:rFonts w:hint="eastAsia" w:ascii="Arial" w:cs="Arial"/>
          <w:color w:val="auto"/>
          <w:sz w:val="24"/>
        </w:rPr>
        <w:t xml:space="preserve">  合同主要条款</w:t>
      </w:r>
      <w:r>
        <w:rPr>
          <w:rFonts w:ascii="Arial" w:hAnsi="Arial" w:cs="Arial"/>
          <w:color w:val="auto"/>
          <w:sz w:val="24"/>
        </w:rPr>
        <w:tab/>
      </w:r>
      <w:r>
        <w:rPr>
          <w:rFonts w:hint="eastAsia" w:ascii="Arial" w:hAnsi="Arial" w:cs="Arial"/>
          <w:color w:val="auto"/>
          <w:sz w:val="24"/>
        </w:rPr>
        <w:t>8</w:t>
      </w:r>
    </w:p>
    <w:p w14:paraId="3783925C">
      <w:pPr>
        <w:pStyle w:val="12"/>
        <w:tabs>
          <w:tab w:val="right" w:leader="dot" w:pos="9628"/>
        </w:tabs>
        <w:spacing w:line="540" w:lineRule="exact"/>
        <w:ind w:left="0" w:leftChars="0"/>
        <w:rPr>
          <w:color w:val="auto"/>
        </w:rPr>
      </w:pPr>
      <w:r>
        <w:rPr>
          <w:rFonts w:hint="eastAsia" w:ascii="Arial" w:hAnsi="Arial" w:cs="Arial"/>
          <w:color w:val="auto"/>
          <w:sz w:val="24"/>
        </w:rPr>
        <w:t>第四章  投标文件格式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rPr>
        <w:t>10</w:t>
      </w:r>
    </w:p>
    <w:p w14:paraId="4D929462">
      <w:pPr>
        <w:pStyle w:val="12"/>
        <w:tabs>
          <w:tab w:val="right" w:leader="dot" w:pos="9628"/>
        </w:tabs>
        <w:spacing w:line="540" w:lineRule="exact"/>
        <w:ind w:left="0" w:leftChars="0"/>
        <w:rPr>
          <w:rFonts w:ascii="Arial" w:hAnsi="Arial" w:cs="Arial"/>
          <w:color w:val="auto"/>
          <w:sz w:val="24"/>
        </w:rPr>
      </w:pPr>
      <w:r>
        <w:rPr>
          <w:rFonts w:hint="eastAsia" w:ascii="Arial" w:hAnsi="Arial" w:cs="Arial"/>
          <w:color w:val="auto"/>
          <w:sz w:val="24"/>
        </w:rPr>
        <w:t>第五章  工程量清单说明</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2</w:t>
      </w:r>
      <w:r>
        <w:rPr>
          <w:rFonts w:hint="eastAsia" w:ascii="Arial" w:hAnsi="Arial" w:cs="Arial"/>
          <w:color w:val="auto"/>
          <w:sz w:val="24"/>
          <w:lang w:val="en-US" w:eastAsia="zh-CN"/>
        </w:rPr>
        <w:t>3</w:t>
      </w:r>
    </w:p>
    <w:p w14:paraId="0B535FF4">
      <w:pPr>
        <w:pStyle w:val="12"/>
        <w:tabs>
          <w:tab w:val="right" w:leader="dot" w:pos="9628"/>
        </w:tabs>
        <w:spacing w:line="540" w:lineRule="exact"/>
        <w:ind w:left="0" w:leftChars="0"/>
        <w:rPr>
          <w:rFonts w:ascii="Arial" w:hAnsi="Arial" w:cs="Arial"/>
          <w:color w:val="auto"/>
          <w:sz w:val="24"/>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六</w:t>
      </w:r>
      <w:r>
        <w:rPr>
          <w:rStyle w:val="20"/>
          <w:rFonts w:ascii="Arial" w:cs="Arial"/>
          <w:color w:val="auto"/>
          <w:sz w:val="24"/>
        </w:rPr>
        <w:t>章</w:t>
      </w:r>
      <w:r>
        <w:rPr>
          <w:rStyle w:val="20"/>
          <w:rFonts w:hint="eastAsia" w:ascii="Arial" w:cs="Arial"/>
          <w:color w:val="auto"/>
          <w:sz w:val="24"/>
        </w:rPr>
        <w:t xml:space="preserve">  </w:t>
      </w:r>
      <w:r>
        <w:rPr>
          <w:rFonts w:hint="eastAsia"/>
          <w:color w:val="auto"/>
        </w:rPr>
        <w:t>图纸（另附）</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2</w:t>
      </w:r>
      <w:r>
        <w:rPr>
          <w:rFonts w:hint="eastAsia" w:ascii="Arial" w:hAnsi="Arial" w:cs="Arial"/>
          <w:color w:val="auto"/>
          <w:sz w:val="24"/>
          <w:lang w:val="en-US" w:eastAsia="zh-CN"/>
        </w:rPr>
        <w:t>6</w:t>
      </w:r>
    </w:p>
    <w:p w14:paraId="1894B9C8">
      <w:pPr>
        <w:rPr>
          <w:color w:val="auto"/>
        </w:rPr>
      </w:pPr>
    </w:p>
    <w:p w14:paraId="1CA7F298">
      <w:pPr>
        <w:spacing w:line="440" w:lineRule="exact"/>
        <w:jc w:val="center"/>
        <w:rPr>
          <w:rFonts w:ascii="Arial" w:hAnsi="Arial" w:cs="Arial"/>
          <w:b/>
          <w:bCs/>
          <w:color w:val="auto"/>
          <w:lang w:val="zh-CN"/>
        </w:rPr>
      </w:pPr>
      <w:r>
        <w:rPr>
          <w:rFonts w:ascii="Arial" w:hAnsi="Arial" w:cs="Arial"/>
          <w:b/>
          <w:bCs/>
          <w:color w:val="auto"/>
          <w:lang w:val="zh-CN"/>
        </w:rPr>
        <w:fldChar w:fldCharType="end"/>
      </w:r>
    </w:p>
    <w:p w14:paraId="721268E3">
      <w:pPr>
        <w:spacing w:line="44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425" w:num="1"/>
          <w:docGrid w:type="lines" w:linePitch="312" w:charSpace="0"/>
        </w:sectPr>
      </w:pPr>
    </w:p>
    <w:p w14:paraId="474ECB18">
      <w:pPr>
        <w:pStyle w:val="2"/>
        <w:jc w:val="center"/>
        <w:rPr>
          <w:color w:val="auto"/>
        </w:rPr>
      </w:pPr>
      <w:r>
        <w:rPr>
          <w:rFonts w:hint="eastAsia"/>
          <w:color w:val="auto"/>
          <w:sz w:val="32"/>
          <w:szCs w:val="32"/>
        </w:rPr>
        <w:t>第一章  招标公告</w:t>
      </w:r>
    </w:p>
    <w:p w14:paraId="34D230A9">
      <w:pPr>
        <w:pStyle w:val="23"/>
        <w:pageBreakBefore w:val="0"/>
        <w:kinsoku/>
        <w:wordWrap/>
        <w:overflowPunct/>
        <w:topLinePunct w:val="0"/>
        <w:autoSpaceDE/>
        <w:autoSpaceDN/>
        <w:bidi w:val="0"/>
        <w:adjustRightInd/>
        <w:spacing w:line="440" w:lineRule="exact"/>
        <w:textAlignment w:val="auto"/>
        <w:rPr>
          <w:color w:val="auto"/>
          <w:sz w:val="24"/>
          <w:szCs w:val="24"/>
        </w:rPr>
      </w:pPr>
    </w:p>
    <w:p w14:paraId="7EA18E2B">
      <w:pPr>
        <w:pStyle w:val="23"/>
        <w:pageBreakBefore w:val="0"/>
        <w:tabs>
          <w:tab w:val="left" w:pos="8960"/>
        </w:tabs>
        <w:kinsoku/>
        <w:wordWrap/>
        <w:overflowPunct/>
        <w:topLinePunct w:val="0"/>
        <w:autoSpaceDE/>
        <w:autoSpaceDN/>
        <w:bidi w:val="0"/>
        <w:adjustRightInd/>
        <w:spacing w:line="440" w:lineRule="exact"/>
        <w:ind w:firstLine="512" w:firstLineChars="200"/>
        <w:jc w:val="left"/>
        <w:textAlignment w:val="auto"/>
        <w:rPr>
          <w:color w:val="auto"/>
          <w:sz w:val="24"/>
          <w:szCs w:val="24"/>
        </w:rPr>
      </w:pPr>
      <w:r>
        <w:rPr>
          <w:rFonts w:hint="eastAsia"/>
          <w:color w:val="auto"/>
          <w:spacing w:val="8"/>
          <w:sz w:val="24"/>
          <w:szCs w:val="24"/>
          <w:lang w:eastAsia="zh-CN"/>
        </w:rPr>
        <w:t>桂林市人民医院拟对</w:t>
      </w:r>
      <w:r>
        <w:rPr>
          <w:rFonts w:hint="eastAsia"/>
          <w:color w:val="auto"/>
          <w:spacing w:val="-6"/>
          <w:sz w:val="24"/>
          <w:szCs w:val="24"/>
          <w:lang w:eastAsia="zh-CN"/>
        </w:rPr>
        <w:t>自筹资金</w:t>
      </w:r>
      <w:r>
        <w:rPr>
          <w:rFonts w:hint="eastAsia"/>
          <w:color w:val="auto"/>
          <w:sz w:val="24"/>
          <w:szCs w:val="24"/>
          <w:u w:val="single"/>
          <w:lang w:eastAsia="zh-CN"/>
        </w:rPr>
        <w:t>门诊楼中医门诊和心脑电门诊改造装饰工程</w:t>
      </w:r>
      <w:r>
        <w:rPr>
          <w:rFonts w:hint="eastAsia"/>
          <w:color w:val="auto"/>
          <w:sz w:val="24"/>
          <w:szCs w:val="24"/>
          <w:u w:val="single"/>
          <w:lang w:val="en-US" w:eastAsia="zh-CN"/>
        </w:rPr>
        <w:t>项目</w:t>
      </w:r>
      <w:r>
        <w:rPr>
          <w:rFonts w:hint="eastAsia"/>
          <w:color w:val="auto"/>
          <w:sz w:val="24"/>
          <w:szCs w:val="24"/>
          <w:lang w:eastAsia="zh-CN"/>
        </w:rPr>
        <w:t>进行院内公开招标</w:t>
      </w:r>
      <w:r>
        <w:rPr>
          <w:rFonts w:hint="eastAsia"/>
          <w:color w:val="auto"/>
          <w:spacing w:val="8"/>
          <w:sz w:val="24"/>
          <w:szCs w:val="24"/>
        </w:rPr>
        <w:t>，</w:t>
      </w:r>
      <w:r>
        <w:rPr>
          <w:rFonts w:hint="eastAsia"/>
          <w:color w:val="auto"/>
          <w:spacing w:val="7"/>
          <w:sz w:val="24"/>
          <w:szCs w:val="24"/>
        </w:rPr>
        <w:t>现将有关事项公告如下：</w:t>
      </w:r>
    </w:p>
    <w:p w14:paraId="16D81277">
      <w:pPr>
        <w:pStyle w:val="3"/>
        <w:pageBreakBefore w:val="0"/>
        <w:kinsoku/>
        <w:wordWrap/>
        <w:overflowPunct/>
        <w:topLinePunct w:val="0"/>
        <w:autoSpaceDE/>
        <w:autoSpaceDN/>
        <w:bidi w:val="0"/>
        <w:adjustRightInd/>
        <w:spacing w:before="180" w:after="180" w:line="440" w:lineRule="exact"/>
        <w:textAlignment w:val="auto"/>
        <w:rPr>
          <w:rFonts w:ascii="宋体" w:hAnsi="宋体" w:eastAsia="宋体" w:cs="宋体"/>
          <w:bCs/>
          <w:color w:val="auto"/>
          <w:sz w:val="24"/>
        </w:rPr>
      </w:pPr>
      <w:r>
        <w:rPr>
          <w:rFonts w:ascii="宋体" w:hAnsi="宋体" w:cs="宋体"/>
          <w:bCs/>
          <w:color w:val="auto"/>
          <w:sz w:val="24"/>
        </w:rPr>
        <w:t xml:space="preserve"> </w:t>
      </w:r>
      <w:r>
        <w:rPr>
          <w:rFonts w:hint="eastAsia" w:ascii="宋体" w:hAnsi="宋体" w:eastAsia="宋体" w:cs="宋体"/>
          <w:bCs/>
          <w:color w:val="auto"/>
          <w:sz w:val="24"/>
        </w:rPr>
        <w:t xml:space="preserve">  </w:t>
      </w:r>
      <w:bookmarkStart w:id="0" w:name="_Toc20773"/>
      <w:r>
        <w:rPr>
          <w:rFonts w:hint="eastAsia" w:ascii="宋体" w:hAnsi="宋体" w:eastAsia="宋体" w:cs="宋体"/>
          <w:bCs/>
          <w:color w:val="auto"/>
          <w:sz w:val="24"/>
        </w:rPr>
        <w:t>一、项目基本情况</w:t>
      </w:r>
      <w:bookmarkEnd w:id="0"/>
    </w:p>
    <w:p w14:paraId="7A49290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1.项目编号：ZBK-2025-012</w:t>
      </w:r>
    </w:p>
    <w:p w14:paraId="63B814E3">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2.项目名称：桂林市人民医院门诊楼中医门诊和心脑电门诊改造装饰工程</w:t>
      </w:r>
    </w:p>
    <w:p w14:paraId="2806216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3.招标方式：公开招标</w:t>
      </w:r>
    </w:p>
    <w:p w14:paraId="0E3C5D90">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4.预算审定价：¥</w:t>
      </w:r>
      <w:r>
        <w:rPr>
          <w:rFonts w:hint="eastAsia" w:ascii="宋体" w:hAnsi="宋体" w:cs="宋体"/>
          <w:color w:val="auto"/>
          <w:sz w:val="24"/>
          <w:u w:val="single"/>
        </w:rPr>
        <w:t>290042.69元</w:t>
      </w:r>
      <w:r>
        <w:rPr>
          <w:rFonts w:hint="eastAsia" w:ascii="宋体" w:hAnsi="宋体" w:cs="宋体"/>
          <w:color w:val="auto"/>
          <w:sz w:val="24"/>
          <w:lang w:eastAsia="zh-CN"/>
        </w:rPr>
        <w:t>，</w:t>
      </w:r>
      <w:r>
        <w:rPr>
          <w:rFonts w:hint="eastAsia" w:ascii="宋体" w:hAnsi="宋体" w:cs="宋体"/>
          <w:color w:val="auto"/>
          <w:sz w:val="24"/>
        </w:rPr>
        <w:t>下浮5%调整后招标控制价：¥</w:t>
      </w:r>
      <w:r>
        <w:rPr>
          <w:rFonts w:hint="eastAsia" w:ascii="宋体" w:hAnsi="宋体" w:cs="宋体"/>
          <w:color w:val="auto"/>
          <w:sz w:val="24"/>
          <w:u w:val="single"/>
        </w:rPr>
        <w:t>275540.56元</w:t>
      </w:r>
      <w:r>
        <w:rPr>
          <w:rFonts w:hint="eastAsia" w:ascii="宋体" w:hAnsi="宋体" w:cs="宋体"/>
          <w:color w:val="auto"/>
          <w:sz w:val="24"/>
          <w:lang w:eastAsia="zh-CN"/>
        </w:rPr>
        <w:t>，</w:t>
      </w:r>
      <w:r>
        <w:rPr>
          <w:rFonts w:hint="eastAsia" w:ascii="宋体" w:hAnsi="宋体" w:cs="宋体"/>
          <w:color w:val="auto"/>
          <w:sz w:val="24"/>
        </w:rPr>
        <w:t>其中暂列金：¥</w:t>
      </w:r>
      <w:r>
        <w:rPr>
          <w:rFonts w:hint="eastAsia" w:ascii="宋体" w:hAnsi="宋体" w:cs="宋体"/>
          <w:color w:val="auto"/>
          <w:sz w:val="24"/>
          <w:u w:val="single"/>
        </w:rPr>
        <w:t>26105.00元。</w:t>
      </w:r>
    </w:p>
    <w:p w14:paraId="3CDE1B6E">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5.招标项目的名称、数量、简要规格描述或项目基本概况介绍：</w:t>
      </w:r>
    </w:p>
    <w:tbl>
      <w:tblPr>
        <w:tblStyle w:val="18"/>
        <w:tblW w:w="0" w:type="auto"/>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260"/>
        <w:gridCol w:w="804"/>
        <w:gridCol w:w="854"/>
        <w:gridCol w:w="3539"/>
      </w:tblGrid>
      <w:tr w14:paraId="019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4" w:type="dxa"/>
            <w:tcBorders>
              <w:top w:val="single" w:color="auto" w:sz="4" w:space="0"/>
              <w:left w:val="single" w:color="auto" w:sz="4" w:space="0"/>
              <w:bottom w:val="single" w:color="auto" w:sz="4" w:space="0"/>
              <w:right w:val="single" w:color="auto" w:sz="4" w:space="0"/>
            </w:tcBorders>
            <w:vAlign w:val="center"/>
          </w:tcPr>
          <w:p w14:paraId="2FCF14B1">
            <w:pPr>
              <w:pageBreakBefore w:val="0"/>
              <w:kinsoku/>
              <w:wordWrap/>
              <w:overflowPunct/>
              <w:topLinePunct w:val="0"/>
              <w:autoSpaceDE/>
              <w:autoSpaceDN/>
              <w:bidi w:val="0"/>
              <w:adjustRightInd/>
              <w:spacing w:line="440" w:lineRule="exact"/>
              <w:jc w:val="center"/>
              <w:textAlignment w:val="auto"/>
              <w:rPr>
                <w:rFonts w:ascii="宋体" w:hAnsi="宋体" w:cs="宋体"/>
                <w:b/>
                <w:color w:val="auto"/>
                <w:sz w:val="24"/>
              </w:rPr>
            </w:pPr>
            <w:r>
              <w:rPr>
                <w:rFonts w:hint="eastAsia" w:ascii="宋体" w:hAnsi="宋体" w:cs="宋体"/>
                <w:b/>
                <w:color w:val="auto"/>
                <w:sz w:val="24"/>
              </w:rPr>
              <w:t>项号</w:t>
            </w:r>
          </w:p>
        </w:tc>
        <w:tc>
          <w:tcPr>
            <w:tcW w:w="3260" w:type="dxa"/>
            <w:tcBorders>
              <w:top w:val="single" w:color="auto" w:sz="4" w:space="0"/>
              <w:left w:val="single" w:color="auto" w:sz="4" w:space="0"/>
              <w:bottom w:val="single" w:color="auto" w:sz="4" w:space="0"/>
              <w:right w:val="single" w:color="auto" w:sz="4" w:space="0"/>
            </w:tcBorders>
            <w:vAlign w:val="center"/>
          </w:tcPr>
          <w:p w14:paraId="365999F3">
            <w:pPr>
              <w:pageBreakBefore w:val="0"/>
              <w:kinsoku/>
              <w:wordWrap/>
              <w:overflowPunct/>
              <w:topLinePunct w:val="0"/>
              <w:autoSpaceDE/>
              <w:autoSpaceDN/>
              <w:bidi w:val="0"/>
              <w:adjustRightInd/>
              <w:spacing w:line="440" w:lineRule="exact"/>
              <w:jc w:val="center"/>
              <w:textAlignment w:val="auto"/>
              <w:rPr>
                <w:rFonts w:ascii="宋体" w:hAnsi="宋体" w:cs="宋体"/>
                <w:b/>
                <w:color w:val="auto"/>
                <w:sz w:val="24"/>
              </w:rPr>
            </w:pPr>
            <w:r>
              <w:rPr>
                <w:rFonts w:hint="eastAsia" w:ascii="宋体" w:hAnsi="宋体" w:cs="宋体"/>
                <w:b/>
                <w:color w:val="auto"/>
                <w:sz w:val="24"/>
              </w:rPr>
              <w:t>项目名称</w:t>
            </w:r>
          </w:p>
        </w:tc>
        <w:tc>
          <w:tcPr>
            <w:tcW w:w="804" w:type="dxa"/>
            <w:tcBorders>
              <w:top w:val="single" w:color="auto" w:sz="4" w:space="0"/>
              <w:left w:val="single" w:color="auto" w:sz="4" w:space="0"/>
              <w:bottom w:val="single" w:color="auto" w:sz="4" w:space="0"/>
              <w:right w:val="single" w:color="auto" w:sz="4" w:space="0"/>
            </w:tcBorders>
            <w:vAlign w:val="center"/>
          </w:tcPr>
          <w:p w14:paraId="2673DC57">
            <w:pPr>
              <w:pageBreakBefore w:val="0"/>
              <w:kinsoku/>
              <w:wordWrap/>
              <w:overflowPunct/>
              <w:topLinePunct w:val="0"/>
              <w:autoSpaceDE/>
              <w:autoSpaceDN/>
              <w:bidi w:val="0"/>
              <w:adjustRightInd/>
              <w:spacing w:line="440" w:lineRule="exact"/>
              <w:jc w:val="center"/>
              <w:textAlignment w:val="auto"/>
              <w:rPr>
                <w:rFonts w:ascii="宋体" w:hAnsi="宋体" w:cs="宋体"/>
                <w:b/>
                <w:color w:val="auto"/>
                <w:sz w:val="24"/>
              </w:rPr>
            </w:pPr>
            <w:r>
              <w:rPr>
                <w:rFonts w:hint="eastAsia" w:ascii="宋体" w:hAnsi="宋体" w:cs="宋体"/>
                <w:b/>
                <w:color w:val="auto"/>
                <w:sz w:val="24"/>
              </w:rPr>
              <w:t>数量</w:t>
            </w:r>
          </w:p>
        </w:tc>
        <w:tc>
          <w:tcPr>
            <w:tcW w:w="854" w:type="dxa"/>
            <w:tcBorders>
              <w:top w:val="single" w:color="auto" w:sz="4" w:space="0"/>
              <w:left w:val="single" w:color="auto" w:sz="4" w:space="0"/>
              <w:bottom w:val="single" w:color="auto" w:sz="4" w:space="0"/>
              <w:right w:val="single" w:color="auto" w:sz="4" w:space="0"/>
            </w:tcBorders>
            <w:vAlign w:val="center"/>
          </w:tcPr>
          <w:p w14:paraId="45D8C002">
            <w:pPr>
              <w:pageBreakBefore w:val="0"/>
              <w:kinsoku/>
              <w:wordWrap/>
              <w:overflowPunct/>
              <w:topLinePunct w:val="0"/>
              <w:autoSpaceDE/>
              <w:autoSpaceDN/>
              <w:bidi w:val="0"/>
              <w:adjustRightInd/>
              <w:spacing w:line="440" w:lineRule="exact"/>
              <w:jc w:val="center"/>
              <w:textAlignment w:val="auto"/>
              <w:rPr>
                <w:rFonts w:ascii="宋体" w:hAnsi="宋体" w:cs="宋体"/>
                <w:b/>
                <w:color w:val="auto"/>
                <w:sz w:val="24"/>
              </w:rPr>
            </w:pPr>
            <w:r>
              <w:rPr>
                <w:rFonts w:hint="eastAsia" w:ascii="宋体" w:hAnsi="宋体" w:cs="宋体"/>
                <w:b/>
                <w:color w:val="auto"/>
                <w:sz w:val="24"/>
              </w:rPr>
              <w:t>单位</w:t>
            </w:r>
          </w:p>
        </w:tc>
        <w:tc>
          <w:tcPr>
            <w:tcW w:w="3539" w:type="dxa"/>
            <w:tcBorders>
              <w:top w:val="single" w:color="auto" w:sz="4" w:space="0"/>
              <w:left w:val="single" w:color="auto" w:sz="4" w:space="0"/>
              <w:bottom w:val="single" w:color="auto" w:sz="4" w:space="0"/>
              <w:right w:val="single" w:color="auto" w:sz="4" w:space="0"/>
            </w:tcBorders>
            <w:vAlign w:val="center"/>
          </w:tcPr>
          <w:p w14:paraId="274AF4BB">
            <w:pPr>
              <w:pageBreakBefore w:val="0"/>
              <w:kinsoku/>
              <w:wordWrap/>
              <w:overflowPunct/>
              <w:topLinePunct w:val="0"/>
              <w:autoSpaceDE/>
              <w:autoSpaceDN/>
              <w:bidi w:val="0"/>
              <w:adjustRightInd/>
              <w:spacing w:line="440" w:lineRule="exact"/>
              <w:jc w:val="center"/>
              <w:textAlignment w:val="auto"/>
              <w:rPr>
                <w:rFonts w:ascii="宋体" w:hAnsi="宋体" w:cs="宋体"/>
                <w:b/>
                <w:color w:val="auto"/>
                <w:sz w:val="24"/>
              </w:rPr>
            </w:pPr>
            <w:r>
              <w:rPr>
                <w:rFonts w:hint="eastAsia" w:ascii="宋体" w:hAnsi="宋体" w:cs="宋体"/>
                <w:b/>
                <w:color w:val="auto"/>
                <w:sz w:val="24"/>
              </w:rPr>
              <w:t>简要规格描述或项目基本概况</w:t>
            </w:r>
          </w:p>
        </w:tc>
      </w:tr>
      <w:tr w14:paraId="14EA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4" w:type="dxa"/>
            <w:tcBorders>
              <w:top w:val="single" w:color="auto" w:sz="4" w:space="0"/>
              <w:left w:val="single" w:color="auto" w:sz="4" w:space="0"/>
              <w:bottom w:val="single" w:color="auto" w:sz="4" w:space="0"/>
              <w:right w:val="single" w:color="auto" w:sz="4" w:space="0"/>
            </w:tcBorders>
            <w:vAlign w:val="center"/>
          </w:tcPr>
          <w:p w14:paraId="4107CF0F">
            <w:pPr>
              <w:pageBreakBefore w:val="0"/>
              <w:kinsoku/>
              <w:wordWrap/>
              <w:overflowPunct/>
              <w:topLinePunct w:val="0"/>
              <w:autoSpaceDE/>
              <w:autoSpaceDN/>
              <w:bidi w:val="0"/>
              <w:adjustRightInd/>
              <w:snapToGrid w:val="0"/>
              <w:spacing w:line="440" w:lineRule="exact"/>
              <w:jc w:val="center"/>
              <w:textAlignment w:val="auto"/>
              <w:rPr>
                <w:rFonts w:ascii="宋体" w:hAnsi="宋体" w:cs="宋体"/>
                <w:color w:val="auto"/>
                <w:sz w:val="24"/>
              </w:rPr>
            </w:pPr>
            <w:r>
              <w:rPr>
                <w:rFonts w:hint="eastAsia" w:ascii="宋体" w:hAnsi="宋体" w:cs="宋体"/>
                <w:color w:val="auto"/>
                <w:sz w:val="24"/>
              </w:rPr>
              <w:t>1</w:t>
            </w:r>
          </w:p>
        </w:tc>
        <w:tc>
          <w:tcPr>
            <w:tcW w:w="3260" w:type="dxa"/>
            <w:tcBorders>
              <w:top w:val="single" w:color="auto" w:sz="4" w:space="0"/>
              <w:left w:val="single" w:color="auto" w:sz="4" w:space="0"/>
              <w:bottom w:val="single" w:color="auto" w:sz="4" w:space="0"/>
              <w:right w:val="single" w:color="auto" w:sz="4" w:space="0"/>
            </w:tcBorders>
            <w:vAlign w:val="center"/>
          </w:tcPr>
          <w:p w14:paraId="639F3AC1">
            <w:pPr>
              <w:pageBreakBefore w:val="0"/>
              <w:kinsoku/>
              <w:wordWrap/>
              <w:overflowPunct/>
              <w:topLinePunct w:val="0"/>
              <w:autoSpaceDE/>
              <w:autoSpaceDN/>
              <w:bidi w:val="0"/>
              <w:adjustRightInd/>
              <w:snapToGrid w:val="0"/>
              <w:spacing w:line="440" w:lineRule="exact"/>
              <w:jc w:val="center"/>
              <w:textAlignment w:val="auto"/>
              <w:rPr>
                <w:rFonts w:ascii="宋体" w:hAnsi="宋体" w:cs="宋体"/>
                <w:bCs/>
                <w:color w:val="auto"/>
                <w:sz w:val="24"/>
              </w:rPr>
            </w:pPr>
            <w:r>
              <w:rPr>
                <w:rFonts w:hint="eastAsia" w:ascii="宋体" w:hAnsi="宋体" w:cs="宋体"/>
                <w:color w:val="auto"/>
                <w:sz w:val="24"/>
              </w:rPr>
              <w:t>桂林市人民医院门诊楼中医门诊和心脑电门诊改造装饰工程</w:t>
            </w:r>
          </w:p>
        </w:tc>
        <w:tc>
          <w:tcPr>
            <w:tcW w:w="804" w:type="dxa"/>
            <w:tcBorders>
              <w:top w:val="single" w:color="auto" w:sz="4" w:space="0"/>
              <w:left w:val="single" w:color="auto" w:sz="4" w:space="0"/>
              <w:bottom w:val="single" w:color="auto" w:sz="4" w:space="0"/>
              <w:right w:val="single" w:color="auto" w:sz="4" w:space="0"/>
            </w:tcBorders>
            <w:vAlign w:val="center"/>
          </w:tcPr>
          <w:p w14:paraId="6E9DEE47">
            <w:pPr>
              <w:pageBreakBefore w:val="0"/>
              <w:kinsoku/>
              <w:wordWrap/>
              <w:overflowPunct/>
              <w:topLinePunct w:val="0"/>
              <w:autoSpaceDE/>
              <w:autoSpaceDN/>
              <w:bidi w:val="0"/>
              <w:adjustRightInd/>
              <w:snapToGrid w:val="0"/>
              <w:spacing w:line="440" w:lineRule="exact"/>
              <w:jc w:val="center"/>
              <w:textAlignment w:val="auto"/>
              <w:rPr>
                <w:rFonts w:ascii="宋体" w:hAnsi="宋体" w:cs="宋体"/>
                <w:color w:val="auto"/>
                <w:sz w:val="24"/>
              </w:rPr>
            </w:pPr>
            <w:r>
              <w:rPr>
                <w:rFonts w:hint="eastAsia" w:ascii="宋体" w:hAnsi="宋体" w:cs="宋体"/>
                <w:color w:val="auto"/>
                <w:sz w:val="24"/>
              </w:rPr>
              <w:t>1</w:t>
            </w:r>
          </w:p>
        </w:tc>
        <w:tc>
          <w:tcPr>
            <w:tcW w:w="854" w:type="dxa"/>
            <w:tcBorders>
              <w:top w:val="single" w:color="auto" w:sz="4" w:space="0"/>
              <w:left w:val="single" w:color="auto" w:sz="4" w:space="0"/>
              <w:bottom w:val="single" w:color="auto" w:sz="4" w:space="0"/>
              <w:right w:val="single" w:color="auto" w:sz="4" w:space="0"/>
            </w:tcBorders>
            <w:vAlign w:val="center"/>
          </w:tcPr>
          <w:p w14:paraId="3BCB16C6">
            <w:pPr>
              <w:pageBreakBefore w:val="0"/>
              <w:kinsoku/>
              <w:wordWrap/>
              <w:overflowPunct/>
              <w:topLinePunct w:val="0"/>
              <w:autoSpaceDE/>
              <w:autoSpaceDN/>
              <w:bidi w:val="0"/>
              <w:adjustRightInd/>
              <w:snapToGrid w:val="0"/>
              <w:spacing w:line="440" w:lineRule="exact"/>
              <w:jc w:val="center"/>
              <w:textAlignment w:val="auto"/>
              <w:rPr>
                <w:rFonts w:ascii="宋体" w:hAnsi="宋体" w:cs="宋体"/>
                <w:color w:val="auto"/>
                <w:sz w:val="24"/>
              </w:rPr>
            </w:pPr>
            <w:r>
              <w:rPr>
                <w:rFonts w:hint="eastAsia" w:ascii="宋体" w:hAnsi="宋体" w:cs="宋体"/>
                <w:color w:val="auto"/>
                <w:sz w:val="24"/>
              </w:rPr>
              <w:t>项</w:t>
            </w:r>
          </w:p>
        </w:tc>
        <w:tc>
          <w:tcPr>
            <w:tcW w:w="3539" w:type="dxa"/>
            <w:tcBorders>
              <w:top w:val="single" w:color="auto" w:sz="4" w:space="0"/>
              <w:left w:val="single" w:color="auto" w:sz="4" w:space="0"/>
              <w:bottom w:val="single" w:color="auto" w:sz="4" w:space="0"/>
              <w:right w:val="single" w:color="auto" w:sz="4" w:space="0"/>
            </w:tcBorders>
            <w:vAlign w:val="center"/>
          </w:tcPr>
          <w:p w14:paraId="793582DE">
            <w:pPr>
              <w:pageBreakBefore w:val="0"/>
              <w:kinsoku/>
              <w:wordWrap/>
              <w:overflowPunct/>
              <w:topLinePunct w:val="0"/>
              <w:autoSpaceDE/>
              <w:autoSpaceDN/>
              <w:bidi w:val="0"/>
              <w:adjustRightInd/>
              <w:spacing w:line="440" w:lineRule="exact"/>
              <w:ind w:left="-25" w:leftChars="-12" w:right="-25" w:rightChars="-12"/>
              <w:jc w:val="left"/>
              <w:textAlignment w:val="auto"/>
              <w:rPr>
                <w:rFonts w:ascii="宋体" w:hAnsi="宋体" w:cs="宋体"/>
                <w:color w:val="auto"/>
                <w:sz w:val="24"/>
              </w:rPr>
            </w:pPr>
            <w:r>
              <w:rPr>
                <w:rFonts w:hint="eastAsia" w:ascii="宋体" w:hAnsi="宋体" w:cs="宋体"/>
                <w:color w:val="auto"/>
                <w:sz w:val="24"/>
              </w:rPr>
              <w:t>工程位于桂林市人民医院，工程内容：建筑拆除、装修、新建、给排水等。</w:t>
            </w:r>
          </w:p>
        </w:tc>
      </w:tr>
    </w:tbl>
    <w:p w14:paraId="00CF7D0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如需进一步了解详细内容，详见招标文件</w:t>
      </w:r>
    </w:p>
    <w:p w14:paraId="32FBB3C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6.要求工期：签订合同之日起40个日历</w:t>
      </w:r>
      <w:r>
        <w:rPr>
          <w:rFonts w:hint="eastAsia" w:ascii="宋体" w:hAnsi="宋体" w:cs="宋体"/>
          <w:color w:val="auto"/>
          <w:sz w:val="24"/>
          <w:lang w:val="en-US" w:eastAsia="zh-CN"/>
        </w:rPr>
        <w:t>日</w:t>
      </w:r>
      <w:r>
        <w:rPr>
          <w:rFonts w:hint="eastAsia" w:ascii="宋体" w:hAnsi="宋体" w:cs="宋体"/>
          <w:color w:val="auto"/>
          <w:sz w:val="24"/>
        </w:rPr>
        <w:t>完工</w:t>
      </w:r>
    </w:p>
    <w:p w14:paraId="7D2BE0E2">
      <w:pPr>
        <w:pageBreakBefore w:val="0"/>
        <w:kinsoku/>
        <w:wordWrap/>
        <w:overflowPunct/>
        <w:topLinePunct w:val="0"/>
        <w:autoSpaceDE/>
        <w:autoSpaceDN/>
        <w:bidi w:val="0"/>
        <w:adjustRightInd/>
        <w:spacing w:line="440" w:lineRule="exact"/>
        <w:ind w:firstLine="484" w:firstLineChars="202"/>
        <w:jc w:val="left"/>
        <w:textAlignment w:val="auto"/>
        <w:rPr>
          <w:rFonts w:ascii="宋体" w:hAnsi="宋体" w:cs="宋体"/>
          <w:color w:val="auto"/>
          <w:sz w:val="24"/>
        </w:rPr>
      </w:pPr>
      <w:r>
        <w:rPr>
          <w:rFonts w:hint="eastAsia" w:ascii="宋体" w:hAnsi="宋体" w:cs="宋体"/>
          <w:color w:val="auto"/>
          <w:sz w:val="24"/>
        </w:rPr>
        <w:t>7.质量要求：按国家现行专业技术规范评定达到合格等级</w:t>
      </w:r>
    </w:p>
    <w:p w14:paraId="175F276B">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kern w:val="0"/>
          <w:sz w:val="24"/>
          <w:shd w:val="clear" w:color="auto" w:fill="FFFFFF"/>
        </w:rPr>
      </w:pPr>
      <w:r>
        <w:rPr>
          <w:rFonts w:hint="eastAsia" w:ascii="宋体" w:hAnsi="宋体" w:cs="宋体"/>
          <w:color w:val="auto"/>
          <w:sz w:val="24"/>
        </w:rPr>
        <w:t>8.招标范围：桂林市人民医院门诊楼中医门诊和心脑电门诊改造装饰工程施工图纸、工程量清单范围内的施工内容。</w:t>
      </w:r>
    </w:p>
    <w:p w14:paraId="3877DF8E">
      <w:pPr>
        <w:pageBreakBefore w:val="0"/>
        <w:kinsoku/>
        <w:wordWrap/>
        <w:overflowPunct/>
        <w:topLinePunct w:val="0"/>
        <w:autoSpaceDE/>
        <w:autoSpaceDN/>
        <w:bidi w:val="0"/>
        <w:adjustRightInd/>
        <w:spacing w:line="440" w:lineRule="exact"/>
        <w:ind w:firstLine="484" w:firstLineChars="202"/>
        <w:jc w:val="left"/>
        <w:textAlignment w:val="auto"/>
        <w:rPr>
          <w:rFonts w:ascii="宋体" w:hAnsi="宋体" w:cs="宋体"/>
          <w:color w:val="auto"/>
          <w:sz w:val="24"/>
        </w:rPr>
      </w:pPr>
      <w:r>
        <w:rPr>
          <w:rFonts w:hint="eastAsia" w:ascii="宋体" w:hAnsi="宋体" w:cs="宋体"/>
          <w:color w:val="auto"/>
          <w:kern w:val="0"/>
          <w:sz w:val="24"/>
        </w:rPr>
        <w:t>9.标段划分：</w:t>
      </w:r>
      <w:r>
        <w:rPr>
          <w:rFonts w:hint="eastAsia" w:ascii="宋体" w:hAnsi="宋体" w:cs="宋体"/>
          <w:color w:val="auto"/>
          <w:kern w:val="0"/>
          <w:sz w:val="24"/>
          <w:u w:val="single"/>
        </w:rPr>
        <w:t>本工程为1个标段</w:t>
      </w:r>
    </w:p>
    <w:p w14:paraId="69C8207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10.本项目不接受联合体。</w:t>
      </w:r>
    </w:p>
    <w:p w14:paraId="3D91E220">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二、供应商资质条件要求</w:t>
      </w:r>
    </w:p>
    <w:p w14:paraId="209CB341">
      <w:pPr>
        <w:pStyle w:val="24"/>
        <w:pageBreakBefore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color w:val="auto"/>
          <w:sz w:val="24"/>
        </w:rPr>
      </w:pPr>
      <w:r>
        <w:rPr>
          <w:rFonts w:hint="eastAsia"/>
          <w:color w:val="auto"/>
          <w:sz w:val="24"/>
        </w:rPr>
        <w:t>1.国内注册【依法在市场监督管理部门（或行政审批部门）登记注册】的，具备合法资格的供应商；</w:t>
      </w:r>
    </w:p>
    <w:p w14:paraId="36957EF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本项目的特定资格要求：本次招标要求投标人具备建筑工程施工总承包叁级以上（含叁级）或建筑装修装饰工程专业承包贰级以上（含贰级）资质，并在人员、设备、资金等方面具备相应的施工能力。投标人拟派项目经理资格：建筑工程贰级以上(含贰级)注册建造师执业资格，具备</w:t>
      </w:r>
      <w:r>
        <w:rPr>
          <w:rFonts w:hint="eastAsia" w:ascii="宋体" w:hAnsi="宋体"/>
          <w:color w:val="auto"/>
          <w:sz w:val="24"/>
          <w:szCs w:val="24"/>
        </w:rPr>
        <w:t>安全生产考核合格证书（B类）</w:t>
      </w:r>
      <w:r>
        <w:rPr>
          <w:rFonts w:hint="eastAsia" w:ascii="宋体" w:hAnsi="宋体" w:cs="宋体"/>
          <w:color w:val="auto"/>
          <w:sz w:val="24"/>
        </w:rPr>
        <w:t>有效的安全生产考核合格证书；</w:t>
      </w:r>
      <w:r>
        <w:rPr>
          <w:rStyle w:val="21"/>
          <w:rFonts w:hint="eastAsia"/>
          <w:color w:val="auto"/>
          <w:sz w:val="24"/>
          <w:szCs w:val="24"/>
          <w:lang w:val="en-US" w:eastAsia="zh-CN"/>
        </w:rPr>
        <w:t>不</w:t>
      </w:r>
      <w:r>
        <w:rPr>
          <w:rFonts w:hint="eastAsia" w:ascii="宋体" w:hAnsi="宋体"/>
          <w:color w:val="auto"/>
          <w:sz w:val="24"/>
          <w:szCs w:val="24"/>
        </w:rPr>
        <w:t>接受</w:t>
      </w:r>
      <w:r>
        <w:rPr>
          <w:rFonts w:hint="eastAsia" w:ascii="宋体" w:hAnsi="宋体" w:cs="宋体"/>
          <w:color w:val="auto"/>
          <w:sz w:val="24"/>
          <w:szCs w:val="24"/>
        </w:rPr>
        <w:t>在建、已中标（或成交）未开工或已列为其他项目中标（或成交）候选人第一名的建造师作为项目经理（符合桂建管【2013】17号文除外）</w:t>
      </w:r>
      <w:r>
        <w:rPr>
          <w:rFonts w:hint="eastAsia" w:ascii="宋体" w:hAnsi="宋体" w:cs="宋体"/>
          <w:color w:val="auto"/>
          <w:sz w:val="24"/>
          <w:szCs w:val="24"/>
          <w:lang w:eastAsia="zh-CN"/>
        </w:rPr>
        <w:t>，</w:t>
      </w:r>
      <w:r>
        <w:rPr>
          <w:rFonts w:hint="eastAsia" w:ascii="宋体" w:hAnsi="宋体" w:cs="宋体"/>
          <w:color w:val="auto"/>
          <w:sz w:val="24"/>
        </w:rPr>
        <w:t>另专职人员要求：技术负责人1人</w:t>
      </w:r>
      <w:r>
        <w:rPr>
          <w:rFonts w:hint="eastAsia" w:ascii="宋体" w:hAnsi="宋体" w:cs="宋体"/>
          <w:color w:val="auto"/>
          <w:sz w:val="24"/>
          <w:lang w:eastAsia="zh-CN"/>
        </w:rPr>
        <w:t>、</w:t>
      </w:r>
      <w:r>
        <w:rPr>
          <w:rFonts w:hint="eastAsia" w:ascii="宋体" w:hAnsi="宋体" w:cs="宋体"/>
          <w:color w:val="auto"/>
          <w:sz w:val="24"/>
        </w:rPr>
        <w:t>施工员1人</w:t>
      </w:r>
      <w:r>
        <w:rPr>
          <w:rFonts w:hint="eastAsia" w:ascii="宋体" w:hAnsi="宋体" w:cs="宋体"/>
          <w:color w:val="auto"/>
          <w:sz w:val="24"/>
          <w:lang w:eastAsia="zh-CN"/>
        </w:rPr>
        <w:t>、</w:t>
      </w:r>
      <w:r>
        <w:rPr>
          <w:rFonts w:hint="eastAsia" w:ascii="宋体" w:hAnsi="宋体" w:cs="宋体"/>
          <w:color w:val="auto"/>
          <w:sz w:val="24"/>
        </w:rPr>
        <w:t>质检员1人</w:t>
      </w:r>
      <w:r>
        <w:rPr>
          <w:rFonts w:hint="eastAsia" w:ascii="宋体" w:hAnsi="宋体" w:cs="宋体"/>
          <w:color w:val="auto"/>
          <w:sz w:val="24"/>
          <w:lang w:eastAsia="zh-CN"/>
        </w:rPr>
        <w:t>，</w:t>
      </w:r>
      <w:r>
        <w:rPr>
          <w:rFonts w:hint="eastAsia" w:ascii="宋体" w:hAnsi="宋体" w:cs="宋体"/>
          <w:color w:val="auto"/>
          <w:sz w:val="24"/>
          <w:lang w:val="en-US" w:eastAsia="zh-CN"/>
        </w:rPr>
        <w:t>均具有</w:t>
      </w:r>
      <w:r>
        <w:rPr>
          <w:rFonts w:hint="eastAsia" w:ascii="宋体" w:hAnsi="宋体"/>
          <w:color w:val="auto"/>
          <w:kern w:val="0"/>
          <w:sz w:val="24"/>
        </w:rPr>
        <w:t>职业培训合格证书</w:t>
      </w:r>
      <w:r>
        <w:rPr>
          <w:rFonts w:hint="eastAsia" w:ascii="宋体" w:hAnsi="宋体"/>
          <w:color w:val="auto"/>
          <w:kern w:val="0"/>
          <w:sz w:val="24"/>
          <w:lang w:eastAsia="zh-CN"/>
        </w:rPr>
        <w:t>；</w:t>
      </w:r>
      <w:r>
        <w:rPr>
          <w:rFonts w:hint="eastAsia" w:ascii="宋体" w:hAnsi="宋体" w:cs="宋体"/>
          <w:color w:val="auto"/>
          <w:sz w:val="24"/>
        </w:rPr>
        <w:t>专职安全生产管理人员1人</w:t>
      </w:r>
      <w:r>
        <w:rPr>
          <w:rFonts w:hint="eastAsia" w:ascii="宋体" w:hAnsi="宋体" w:cs="宋体"/>
          <w:color w:val="auto"/>
          <w:sz w:val="24"/>
          <w:lang w:eastAsia="zh-CN"/>
        </w:rPr>
        <w:t>，</w:t>
      </w:r>
      <w:r>
        <w:rPr>
          <w:rFonts w:hint="eastAsia" w:ascii="宋体" w:hAnsi="宋体" w:cs="宋体"/>
          <w:color w:val="auto"/>
          <w:sz w:val="24"/>
          <w:lang w:val="en-US" w:eastAsia="zh-CN"/>
        </w:rPr>
        <w:t>具有</w:t>
      </w:r>
      <w:r>
        <w:rPr>
          <w:rFonts w:hint="eastAsia" w:ascii="宋体" w:hAnsi="宋体"/>
          <w:color w:val="auto"/>
          <w:sz w:val="24"/>
          <w:szCs w:val="24"/>
        </w:rPr>
        <w:t>安全生产考核合格证书（C类）</w:t>
      </w:r>
      <w:r>
        <w:rPr>
          <w:rFonts w:hint="eastAsia" w:ascii="宋体" w:hAnsi="宋体" w:cs="宋体"/>
          <w:color w:val="auto"/>
          <w:sz w:val="24"/>
          <w:lang w:eastAsia="zh-CN"/>
        </w:rPr>
        <w:t>）</w:t>
      </w:r>
      <w:r>
        <w:rPr>
          <w:rFonts w:hint="eastAsia" w:ascii="宋体" w:hAnsi="宋体" w:cs="宋体"/>
          <w:color w:val="auto"/>
          <w:sz w:val="24"/>
        </w:rPr>
        <w:t>。</w:t>
      </w:r>
    </w:p>
    <w:p w14:paraId="2035502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3.本项目不接受在“信用中国”网站(www. creditchina . gov . 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40" w:lineRule="exact"/>
        <w:ind w:firstLine="482" w:firstLineChars="200"/>
        <w:jc w:val="left"/>
        <w:textAlignment w:val="auto"/>
        <w:rPr>
          <w:rFonts w:ascii="宋体" w:hAnsi="宋体" w:eastAsia="宋体" w:cs="宋体"/>
          <w:b w:val="0"/>
          <w:bCs/>
          <w:color w:val="auto"/>
          <w:sz w:val="24"/>
        </w:rPr>
      </w:pPr>
      <w:bookmarkStart w:id="1" w:name="_Toc5023"/>
      <w:r>
        <w:rPr>
          <w:rFonts w:hint="eastAsia" w:ascii="宋体" w:hAnsi="宋体" w:eastAsia="宋体" w:cs="宋体"/>
          <w:color w:val="auto"/>
          <w:sz w:val="24"/>
        </w:rPr>
        <w:t>4.参加投标采购活动前三年内，在经营活动中没有重大违法记录：</w:t>
      </w:r>
      <w:r>
        <w:rPr>
          <w:rFonts w:hint="eastAsia" w:ascii="宋体" w:hAnsi="宋体" w:eastAsia="宋体" w:cs="宋体"/>
          <w:b w:val="0"/>
          <w:bCs/>
          <w:color w:val="auto"/>
          <w:sz w:val="24"/>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4"/>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b/>
          <w:bCs/>
          <w:color w:val="auto"/>
          <w:sz w:val="24"/>
        </w:rPr>
      </w:pPr>
      <w:r>
        <w:rPr>
          <w:rFonts w:hint="eastAsia"/>
          <w:color w:val="auto"/>
          <w:sz w:val="24"/>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如投标人有违反上述规定的，相关投标按无效投标处理。</w:t>
      </w:r>
    </w:p>
    <w:p w14:paraId="6BDA006C">
      <w:pPr>
        <w:pageBreakBefore w:val="0"/>
        <w:kinsoku/>
        <w:wordWrap/>
        <w:overflowPunct/>
        <w:topLinePunct w:val="0"/>
        <w:autoSpaceDE/>
        <w:autoSpaceDN/>
        <w:bidi w:val="0"/>
        <w:adjustRightInd/>
        <w:spacing w:line="440" w:lineRule="exact"/>
        <w:ind w:left="420" w:leftChars="200"/>
        <w:jc w:val="left"/>
        <w:textAlignment w:val="auto"/>
        <w:rPr>
          <w:rFonts w:ascii="宋体" w:hAnsi="宋体" w:cs="宋体"/>
          <w:color w:val="auto"/>
          <w:sz w:val="24"/>
        </w:rPr>
      </w:pPr>
      <w:r>
        <w:rPr>
          <w:rFonts w:hint="eastAsia" w:ascii="宋体" w:hAnsi="宋体" w:cs="宋体"/>
          <w:b/>
          <w:bCs/>
          <w:color w:val="auto"/>
          <w:sz w:val="24"/>
        </w:rPr>
        <w:t>三、报名时间、方式及获取招标文件方式</w:t>
      </w:r>
    </w:p>
    <w:p w14:paraId="254F11C4">
      <w:pPr>
        <w:pStyle w:val="7"/>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日至</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日17:00时止（北京时间），逾期报名无效。</w:t>
      </w:r>
    </w:p>
    <w:p w14:paraId="656960A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获取招标文件方式：桂林市人民医院官网（www.glrmyy.com）</w:t>
      </w:r>
    </w:p>
    <w:p w14:paraId="1B530263">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四、采购活动要求</w:t>
      </w:r>
    </w:p>
    <w:p w14:paraId="5A8F433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1.开标时间：具体时间另行通知（开标通告将会通过（</w:t>
      </w:r>
      <w:r>
        <w:rPr>
          <w:color w:val="auto"/>
        </w:rPr>
        <w:fldChar w:fldCharType="begin"/>
      </w:r>
      <w:r>
        <w:rPr>
          <w:color w:val="auto"/>
        </w:rPr>
        <w:instrText xml:space="preserve"> HYPERLINK "mailto:glsrmyyzbb@163.com" </w:instrText>
      </w:r>
      <w:r>
        <w:rPr>
          <w:color w:val="auto"/>
        </w:rPr>
        <w:fldChar w:fldCharType="separate"/>
      </w:r>
      <w:r>
        <w:rPr>
          <w:rStyle w:val="20"/>
          <w:rFonts w:hint="eastAsia" w:ascii="宋体" w:hAnsi="宋体" w:cs="宋体"/>
          <w:color w:val="auto"/>
          <w:sz w:val="24"/>
        </w:rPr>
        <w:t>glsrmyyzbb@163.com</w:t>
      </w:r>
      <w:r>
        <w:rPr>
          <w:rStyle w:val="20"/>
          <w:rFonts w:hint="eastAsia" w:ascii="宋体" w:hAnsi="宋体" w:cs="宋体"/>
          <w:color w:val="auto"/>
          <w:sz w:val="24"/>
        </w:rPr>
        <w:fldChar w:fldCharType="end"/>
      </w:r>
      <w:r>
        <w:rPr>
          <w:rFonts w:hint="eastAsia" w:ascii="宋体" w:hAnsi="宋体" w:cs="宋体"/>
          <w:color w:val="auto"/>
          <w:sz w:val="24"/>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7096AFE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3.投标文件：</w:t>
      </w:r>
    </w:p>
    <w:p w14:paraId="5FE7E432">
      <w:pPr>
        <w:pageBreakBefore w:val="0"/>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color w:val="auto"/>
          <w:kern w:val="0"/>
          <w:sz w:val="24"/>
        </w:rPr>
        <w:t>、</w:t>
      </w:r>
      <w:r>
        <w:rPr>
          <w:rFonts w:hint="eastAsia" w:ascii="宋体" w:hAnsi="宋体" w:cs="宋体"/>
          <w:color w:val="auto"/>
          <w:sz w:val="24"/>
        </w:rPr>
        <w:t>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项目报价、响应函及响应函附录、已标价工程量清单、安全防护及文明施工措施方案的承诺书、诚信声明、施工组织设计、联系人及电话等资料。投标人应完整准备上述投标文件的材料，否则由此引起的不利后果由投标人承担。</w:t>
      </w:r>
    </w:p>
    <w:p w14:paraId="5E2A4EEB">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182277C6">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(2)投标文件份数：正本一份，副本六份。</w:t>
      </w:r>
    </w:p>
    <w:p w14:paraId="7D5997B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五、信息公告发布媒体</w:t>
      </w:r>
    </w:p>
    <w:p w14:paraId="7690F82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六、联系方式</w:t>
      </w:r>
    </w:p>
    <w:p w14:paraId="57E1E919">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1.联系人：罗老师、戴老师</w:t>
      </w:r>
    </w:p>
    <w:p w14:paraId="10B8558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2.联系电话：0773-2803316</w:t>
      </w:r>
    </w:p>
    <w:p w14:paraId="0AB5CFAC">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ascii="宋体" w:hAnsi="宋体" w:cs="宋体"/>
          <w:color w:val="auto"/>
          <w:sz w:val="24"/>
        </w:rPr>
      </w:pPr>
      <w:r>
        <w:rPr>
          <w:rFonts w:hint="eastAsia" w:ascii="宋体" w:hAnsi="宋体" w:cs="宋体"/>
          <w:color w:val="auto"/>
          <w:sz w:val="24"/>
        </w:rPr>
        <w:t xml:space="preserve">         桂林市人民医院</w:t>
      </w:r>
    </w:p>
    <w:p w14:paraId="7BECB2BA">
      <w:pPr>
        <w:pageBreakBefore w:val="0"/>
        <w:tabs>
          <w:tab w:val="left" w:pos="5623"/>
        </w:tabs>
        <w:kinsoku/>
        <w:wordWrap/>
        <w:overflowPunct/>
        <w:topLinePunct w:val="0"/>
        <w:autoSpaceDE/>
        <w:autoSpaceDN/>
        <w:bidi w:val="0"/>
        <w:adjustRightInd/>
        <w:spacing w:line="440" w:lineRule="exact"/>
        <w:jc w:val="center"/>
        <w:textAlignment w:val="auto"/>
        <w:rPr>
          <w:rFonts w:ascii="宋体" w:hAnsi="宋体" w:cs="宋体"/>
          <w:b/>
          <w:bCs/>
          <w:color w:val="auto"/>
          <w:w w:val="95"/>
          <w:sz w:val="28"/>
          <w:szCs w:val="28"/>
        </w:rPr>
      </w:pPr>
      <w:r>
        <w:rPr>
          <w:rFonts w:hint="eastAsia" w:ascii="宋体" w:hAnsi="宋体" w:cs="宋体"/>
          <w:color w:val="auto"/>
          <w:sz w:val="24"/>
        </w:rPr>
        <w:t xml:space="preserve">                                                        2025年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w:t>
      </w:r>
    </w:p>
    <w:p w14:paraId="42918115">
      <w:pPr>
        <w:spacing w:line="440" w:lineRule="exact"/>
        <w:rPr>
          <w:rFonts w:ascii="宋体" w:hAnsi="宋体" w:cs="宋体"/>
          <w:color w:val="auto"/>
          <w:sz w:val="28"/>
          <w:szCs w:val="28"/>
        </w:rPr>
      </w:pPr>
      <w:r>
        <w:rPr>
          <w:rFonts w:hint="eastAsia" w:ascii="宋体" w:hAnsi="宋体" w:cs="宋体"/>
          <w:b/>
          <w:bCs/>
          <w:color w:val="auto"/>
          <w:w w:val="95"/>
          <w:sz w:val="28"/>
          <w:szCs w:val="28"/>
        </w:rPr>
        <w:br w:type="page"/>
      </w:r>
    </w:p>
    <w:p w14:paraId="6311D1AD">
      <w:pPr>
        <w:pStyle w:val="2"/>
        <w:numPr>
          <w:ilvl w:val="0"/>
          <w:numId w:val="1"/>
        </w:numPr>
        <w:jc w:val="center"/>
        <w:rPr>
          <w:rFonts w:hint="eastAsia"/>
          <w:color w:val="auto"/>
          <w:kern w:val="0"/>
          <w:sz w:val="32"/>
          <w:szCs w:val="32"/>
        </w:rPr>
      </w:pPr>
      <w:r>
        <w:rPr>
          <w:rFonts w:hint="eastAsia"/>
          <w:color w:val="auto"/>
          <w:kern w:val="0"/>
          <w:sz w:val="32"/>
          <w:szCs w:val="32"/>
        </w:rPr>
        <w:t xml:space="preserve"> 评分标准</w:t>
      </w:r>
    </w:p>
    <w:p w14:paraId="44BA2F6B">
      <w:pPr>
        <w:numPr>
          <w:ilvl w:val="-1"/>
          <w:numId w:val="0"/>
        </w:numPr>
        <w:rPr>
          <w:color w:val="auto"/>
        </w:rPr>
      </w:pPr>
    </w:p>
    <w:tbl>
      <w:tblPr>
        <w:tblStyle w:val="18"/>
        <w:tblW w:w="9476" w:type="dxa"/>
        <w:jc w:val="center"/>
        <w:tblLayout w:type="fixed"/>
        <w:tblCellMar>
          <w:top w:w="0" w:type="dxa"/>
          <w:left w:w="0" w:type="dxa"/>
          <w:bottom w:w="0" w:type="dxa"/>
          <w:right w:w="0" w:type="dxa"/>
        </w:tblCellMar>
      </w:tblPr>
      <w:tblGrid>
        <w:gridCol w:w="661"/>
        <w:gridCol w:w="580"/>
        <w:gridCol w:w="825"/>
        <w:gridCol w:w="574"/>
        <w:gridCol w:w="1166"/>
        <w:gridCol w:w="5670"/>
      </w:tblGrid>
      <w:tr w14:paraId="02246F89">
        <w:tblPrEx>
          <w:tblCellMar>
            <w:top w:w="0" w:type="dxa"/>
            <w:left w:w="0" w:type="dxa"/>
            <w:bottom w:w="0" w:type="dxa"/>
            <w:right w:w="0" w:type="dxa"/>
          </w:tblCellMar>
        </w:tblPrEx>
        <w:trPr>
          <w:cantSplit/>
          <w:trHeight w:val="679"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DA5CBE4">
            <w:pPr>
              <w:widowControl/>
              <w:spacing w:line="360" w:lineRule="exact"/>
              <w:jc w:val="center"/>
              <w:rPr>
                <w:strike w:val="0"/>
                <w:color w:val="auto"/>
                <w:szCs w:val="21"/>
              </w:rPr>
            </w:pPr>
            <w:r>
              <w:rPr>
                <w:rFonts w:hint="eastAsia" w:ascii="宋体" w:hAnsi="宋体"/>
                <w:b/>
                <w:strike w:val="0"/>
                <w:color w:val="auto"/>
                <w:kern w:val="0"/>
                <w:szCs w:val="21"/>
              </w:rPr>
              <w:t>序号</w:t>
            </w:r>
          </w:p>
        </w:tc>
        <w:tc>
          <w:tcPr>
            <w:tcW w:w="3145" w:type="dxa"/>
            <w:gridSpan w:val="4"/>
            <w:tcBorders>
              <w:top w:val="single" w:color="auto" w:sz="4" w:space="0"/>
              <w:left w:val="single" w:color="auto" w:sz="4" w:space="0"/>
              <w:right w:val="single" w:color="auto" w:sz="4" w:space="0"/>
            </w:tcBorders>
            <w:vAlign w:val="center"/>
          </w:tcPr>
          <w:p w14:paraId="1C8BAED7">
            <w:pPr>
              <w:widowControl/>
              <w:spacing w:line="360" w:lineRule="exact"/>
              <w:jc w:val="center"/>
              <w:rPr>
                <w:strike w:val="0"/>
                <w:color w:val="auto"/>
              </w:rPr>
            </w:pPr>
            <w:r>
              <w:rPr>
                <w:rFonts w:hint="eastAsia" w:ascii="宋体" w:hAnsi="宋体"/>
                <w:b/>
                <w:strike w:val="0"/>
                <w:color w:val="auto"/>
                <w:kern w:val="0"/>
                <w:szCs w:val="21"/>
              </w:rPr>
              <w:t>评审因素</w:t>
            </w:r>
          </w:p>
        </w:tc>
        <w:tc>
          <w:tcPr>
            <w:tcW w:w="5670" w:type="dxa"/>
            <w:tcBorders>
              <w:top w:val="single" w:color="auto" w:sz="4" w:space="0"/>
              <w:left w:val="single" w:color="auto" w:sz="4" w:space="0"/>
              <w:bottom w:val="single" w:color="auto" w:sz="4" w:space="0"/>
              <w:right w:val="single" w:color="auto" w:sz="4" w:space="0"/>
            </w:tcBorders>
            <w:vAlign w:val="center"/>
          </w:tcPr>
          <w:p w14:paraId="35BF2CBF">
            <w:pPr>
              <w:spacing w:line="360" w:lineRule="exact"/>
              <w:jc w:val="center"/>
              <w:rPr>
                <w:rFonts w:ascii="宋体" w:hAnsi="宋体"/>
                <w:bCs/>
                <w:strike w:val="0"/>
                <w:color w:val="auto"/>
                <w:kern w:val="0"/>
                <w:szCs w:val="21"/>
              </w:rPr>
            </w:pPr>
            <w:r>
              <w:rPr>
                <w:rFonts w:hint="eastAsia" w:ascii="宋体" w:hAnsi="宋体"/>
                <w:b/>
                <w:strike w:val="0"/>
                <w:color w:val="auto"/>
                <w:szCs w:val="21"/>
              </w:rPr>
              <w:t>评审标准</w:t>
            </w:r>
          </w:p>
        </w:tc>
      </w:tr>
      <w:tr w14:paraId="15E7398E">
        <w:tblPrEx>
          <w:tblCellMar>
            <w:top w:w="0" w:type="dxa"/>
            <w:left w:w="0" w:type="dxa"/>
            <w:bottom w:w="0" w:type="dxa"/>
            <w:right w:w="0" w:type="dxa"/>
          </w:tblCellMar>
        </w:tblPrEx>
        <w:trPr>
          <w:cantSplit/>
          <w:trHeight w:val="3150" w:hRule="atLeast"/>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14:paraId="4AD78D92">
            <w:pPr>
              <w:pStyle w:val="15"/>
              <w:jc w:val="center"/>
              <w:rPr>
                <w:rFonts w:hint="eastAsia" w:eastAsia="宋体"/>
                <w:strike w:val="0"/>
                <w:color w:val="auto"/>
                <w:szCs w:val="21"/>
                <w:lang w:val="zh-CN" w:eastAsia="zh-CN"/>
              </w:rPr>
            </w:pPr>
            <w:r>
              <w:rPr>
                <w:rFonts w:hint="eastAsia"/>
                <w:strike w:val="0"/>
                <w:color w:val="auto"/>
                <w:szCs w:val="21"/>
                <w:lang w:val="en-US" w:eastAsia="zh-CN"/>
              </w:rPr>
              <w:t>1</w:t>
            </w:r>
          </w:p>
        </w:tc>
        <w:tc>
          <w:tcPr>
            <w:tcW w:w="580" w:type="dxa"/>
            <w:vMerge w:val="restart"/>
            <w:tcBorders>
              <w:top w:val="single" w:color="auto" w:sz="4" w:space="0"/>
              <w:left w:val="single" w:color="auto" w:sz="4" w:space="0"/>
              <w:right w:val="single" w:color="auto" w:sz="4" w:space="0"/>
            </w:tcBorders>
            <w:vAlign w:val="center"/>
          </w:tcPr>
          <w:p w14:paraId="4A5EF9B9">
            <w:pPr>
              <w:pStyle w:val="25"/>
              <w:ind w:left="113" w:right="-70"/>
              <w:jc w:val="both"/>
              <w:rPr>
                <w:rFonts w:cs="MingLiU"/>
                <w:strike w:val="0"/>
                <w:color w:val="auto"/>
                <w:sz w:val="21"/>
                <w:szCs w:val="21"/>
              </w:rPr>
            </w:pPr>
            <w:r>
              <w:rPr>
                <w:rFonts w:hint="eastAsia" w:cs="MingLiU"/>
                <w:strike w:val="0"/>
                <w:color w:val="auto"/>
                <w:sz w:val="21"/>
                <w:szCs w:val="21"/>
              </w:rPr>
              <w:t>技术</w:t>
            </w:r>
          </w:p>
          <w:p w14:paraId="389F1D54">
            <w:pPr>
              <w:pStyle w:val="25"/>
              <w:ind w:left="113" w:right="-70"/>
              <w:jc w:val="both"/>
              <w:rPr>
                <w:rFonts w:cs="MingLiU"/>
                <w:strike w:val="0"/>
                <w:color w:val="auto"/>
                <w:sz w:val="21"/>
                <w:szCs w:val="21"/>
              </w:rPr>
            </w:pPr>
            <w:r>
              <w:rPr>
                <w:rFonts w:hint="eastAsia" w:cs="MingLiU"/>
                <w:strike w:val="0"/>
                <w:color w:val="auto"/>
                <w:sz w:val="21"/>
                <w:szCs w:val="21"/>
              </w:rPr>
              <w:t>评审</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14:paraId="4B34E14D">
            <w:pPr>
              <w:pStyle w:val="25"/>
              <w:ind w:left="113" w:right="113"/>
              <w:jc w:val="center"/>
              <w:rPr>
                <w:rFonts w:cs="MingLiU"/>
                <w:strike w:val="0"/>
                <w:color w:val="auto"/>
                <w:sz w:val="21"/>
                <w:szCs w:val="21"/>
              </w:rPr>
            </w:pPr>
            <w:r>
              <w:rPr>
                <w:rFonts w:hint="eastAsia" w:cs="MingLiU"/>
                <w:strike w:val="0"/>
                <w:color w:val="auto"/>
                <w:sz w:val="21"/>
                <w:szCs w:val="21"/>
              </w:rPr>
              <w:t>施工组织设计</w:t>
            </w:r>
          </w:p>
          <w:p w14:paraId="46B4333E">
            <w:pPr>
              <w:pStyle w:val="25"/>
              <w:ind w:left="113" w:right="113"/>
              <w:jc w:val="both"/>
              <w:rPr>
                <w:rFonts w:cs="MingLiU"/>
                <w:strike w:val="0"/>
                <w:color w:val="auto"/>
                <w:sz w:val="21"/>
                <w:szCs w:val="21"/>
              </w:rPr>
            </w:pPr>
            <w:r>
              <w:rPr>
                <w:rFonts w:hint="eastAsia" w:cs="MingLiU"/>
                <w:strike w:val="0"/>
                <w:color w:val="auto"/>
                <w:sz w:val="21"/>
                <w:szCs w:val="21"/>
              </w:rPr>
              <w:t>（满分</w:t>
            </w:r>
            <w:r>
              <w:rPr>
                <w:rFonts w:hint="eastAsia" w:cs="MingLiU"/>
                <w:strike w:val="0"/>
                <w:color w:val="auto"/>
                <w:sz w:val="21"/>
                <w:szCs w:val="21"/>
                <w:lang w:val="en-US" w:eastAsia="zh-CN"/>
              </w:rPr>
              <w:t>36</w:t>
            </w:r>
            <w:r>
              <w:rPr>
                <w:rFonts w:hint="eastAsia" w:cs="MingLiU"/>
                <w:strike w:val="0"/>
                <w:color w:val="auto"/>
                <w:sz w:val="21"/>
                <w:szCs w:val="21"/>
              </w:rPr>
              <w:t>分）</w:t>
            </w:r>
          </w:p>
          <w:p w14:paraId="0A1EBD6C">
            <w:pPr>
              <w:pStyle w:val="25"/>
              <w:ind w:left="113" w:right="113"/>
              <w:jc w:val="center"/>
              <w:rPr>
                <w:rFonts w:cs="MingLiU"/>
                <w:strike w:val="0"/>
                <w:color w:val="auto"/>
                <w:sz w:val="21"/>
                <w:szCs w:val="21"/>
                <w:lang w:val="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5855A14A">
            <w:pPr>
              <w:rPr>
                <w:strike w:val="0"/>
                <w:color w:val="auto"/>
              </w:rPr>
            </w:pPr>
            <w:r>
              <w:rPr>
                <w:rFonts w:hint="eastAsia"/>
                <w:strike w:val="0"/>
                <w:color w:val="auto"/>
              </w:rPr>
              <w:t>总体概述（</w:t>
            </w:r>
            <w:r>
              <w:rPr>
                <w:rFonts w:hint="eastAsia"/>
                <w:strike w:val="0"/>
                <w:color w:val="auto"/>
                <w:lang w:val="en-US" w:eastAsia="zh-CN"/>
              </w:rPr>
              <w:t>6</w:t>
            </w:r>
            <w:r>
              <w:rPr>
                <w:rFonts w:hint="eastAsia"/>
                <w:strike w:val="0"/>
                <w:color w:val="auto"/>
              </w:rPr>
              <w:t>分）</w:t>
            </w:r>
          </w:p>
        </w:tc>
        <w:tc>
          <w:tcPr>
            <w:tcW w:w="5670" w:type="dxa"/>
            <w:tcBorders>
              <w:top w:val="single" w:color="auto" w:sz="4" w:space="0"/>
              <w:left w:val="single" w:color="auto" w:sz="4" w:space="0"/>
              <w:bottom w:val="single" w:color="auto" w:sz="4" w:space="0"/>
              <w:right w:val="single" w:color="auto" w:sz="4" w:space="0"/>
            </w:tcBorders>
            <w:vAlign w:val="center"/>
          </w:tcPr>
          <w:p w14:paraId="6819718B">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优（</w:t>
            </w:r>
            <w:r>
              <w:rPr>
                <w:rFonts w:hint="eastAsia" w:ascii="宋体" w:hAnsi="宋体"/>
                <w:bCs/>
                <w:strike w:val="0"/>
                <w:color w:val="auto"/>
                <w:kern w:val="0"/>
                <w:szCs w:val="21"/>
                <w:lang w:val="en-US" w:eastAsia="zh-CN"/>
              </w:rPr>
              <w:t>6</w:t>
            </w:r>
            <w:r>
              <w:rPr>
                <w:rFonts w:hint="eastAsia" w:ascii="宋体" w:hAnsi="宋体"/>
                <w:bCs/>
                <w:strike w:val="0"/>
                <w:color w:val="auto"/>
                <w:kern w:val="0"/>
                <w:szCs w:val="21"/>
              </w:rPr>
              <w:t>分）：对项目总体有深刻认识，表达清晰、完整、严谨、合理，措施先进、具体、有效、成熟；施工段划分清晰、合理，符合规范要求。</w:t>
            </w:r>
          </w:p>
          <w:p w14:paraId="3325BD49">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良（</w:t>
            </w:r>
            <w:r>
              <w:rPr>
                <w:rFonts w:hint="eastAsia" w:ascii="宋体" w:hAnsi="宋体"/>
                <w:bCs/>
                <w:strike w:val="0"/>
                <w:color w:val="auto"/>
                <w:kern w:val="0"/>
                <w:szCs w:val="21"/>
                <w:lang w:val="en-US" w:eastAsia="zh-CN"/>
              </w:rPr>
              <w:t>4.5</w:t>
            </w:r>
            <w:r>
              <w:rPr>
                <w:rFonts w:hint="eastAsia" w:ascii="宋体" w:hAnsi="宋体"/>
                <w:bCs/>
                <w:strike w:val="0"/>
                <w:color w:val="auto"/>
                <w:kern w:val="0"/>
                <w:szCs w:val="21"/>
              </w:rPr>
              <w:t>分）：对项目总体有一定认识，表达清晰、完整，措施具体有效；施工段划分清晰，符合规范要求。</w:t>
            </w:r>
          </w:p>
          <w:p w14:paraId="49DB608D">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中（</w:t>
            </w:r>
            <w:r>
              <w:rPr>
                <w:rFonts w:hint="eastAsia" w:ascii="宋体" w:hAnsi="宋体"/>
                <w:bCs/>
                <w:strike w:val="0"/>
                <w:color w:val="auto"/>
                <w:kern w:val="0"/>
                <w:szCs w:val="21"/>
                <w:lang w:val="en-US" w:eastAsia="zh-CN"/>
              </w:rPr>
              <w:t>3</w:t>
            </w:r>
            <w:r>
              <w:rPr>
                <w:rFonts w:hint="eastAsia" w:ascii="宋体" w:hAnsi="宋体"/>
                <w:bCs/>
                <w:strike w:val="0"/>
                <w:color w:val="auto"/>
                <w:kern w:val="0"/>
                <w:szCs w:val="21"/>
              </w:rPr>
              <w:t>分）：对项目总体有认识，有一定的措施但部分不具体；施工段划分较合理，符合规范要求。</w:t>
            </w:r>
          </w:p>
          <w:p w14:paraId="0013E28F">
            <w:pPr>
              <w:widowControl/>
              <w:spacing w:line="320" w:lineRule="exac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rPr>
              <w:t>差（</w:t>
            </w:r>
            <w:r>
              <w:rPr>
                <w:rFonts w:hint="eastAsia" w:ascii="宋体" w:hAnsi="宋体"/>
                <w:bCs/>
                <w:strike w:val="0"/>
                <w:color w:val="auto"/>
                <w:kern w:val="0"/>
                <w:szCs w:val="21"/>
                <w:lang w:val="en-US" w:eastAsia="zh-CN"/>
              </w:rPr>
              <w:t>1.5</w:t>
            </w:r>
            <w:r>
              <w:rPr>
                <w:rFonts w:hint="eastAsia" w:ascii="宋体" w:hAnsi="宋体"/>
                <w:bCs/>
                <w:strike w:val="0"/>
                <w:color w:val="auto"/>
                <w:kern w:val="0"/>
                <w:szCs w:val="21"/>
              </w:rPr>
              <w:t>分）：对项目认识不足，表达不清晰，措施不具体；施工段划分不合理。</w:t>
            </w:r>
          </w:p>
          <w:p w14:paraId="784F46E1">
            <w:pPr>
              <w:widowControl/>
              <w:spacing w:line="320" w:lineRule="exac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lang w:val="en-US" w:eastAsia="zh-CN"/>
              </w:rPr>
              <w:t>不提供则不得分。</w:t>
            </w:r>
          </w:p>
        </w:tc>
      </w:tr>
      <w:tr w14:paraId="406AC436">
        <w:tblPrEx>
          <w:tblCellMar>
            <w:top w:w="0" w:type="dxa"/>
            <w:left w:w="0" w:type="dxa"/>
            <w:bottom w:w="0" w:type="dxa"/>
            <w:right w:w="0" w:type="dxa"/>
          </w:tblCellMar>
        </w:tblPrEx>
        <w:trPr>
          <w:cantSplit/>
          <w:trHeight w:val="3480"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6297B981">
            <w:pPr>
              <w:widowControl/>
              <w:jc w:val="left"/>
              <w:rPr>
                <w:strike w:val="0"/>
                <w:color w:val="auto"/>
                <w:szCs w:val="21"/>
                <w:lang w:val="zh-CN"/>
              </w:rPr>
            </w:pPr>
          </w:p>
        </w:tc>
        <w:tc>
          <w:tcPr>
            <w:tcW w:w="580" w:type="dxa"/>
            <w:vMerge w:val="continue"/>
            <w:tcBorders>
              <w:left w:val="single" w:color="auto" w:sz="4" w:space="0"/>
              <w:right w:val="single" w:color="auto" w:sz="4" w:space="0"/>
            </w:tcBorders>
            <w:vAlign w:val="center"/>
          </w:tcPr>
          <w:p w14:paraId="71B464D8">
            <w:pPr>
              <w:widowControl/>
              <w:jc w:val="left"/>
              <w:rPr>
                <w:rFonts w:ascii="宋体" w:hAnsi="宋体" w:cs="MingLiU"/>
                <w:strike w:val="0"/>
                <w:color w:val="auto"/>
                <w:kern w:val="0"/>
                <w:szCs w:val="21"/>
                <w:lang w:val="zh-CN"/>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308D9813">
            <w:pPr>
              <w:widowControl/>
              <w:jc w:val="left"/>
              <w:rPr>
                <w:rFonts w:ascii="宋体" w:hAnsi="宋体" w:cs="MingLiU"/>
                <w:strike w:val="0"/>
                <w:color w:val="auto"/>
                <w:kern w:val="0"/>
                <w:szCs w:val="21"/>
                <w:lang w:val="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430FD011">
            <w:pPr>
              <w:rPr>
                <w:rFonts w:ascii="宋体" w:hAnsi="宋体"/>
                <w:bCs/>
                <w:strike w:val="0"/>
                <w:color w:val="auto"/>
                <w:kern w:val="0"/>
                <w:szCs w:val="21"/>
              </w:rPr>
            </w:pPr>
            <w:r>
              <w:rPr>
                <w:rFonts w:hint="eastAsia"/>
                <w:strike w:val="0"/>
                <w:color w:val="auto"/>
              </w:rPr>
              <w:t>主要施工方法、关键施工技术、工艺及工程实施的重点、难点和解决方案（</w:t>
            </w:r>
            <w:r>
              <w:rPr>
                <w:rFonts w:hint="eastAsia"/>
                <w:strike w:val="0"/>
                <w:color w:val="auto"/>
                <w:lang w:val="en-US" w:eastAsia="zh-CN"/>
              </w:rPr>
              <w:t>10</w:t>
            </w:r>
            <w:r>
              <w:rPr>
                <w:rFonts w:hint="eastAsia"/>
                <w:strike w:val="0"/>
                <w:color w:val="auto"/>
              </w:rPr>
              <w:t>分）</w:t>
            </w:r>
          </w:p>
        </w:tc>
        <w:tc>
          <w:tcPr>
            <w:tcW w:w="5670" w:type="dxa"/>
            <w:tcBorders>
              <w:top w:val="single" w:color="auto" w:sz="4" w:space="0"/>
              <w:left w:val="single" w:color="auto" w:sz="4" w:space="0"/>
              <w:bottom w:val="single" w:color="auto" w:sz="4" w:space="0"/>
              <w:right w:val="single" w:color="auto" w:sz="4" w:space="0"/>
            </w:tcBorders>
            <w:vAlign w:val="center"/>
          </w:tcPr>
          <w:p w14:paraId="50ADFABC">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优（</w:t>
            </w:r>
            <w:r>
              <w:rPr>
                <w:rFonts w:hint="eastAsia" w:ascii="宋体" w:hAnsi="宋体"/>
                <w:bCs/>
                <w:strike w:val="0"/>
                <w:color w:val="auto"/>
                <w:kern w:val="0"/>
                <w:szCs w:val="21"/>
                <w:lang w:val="en-US" w:eastAsia="zh-CN"/>
              </w:rPr>
              <w:t>10</w:t>
            </w:r>
            <w:r>
              <w:rPr>
                <w:rFonts w:hint="eastAsia" w:ascii="宋体" w:hAnsi="宋体"/>
                <w:bCs/>
                <w:strike w:val="0"/>
                <w:color w:val="auto"/>
                <w:kern w:val="0"/>
                <w:szCs w:val="21"/>
              </w:rPr>
              <w:t>分）：各主要分部施工方法符合项目实际，有详尽的施工技术方案，工艺先进、方法科学合理、可行，能指导具体施工并确保安全；</w:t>
            </w:r>
          </w:p>
          <w:p w14:paraId="3D78E0FA">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良（</w:t>
            </w:r>
            <w:r>
              <w:rPr>
                <w:rFonts w:hint="eastAsia" w:ascii="宋体" w:hAnsi="宋体"/>
                <w:bCs/>
                <w:strike w:val="0"/>
                <w:color w:val="auto"/>
                <w:kern w:val="0"/>
                <w:szCs w:val="21"/>
                <w:lang w:val="en-US" w:eastAsia="zh-CN"/>
              </w:rPr>
              <w:t>7.5</w:t>
            </w:r>
            <w:r>
              <w:rPr>
                <w:rFonts w:hint="eastAsia" w:ascii="宋体" w:hAnsi="宋体"/>
                <w:bCs/>
                <w:strike w:val="0"/>
                <w:color w:val="auto"/>
                <w:kern w:val="0"/>
                <w:szCs w:val="21"/>
              </w:rPr>
              <w:t>分）：各主要分部施工方法符合项目实际，有较详尽的施工技术方案，工艺较好、方法科学合理、可行，能指导具体施工并确保安全；</w:t>
            </w:r>
          </w:p>
          <w:p w14:paraId="615BB920">
            <w:pPr>
              <w:widowControl/>
              <w:spacing w:line="320" w:lineRule="exac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中（</w:t>
            </w:r>
            <w:r>
              <w:rPr>
                <w:rFonts w:hint="eastAsia" w:ascii="宋体" w:hAnsi="宋体"/>
                <w:bCs/>
                <w:strike w:val="0"/>
                <w:color w:val="auto"/>
                <w:kern w:val="0"/>
                <w:szCs w:val="21"/>
                <w:lang w:val="en-US" w:eastAsia="zh-CN"/>
              </w:rPr>
              <w:t>5</w:t>
            </w:r>
            <w:r>
              <w:rPr>
                <w:rFonts w:hint="eastAsia" w:ascii="宋体" w:hAnsi="宋体"/>
                <w:bCs/>
                <w:strike w:val="0"/>
                <w:color w:val="auto"/>
                <w:kern w:val="0"/>
                <w:szCs w:val="21"/>
              </w:rPr>
              <w:t>分）：各主要分部施工方法能满足项目需求，有施工技术方案，能指导具体施工并确保安全；</w:t>
            </w:r>
          </w:p>
          <w:p w14:paraId="16D9E675">
            <w:pPr>
              <w:widowControl/>
              <w:spacing w:line="320" w:lineRule="exac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rPr>
              <w:t>差（</w:t>
            </w:r>
            <w:r>
              <w:rPr>
                <w:rFonts w:hint="eastAsia" w:ascii="宋体" w:hAnsi="宋体"/>
                <w:bCs/>
                <w:strike w:val="0"/>
                <w:color w:val="auto"/>
                <w:kern w:val="0"/>
                <w:szCs w:val="21"/>
                <w:lang w:val="en-US" w:eastAsia="zh-CN"/>
              </w:rPr>
              <w:t>2.5</w:t>
            </w:r>
            <w:r>
              <w:rPr>
                <w:rFonts w:hint="eastAsia" w:ascii="宋体" w:hAnsi="宋体"/>
                <w:bCs/>
                <w:strike w:val="0"/>
                <w:color w:val="auto"/>
                <w:kern w:val="0"/>
                <w:szCs w:val="21"/>
              </w:rPr>
              <w:t>分）：各主要分部施工方法不能满足项目需求，没有施工技术方案，不能指导具体施工并确保安全。</w:t>
            </w:r>
          </w:p>
          <w:p w14:paraId="0EFFBC0E">
            <w:pPr>
              <w:widowControl/>
              <w:spacing w:line="320" w:lineRule="exac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lang w:val="en-US" w:eastAsia="zh-CN"/>
              </w:rPr>
              <w:t>不提供则不得分。</w:t>
            </w:r>
          </w:p>
        </w:tc>
      </w:tr>
      <w:tr w14:paraId="5168CBD4">
        <w:tblPrEx>
          <w:tblCellMar>
            <w:top w:w="0" w:type="dxa"/>
            <w:left w:w="0" w:type="dxa"/>
            <w:bottom w:w="0" w:type="dxa"/>
            <w:right w:w="0" w:type="dxa"/>
          </w:tblCellMar>
        </w:tblPrEx>
        <w:trPr>
          <w:cantSplit/>
          <w:trHeight w:val="2860"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5AF61DD0">
            <w:pPr>
              <w:widowControl/>
              <w:jc w:val="left"/>
              <w:rPr>
                <w:strike w:val="0"/>
                <w:color w:val="auto"/>
                <w:szCs w:val="21"/>
                <w:lang w:val="zh-CN"/>
              </w:rPr>
            </w:pPr>
          </w:p>
        </w:tc>
        <w:tc>
          <w:tcPr>
            <w:tcW w:w="580" w:type="dxa"/>
            <w:vMerge w:val="continue"/>
            <w:tcBorders>
              <w:left w:val="single" w:color="auto" w:sz="4" w:space="0"/>
              <w:right w:val="single" w:color="auto" w:sz="4" w:space="0"/>
            </w:tcBorders>
            <w:vAlign w:val="center"/>
          </w:tcPr>
          <w:p w14:paraId="2EE2985E">
            <w:pPr>
              <w:widowControl/>
              <w:jc w:val="left"/>
              <w:rPr>
                <w:rFonts w:ascii="宋体" w:hAnsi="宋体" w:cs="MingLiU"/>
                <w:strike w:val="0"/>
                <w:color w:val="auto"/>
                <w:kern w:val="0"/>
                <w:szCs w:val="21"/>
                <w:lang w:val="zh-CN"/>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45FC25E4">
            <w:pPr>
              <w:widowControl/>
              <w:jc w:val="left"/>
              <w:rPr>
                <w:rFonts w:ascii="宋体" w:hAnsi="宋体" w:cs="MingLiU"/>
                <w:strike w:val="0"/>
                <w:color w:val="auto"/>
                <w:kern w:val="0"/>
                <w:szCs w:val="21"/>
                <w:lang w:val="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5466A33">
            <w:pPr>
              <w:rPr>
                <w:strike w:val="0"/>
                <w:color w:val="auto"/>
              </w:rPr>
            </w:pPr>
            <w:r>
              <w:rPr>
                <w:rFonts w:hint="eastAsia"/>
                <w:strike w:val="0"/>
                <w:color w:val="auto"/>
              </w:rPr>
              <w:t>项目管理组织结构、劳动力和机械设备投入计划及其保证措施（</w:t>
            </w:r>
            <w:r>
              <w:rPr>
                <w:rFonts w:hint="eastAsia"/>
                <w:strike w:val="0"/>
                <w:color w:val="auto"/>
                <w:u w:val="none"/>
                <w:lang w:val="en-US" w:eastAsia="zh-CN"/>
              </w:rPr>
              <w:t>8</w:t>
            </w:r>
            <w:r>
              <w:rPr>
                <w:rFonts w:hint="eastAsia"/>
                <w:strike w:val="0"/>
                <w:color w:val="auto"/>
              </w:rPr>
              <w:t>分）</w:t>
            </w:r>
          </w:p>
        </w:tc>
        <w:tc>
          <w:tcPr>
            <w:tcW w:w="5670" w:type="dxa"/>
            <w:tcBorders>
              <w:top w:val="single" w:color="auto" w:sz="4" w:space="0"/>
              <w:left w:val="single" w:color="auto" w:sz="4" w:space="0"/>
              <w:bottom w:val="single" w:color="auto" w:sz="4" w:space="0"/>
              <w:right w:val="single" w:color="auto" w:sz="4" w:space="0"/>
            </w:tcBorders>
            <w:vAlign w:val="center"/>
          </w:tcPr>
          <w:p w14:paraId="29652695">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优（</w:t>
            </w:r>
            <w:r>
              <w:rPr>
                <w:rFonts w:hint="eastAsia" w:ascii="宋体" w:hAnsi="宋体"/>
                <w:bCs/>
                <w:strike w:val="0"/>
                <w:color w:val="auto"/>
                <w:kern w:val="0"/>
                <w:szCs w:val="21"/>
                <w:lang w:val="en-US" w:eastAsia="zh-CN"/>
              </w:rPr>
              <w:t>8</w:t>
            </w:r>
            <w:r>
              <w:rPr>
                <w:rFonts w:hint="eastAsia" w:ascii="宋体" w:hAnsi="宋体"/>
                <w:bCs/>
                <w:strike w:val="0"/>
                <w:color w:val="auto"/>
                <w:kern w:val="0"/>
                <w:szCs w:val="21"/>
              </w:rPr>
              <w:t>分）：投入计划与进度计划呼应，较好满足施工需要，调配投入计划合理、准确。</w:t>
            </w:r>
          </w:p>
          <w:p w14:paraId="2885E5F1">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良（</w:t>
            </w:r>
            <w:r>
              <w:rPr>
                <w:rFonts w:hint="eastAsia" w:ascii="宋体" w:hAnsi="宋体"/>
                <w:bCs/>
                <w:strike w:val="0"/>
                <w:color w:val="auto"/>
                <w:kern w:val="0"/>
                <w:szCs w:val="21"/>
                <w:lang w:val="en-US" w:eastAsia="zh-CN"/>
              </w:rPr>
              <w:t>6</w:t>
            </w:r>
            <w:r>
              <w:rPr>
                <w:rFonts w:hint="eastAsia" w:ascii="宋体" w:hAnsi="宋体"/>
                <w:bCs/>
                <w:strike w:val="0"/>
                <w:color w:val="auto"/>
                <w:kern w:val="0"/>
                <w:szCs w:val="21"/>
              </w:rPr>
              <w:t>分）：投入计划与进度计划呼应，基本满足施工需要，调配投入计划基本合理、准确。</w:t>
            </w:r>
          </w:p>
          <w:p w14:paraId="33D310CA">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中（</w:t>
            </w:r>
            <w:r>
              <w:rPr>
                <w:rFonts w:hint="eastAsia" w:ascii="宋体" w:hAnsi="宋体"/>
                <w:bCs/>
                <w:strike w:val="0"/>
                <w:color w:val="auto"/>
                <w:kern w:val="0"/>
                <w:szCs w:val="21"/>
                <w:lang w:val="en-US" w:eastAsia="zh-CN"/>
              </w:rPr>
              <w:t>4</w:t>
            </w:r>
            <w:r>
              <w:rPr>
                <w:rFonts w:hint="eastAsia" w:ascii="宋体" w:hAnsi="宋体"/>
                <w:bCs/>
                <w:strike w:val="0"/>
                <w:color w:val="auto"/>
                <w:kern w:val="0"/>
                <w:szCs w:val="21"/>
              </w:rPr>
              <w:t>分）：投入计划与进度计划呼应，基本满足施工需要，调配投入计划基本合理。</w:t>
            </w:r>
          </w:p>
          <w:p w14:paraId="4337DEBD">
            <w:pPr>
              <w:widowControl/>
              <w:spacing w:line="320" w:lineRule="atLeas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rPr>
              <w:t>差（</w:t>
            </w:r>
            <w:r>
              <w:rPr>
                <w:rFonts w:hint="eastAsia" w:ascii="宋体" w:hAnsi="宋体"/>
                <w:bCs/>
                <w:strike w:val="0"/>
                <w:color w:val="auto"/>
                <w:kern w:val="0"/>
                <w:szCs w:val="21"/>
                <w:lang w:val="en-US" w:eastAsia="zh-CN"/>
              </w:rPr>
              <w:t>2</w:t>
            </w:r>
            <w:r>
              <w:rPr>
                <w:rFonts w:hint="eastAsia" w:ascii="宋体" w:hAnsi="宋体"/>
                <w:bCs/>
                <w:strike w:val="0"/>
                <w:color w:val="auto"/>
                <w:kern w:val="0"/>
                <w:szCs w:val="21"/>
              </w:rPr>
              <w:t>分）：投入计划与进度计划不呼应，不能满足施工需要。</w:t>
            </w:r>
          </w:p>
          <w:p w14:paraId="49D985CD">
            <w:pPr>
              <w:widowControl/>
              <w:spacing w:line="320" w:lineRule="atLeas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lang w:val="en-US" w:eastAsia="zh-CN"/>
              </w:rPr>
              <w:t>不提供则不得分。</w:t>
            </w:r>
          </w:p>
        </w:tc>
      </w:tr>
      <w:tr w14:paraId="1F5F06DE">
        <w:tblPrEx>
          <w:tblCellMar>
            <w:top w:w="0" w:type="dxa"/>
            <w:left w:w="0" w:type="dxa"/>
            <w:bottom w:w="0" w:type="dxa"/>
            <w:right w:w="0" w:type="dxa"/>
          </w:tblCellMar>
        </w:tblPrEx>
        <w:trPr>
          <w:cantSplit/>
          <w:trHeight w:val="2325"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3C6075AF">
            <w:pPr>
              <w:widowControl/>
              <w:jc w:val="left"/>
              <w:rPr>
                <w:strike w:val="0"/>
                <w:color w:val="auto"/>
                <w:szCs w:val="21"/>
                <w:lang w:val="zh-CN"/>
              </w:rPr>
            </w:pPr>
          </w:p>
        </w:tc>
        <w:tc>
          <w:tcPr>
            <w:tcW w:w="580" w:type="dxa"/>
            <w:vMerge w:val="continue"/>
            <w:tcBorders>
              <w:left w:val="single" w:color="auto" w:sz="4" w:space="0"/>
              <w:right w:val="single" w:color="auto" w:sz="4" w:space="0"/>
            </w:tcBorders>
            <w:vAlign w:val="center"/>
          </w:tcPr>
          <w:p w14:paraId="5B8F831A">
            <w:pPr>
              <w:widowControl/>
              <w:jc w:val="left"/>
              <w:rPr>
                <w:rFonts w:ascii="宋体" w:hAnsi="宋体" w:cs="MingLiU"/>
                <w:strike w:val="0"/>
                <w:color w:val="auto"/>
                <w:kern w:val="0"/>
                <w:szCs w:val="21"/>
                <w:lang w:val="zh-CN"/>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2BA5760E">
            <w:pPr>
              <w:widowControl/>
              <w:jc w:val="left"/>
              <w:rPr>
                <w:rFonts w:ascii="宋体" w:hAnsi="宋体" w:cs="MingLiU"/>
                <w:strike w:val="0"/>
                <w:color w:val="auto"/>
                <w:kern w:val="0"/>
                <w:szCs w:val="21"/>
                <w:lang w:val="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05AEC95C">
            <w:pPr>
              <w:rPr>
                <w:strike w:val="0"/>
                <w:color w:val="auto"/>
              </w:rPr>
            </w:pPr>
            <w:r>
              <w:rPr>
                <w:rFonts w:hint="eastAsia"/>
                <w:strike w:val="0"/>
                <w:color w:val="auto"/>
              </w:rPr>
              <w:t>施工进度计划和各阶段进度的保证措施（</w:t>
            </w:r>
            <w:r>
              <w:rPr>
                <w:rFonts w:hint="eastAsia" w:ascii="宋体" w:hAnsi="宋体"/>
                <w:bCs/>
                <w:strike w:val="0"/>
                <w:color w:val="auto"/>
                <w:kern w:val="0"/>
                <w:szCs w:val="21"/>
              </w:rPr>
              <w:t>6</w:t>
            </w:r>
            <w:r>
              <w:rPr>
                <w:rFonts w:hint="eastAsia"/>
                <w:strike w:val="0"/>
                <w:color w:val="auto"/>
              </w:rPr>
              <w:t>分））</w:t>
            </w:r>
          </w:p>
        </w:tc>
        <w:tc>
          <w:tcPr>
            <w:tcW w:w="5670" w:type="dxa"/>
            <w:tcBorders>
              <w:top w:val="single" w:color="auto" w:sz="4" w:space="0"/>
              <w:left w:val="single" w:color="auto" w:sz="4" w:space="0"/>
              <w:bottom w:val="single" w:color="auto" w:sz="4" w:space="0"/>
              <w:right w:val="single" w:color="auto" w:sz="4" w:space="0"/>
            </w:tcBorders>
            <w:vAlign w:val="center"/>
          </w:tcPr>
          <w:p w14:paraId="1D6F92D5">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优（6分）：关键线路清晰、准确、完整，计划编制合理、可行，关键节点的控制措施有力、合理、可行。</w:t>
            </w:r>
          </w:p>
          <w:p w14:paraId="5C60C8FF">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良（</w:t>
            </w:r>
            <w:r>
              <w:rPr>
                <w:rFonts w:hint="eastAsia" w:ascii="宋体" w:hAnsi="宋体"/>
                <w:bCs/>
                <w:strike w:val="0"/>
                <w:color w:val="auto"/>
                <w:kern w:val="0"/>
                <w:szCs w:val="21"/>
                <w:lang w:val="en-US" w:eastAsia="zh-CN"/>
              </w:rPr>
              <w:t>4.5</w:t>
            </w:r>
            <w:r>
              <w:rPr>
                <w:rFonts w:hint="eastAsia" w:ascii="宋体" w:hAnsi="宋体"/>
                <w:bCs/>
                <w:strike w:val="0"/>
                <w:color w:val="auto"/>
                <w:kern w:val="0"/>
                <w:szCs w:val="21"/>
              </w:rPr>
              <w:t>分）：关键线路清晰、准确、完整，计划编制可行，关键节点的控制措施合理、可行。</w:t>
            </w:r>
          </w:p>
          <w:p w14:paraId="080BD3C1">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中（</w:t>
            </w:r>
            <w:r>
              <w:rPr>
                <w:rFonts w:hint="eastAsia" w:ascii="宋体" w:hAnsi="宋体"/>
                <w:bCs/>
                <w:strike w:val="0"/>
                <w:color w:val="auto"/>
                <w:kern w:val="0"/>
                <w:szCs w:val="21"/>
                <w:lang w:val="en-US" w:eastAsia="zh-CN"/>
              </w:rPr>
              <w:t>3</w:t>
            </w:r>
            <w:r>
              <w:rPr>
                <w:rFonts w:hint="eastAsia" w:ascii="宋体" w:hAnsi="宋体"/>
                <w:bCs/>
                <w:strike w:val="0"/>
                <w:color w:val="auto"/>
                <w:kern w:val="0"/>
                <w:szCs w:val="21"/>
              </w:rPr>
              <w:t>分）：关键线路基本准确，计划编制合理，关键节点的控制措施基本可行。</w:t>
            </w:r>
          </w:p>
          <w:p w14:paraId="48C742EB">
            <w:pPr>
              <w:widowControl/>
              <w:spacing w:line="320" w:lineRule="atLeas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rPr>
              <w:t>差（</w:t>
            </w:r>
            <w:r>
              <w:rPr>
                <w:rFonts w:hint="eastAsia" w:ascii="宋体" w:hAnsi="宋体"/>
                <w:bCs/>
                <w:strike w:val="0"/>
                <w:color w:val="auto"/>
                <w:kern w:val="0"/>
                <w:szCs w:val="21"/>
                <w:lang w:val="en-US" w:eastAsia="zh-CN"/>
              </w:rPr>
              <w:t>1.5</w:t>
            </w:r>
            <w:r>
              <w:rPr>
                <w:rFonts w:hint="eastAsia" w:ascii="宋体" w:hAnsi="宋体"/>
                <w:bCs/>
                <w:strike w:val="0"/>
                <w:color w:val="auto"/>
                <w:kern w:val="0"/>
                <w:szCs w:val="21"/>
              </w:rPr>
              <w:t>分）：关键线路不准确，计划编制不合理，关键节点的控制不可行。</w:t>
            </w:r>
          </w:p>
          <w:p w14:paraId="5A7EF4CB">
            <w:pPr>
              <w:widowControl/>
              <w:spacing w:line="320" w:lineRule="atLeas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lang w:val="en-US" w:eastAsia="zh-CN"/>
              </w:rPr>
              <w:t>不提供则不得分。</w:t>
            </w:r>
          </w:p>
        </w:tc>
      </w:tr>
      <w:tr w14:paraId="383A4A36">
        <w:tblPrEx>
          <w:tblCellMar>
            <w:top w:w="0" w:type="dxa"/>
            <w:left w:w="0" w:type="dxa"/>
            <w:bottom w:w="0" w:type="dxa"/>
            <w:right w:w="0" w:type="dxa"/>
          </w:tblCellMar>
        </w:tblPrEx>
        <w:trPr>
          <w:cantSplit/>
          <w:trHeight w:val="3228"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1B972FCB">
            <w:pPr>
              <w:widowControl/>
              <w:jc w:val="left"/>
              <w:rPr>
                <w:strike w:val="0"/>
                <w:color w:val="auto"/>
                <w:szCs w:val="21"/>
                <w:lang w:val="zh-CN"/>
              </w:rPr>
            </w:pPr>
          </w:p>
        </w:tc>
        <w:tc>
          <w:tcPr>
            <w:tcW w:w="580" w:type="dxa"/>
            <w:vMerge w:val="continue"/>
            <w:tcBorders>
              <w:left w:val="single" w:color="auto" w:sz="4" w:space="0"/>
              <w:bottom w:val="single" w:color="auto" w:sz="4" w:space="0"/>
              <w:right w:val="single" w:color="auto" w:sz="4" w:space="0"/>
            </w:tcBorders>
            <w:vAlign w:val="center"/>
          </w:tcPr>
          <w:p w14:paraId="12113A9E">
            <w:pPr>
              <w:widowControl/>
              <w:jc w:val="left"/>
              <w:rPr>
                <w:rFonts w:ascii="宋体" w:hAnsi="宋体" w:cs="MingLiU"/>
                <w:strike w:val="0"/>
                <w:color w:val="auto"/>
                <w:kern w:val="0"/>
                <w:szCs w:val="21"/>
                <w:lang w:val="zh-CN"/>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3A0277E5">
            <w:pPr>
              <w:widowControl/>
              <w:jc w:val="left"/>
              <w:rPr>
                <w:rFonts w:ascii="宋体" w:hAnsi="宋体" w:cs="MingLiU"/>
                <w:strike w:val="0"/>
                <w:color w:val="auto"/>
                <w:kern w:val="0"/>
                <w:szCs w:val="21"/>
                <w:lang w:val="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0BBE6463">
            <w:pPr>
              <w:rPr>
                <w:rFonts w:ascii="宋体" w:hAnsi="宋体"/>
                <w:bCs/>
                <w:strike w:val="0"/>
                <w:color w:val="auto"/>
                <w:kern w:val="0"/>
                <w:szCs w:val="21"/>
              </w:rPr>
            </w:pPr>
            <w:r>
              <w:rPr>
                <w:rFonts w:hint="eastAsia" w:ascii="宋体" w:hAnsi="宋体"/>
                <w:bCs/>
                <w:strike w:val="0"/>
                <w:color w:val="auto"/>
                <w:kern w:val="0"/>
                <w:szCs w:val="21"/>
              </w:rPr>
              <w:t>质量保证与承诺和安全文明施工措施（6分)</w:t>
            </w:r>
          </w:p>
        </w:tc>
        <w:tc>
          <w:tcPr>
            <w:tcW w:w="5670" w:type="dxa"/>
            <w:tcBorders>
              <w:top w:val="single" w:color="auto" w:sz="4" w:space="0"/>
              <w:left w:val="single" w:color="auto" w:sz="4" w:space="0"/>
              <w:bottom w:val="single" w:color="auto" w:sz="4" w:space="0"/>
              <w:right w:val="single" w:color="auto" w:sz="4" w:space="0"/>
            </w:tcBorders>
            <w:vAlign w:val="center"/>
          </w:tcPr>
          <w:p w14:paraId="221DD56D">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优（6分）：针对项目实际情况，有先进、具体、完整、可行的实施措施，采用规范正确、清晰，超过招标文件的质量要求及施工验收规范要求。</w:t>
            </w:r>
          </w:p>
          <w:p w14:paraId="6D91778F">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良（</w:t>
            </w:r>
            <w:r>
              <w:rPr>
                <w:rFonts w:hint="eastAsia" w:ascii="宋体" w:hAnsi="宋体"/>
                <w:bCs/>
                <w:strike w:val="0"/>
                <w:color w:val="auto"/>
                <w:kern w:val="0"/>
                <w:szCs w:val="21"/>
                <w:lang w:val="en-US" w:eastAsia="zh-CN"/>
              </w:rPr>
              <w:t>4.5</w:t>
            </w:r>
            <w:r>
              <w:rPr>
                <w:rFonts w:hint="eastAsia" w:ascii="宋体" w:hAnsi="宋体"/>
                <w:bCs/>
                <w:strike w:val="0"/>
                <w:color w:val="auto"/>
                <w:kern w:val="0"/>
                <w:szCs w:val="21"/>
              </w:rPr>
              <w:t>分）：针对项目实际情况，有合理的措施且具体、完整，采用规范正确提出先进、可行、具体的保证措施，满足招标文件的质量要求。</w:t>
            </w:r>
          </w:p>
          <w:p w14:paraId="00A4954D">
            <w:pPr>
              <w:widowControl/>
              <w:spacing w:line="320" w:lineRule="atLeast"/>
              <w:ind w:firstLine="0" w:firstLineChars="0"/>
              <w:jc w:val="left"/>
              <w:rPr>
                <w:rFonts w:ascii="宋体" w:hAnsi="宋体"/>
                <w:bCs/>
                <w:strike w:val="0"/>
                <w:color w:val="auto"/>
                <w:kern w:val="0"/>
                <w:szCs w:val="21"/>
              </w:rPr>
            </w:pPr>
            <w:r>
              <w:rPr>
                <w:rFonts w:hint="eastAsia" w:ascii="宋体" w:hAnsi="宋体"/>
                <w:bCs/>
                <w:strike w:val="0"/>
                <w:color w:val="auto"/>
                <w:kern w:val="0"/>
                <w:szCs w:val="21"/>
              </w:rPr>
              <w:t>中（</w:t>
            </w:r>
            <w:r>
              <w:rPr>
                <w:rFonts w:hint="eastAsia" w:ascii="宋体" w:hAnsi="宋体"/>
                <w:bCs/>
                <w:strike w:val="0"/>
                <w:color w:val="auto"/>
                <w:kern w:val="0"/>
                <w:szCs w:val="21"/>
                <w:lang w:val="en-US" w:eastAsia="zh-CN"/>
              </w:rPr>
              <w:t>3</w:t>
            </w:r>
            <w:r>
              <w:rPr>
                <w:rFonts w:hint="eastAsia" w:ascii="宋体" w:hAnsi="宋体"/>
                <w:bCs/>
                <w:strike w:val="0"/>
                <w:color w:val="auto"/>
                <w:kern w:val="0"/>
                <w:szCs w:val="21"/>
              </w:rPr>
              <w:t>分）：有基本合理的措施，采用规范正确。</w:t>
            </w:r>
          </w:p>
          <w:p w14:paraId="45005143">
            <w:pPr>
              <w:widowControl/>
              <w:spacing w:line="320" w:lineRule="atLeast"/>
              <w:ind w:firstLine="0" w:firstLineChars="0"/>
              <w:jc w:val="left"/>
              <w:rPr>
                <w:rFonts w:hint="eastAsia" w:ascii="宋体" w:hAnsi="宋体"/>
                <w:bCs/>
                <w:strike w:val="0"/>
                <w:color w:val="auto"/>
                <w:kern w:val="0"/>
                <w:szCs w:val="21"/>
              </w:rPr>
            </w:pPr>
            <w:r>
              <w:rPr>
                <w:rFonts w:hint="eastAsia" w:ascii="宋体" w:hAnsi="宋体"/>
                <w:bCs/>
                <w:strike w:val="0"/>
                <w:color w:val="auto"/>
                <w:kern w:val="0"/>
                <w:szCs w:val="21"/>
              </w:rPr>
              <w:t>差（</w:t>
            </w:r>
            <w:r>
              <w:rPr>
                <w:rFonts w:hint="eastAsia" w:ascii="宋体" w:hAnsi="宋体"/>
                <w:bCs/>
                <w:strike w:val="0"/>
                <w:color w:val="auto"/>
                <w:kern w:val="0"/>
                <w:szCs w:val="21"/>
                <w:lang w:val="en-US" w:eastAsia="zh-CN"/>
              </w:rPr>
              <w:t>1.5</w:t>
            </w:r>
            <w:r>
              <w:rPr>
                <w:rFonts w:hint="eastAsia" w:ascii="宋体" w:hAnsi="宋体"/>
                <w:bCs/>
                <w:strike w:val="0"/>
                <w:color w:val="auto"/>
                <w:kern w:val="0"/>
                <w:szCs w:val="21"/>
              </w:rPr>
              <w:t>分）：质量保证和安全文明措施不得力，采用规范不正确，措施不可行。</w:t>
            </w:r>
          </w:p>
          <w:p w14:paraId="55009AAD">
            <w:pPr>
              <w:widowControl/>
              <w:spacing w:line="320" w:lineRule="atLeast"/>
              <w:ind w:firstLine="0" w:firstLineChars="0"/>
              <w:jc w:val="left"/>
              <w:rPr>
                <w:rFonts w:hint="default" w:ascii="宋体" w:hAnsi="宋体" w:eastAsia="宋体"/>
                <w:bCs/>
                <w:strike w:val="0"/>
                <w:color w:val="auto"/>
                <w:kern w:val="0"/>
                <w:szCs w:val="21"/>
                <w:lang w:val="en-US" w:eastAsia="zh-CN"/>
              </w:rPr>
            </w:pPr>
            <w:r>
              <w:rPr>
                <w:rFonts w:hint="eastAsia" w:ascii="宋体" w:hAnsi="宋体"/>
                <w:bCs/>
                <w:strike w:val="0"/>
                <w:color w:val="auto"/>
                <w:kern w:val="0"/>
                <w:szCs w:val="21"/>
                <w:lang w:val="en-US" w:eastAsia="zh-CN"/>
              </w:rPr>
              <w:t>不提供则不得分。</w:t>
            </w:r>
          </w:p>
        </w:tc>
      </w:tr>
      <w:tr w14:paraId="43354DC0">
        <w:tblPrEx>
          <w:tblCellMar>
            <w:top w:w="0" w:type="dxa"/>
            <w:left w:w="0" w:type="dxa"/>
            <w:bottom w:w="0" w:type="dxa"/>
            <w:right w:w="0" w:type="dxa"/>
          </w:tblCellMar>
        </w:tblPrEx>
        <w:trPr>
          <w:cantSplit/>
          <w:trHeight w:val="1213"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F3DDAE0">
            <w:pPr>
              <w:pStyle w:val="25"/>
              <w:jc w:val="center"/>
              <w:rPr>
                <w:rFonts w:hint="eastAsia" w:ascii="Times New Roman" w:hAnsi="Times New Roman" w:eastAsia="宋体"/>
                <w:strike w:val="0"/>
                <w:color w:val="auto"/>
                <w:sz w:val="21"/>
                <w:szCs w:val="21"/>
                <w:lang w:val="zh-CN" w:eastAsia="zh-CN"/>
              </w:rPr>
            </w:pPr>
            <w:r>
              <w:rPr>
                <w:rFonts w:hint="eastAsia" w:ascii="Times New Roman" w:hAnsi="Times New Roman"/>
                <w:strike w:val="0"/>
                <w:color w:val="auto"/>
                <w:sz w:val="21"/>
                <w:szCs w:val="21"/>
                <w:lang w:val="en-US" w:eastAsia="zh-CN"/>
              </w:rPr>
              <w:t>2</w:t>
            </w:r>
          </w:p>
        </w:tc>
        <w:tc>
          <w:tcPr>
            <w:tcW w:w="580" w:type="dxa"/>
            <w:tcBorders>
              <w:top w:val="single" w:color="auto" w:sz="4" w:space="0"/>
              <w:left w:val="single" w:color="auto" w:sz="4" w:space="0"/>
              <w:bottom w:val="single" w:color="auto" w:sz="4" w:space="0"/>
              <w:right w:val="single" w:color="auto" w:sz="4" w:space="0"/>
            </w:tcBorders>
            <w:vAlign w:val="center"/>
          </w:tcPr>
          <w:p w14:paraId="7302945F">
            <w:pPr>
              <w:pStyle w:val="25"/>
              <w:jc w:val="center"/>
              <w:rPr>
                <w:rFonts w:ascii="Times New Roman" w:hAnsi="Times New Roman"/>
                <w:strike w:val="0"/>
                <w:color w:val="auto"/>
                <w:sz w:val="21"/>
                <w:szCs w:val="21"/>
              </w:rPr>
            </w:pPr>
            <w:r>
              <w:rPr>
                <w:rFonts w:hint="eastAsia" w:ascii="Times New Roman" w:hAnsi="Times New Roman"/>
                <w:strike w:val="0"/>
                <w:color w:val="auto"/>
                <w:sz w:val="21"/>
                <w:szCs w:val="21"/>
              </w:rPr>
              <w:t>商务评审</w:t>
            </w:r>
          </w:p>
        </w:tc>
        <w:tc>
          <w:tcPr>
            <w:tcW w:w="825" w:type="dxa"/>
            <w:tcBorders>
              <w:top w:val="single" w:color="auto" w:sz="4" w:space="0"/>
              <w:left w:val="single" w:color="auto" w:sz="4" w:space="0"/>
              <w:bottom w:val="single" w:color="auto" w:sz="4" w:space="0"/>
              <w:right w:val="single" w:color="auto" w:sz="4" w:space="0"/>
            </w:tcBorders>
            <w:vAlign w:val="center"/>
          </w:tcPr>
          <w:p w14:paraId="4502E7EA">
            <w:pPr>
              <w:pStyle w:val="25"/>
              <w:jc w:val="center"/>
              <w:rPr>
                <w:rFonts w:ascii="Times New Roman" w:hAnsi="Times New Roman"/>
                <w:strike w:val="0"/>
                <w:color w:val="auto"/>
                <w:sz w:val="21"/>
                <w:szCs w:val="21"/>
                <w:lang w:val="zh-CN"/>
              </w:rPr>
            </w:pPr>
            <w:r>
              <w:rPr>
                <w:rFonts w:hint="eastAsia" w:ascii="Times New Roman" w:hAnsi="Times New Roman"/>
                <w:strike w:val="0"/>
                <w:color w:val="auto"/>
                <w:sz w:val="21"/>
                <w:szCs w:val="21"/>
                <w:lang w:val="zh-CN"/>
              </w:rPr>
              <w:t>报价评分（满分</w:t>
            </w:r>
            <w:r>
              <w:rPr>
                <w:rFonts w:hint="eastAsia" w:ascii="Times New Roman" w:hAnsi="Times New Roman"/>
                <w:strike w:val="0"/>
                <w:color w:val="auto"/>
                <w:sz w:val="21"/>
                <w:szCs w:val="21"/>
              </w:rPr>
              <w:t>60</w:t>
            </w:r>
            <w:r>
              <w:rPr>
                <w:rFonts w:hint="eastAsia" w:ascii="Times New Roman" w:hAnsi="Times New Roman"/>
                <w:strike w:val="0"/>
                <w:color w:val="auto"/>
                <w:sz w:val="21"/>
                <w:szCs w:val="21"/>
                <w:lang w:val="zh-CN"/>
              </w:rPr>
              <w:t>分）</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6702C8B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Times New Roman" w:hAnsi="Times New Roman" w:eastAsia="宋体" w:cs="Times New Roman"/>
                <w:strike w:val="0"/>
                <w:color w:val="auto"/>
                <w:sz w:val="21"/>
                <w:szCs w:val="21"/>
                <w:vertAlign w:val="baseline"/>
                <w:lang w:val="en-US" w:eastAsia="zh-CN"/>
              </w:rPr>
            </w:pPr>
            <w:r>
              <w:rPr>
                <w:rFonts w:hint="eastAsia" w:ascii="Times New Roman" w:hAnsi="Times New Roman" w:eastAsia="宋体" w:cs="Times New Roman"/>
                <w:strike w:val="0"/>
                <w:color w:val="auto"/>
                <w:sz w:val="21"/>
                <w:szCs w:val="21"/>
                <w:vertAlign w:val="baseline"/>
                <w:lang w:val="en-US" w:eastAsia="zh-CN"/>
              </w:rPr>
              <w:t>采用低价优先法计算，即满足招标文件要求且投标价格最低的投标报价为评标基准价，其价格分为满分。其他投标人的价格分统一按照下列公式计算：</w:t>
            </w:r>
          </w:p>
          <w:p w14:paraId="043DB98B">
            <w:pPr>
              <w:autoSpaceDE/>
              <w:autoSpaceDN/>
              <w:adjustRightInd/>
              <w:spacing w:line="320" w:lineRule="exact"/>
              <w:rPr>
                <w:rFonts w:ascii="Times New Roman" w:hAnsi="Times New Roman"/>
                <w:strike w:val="0"/>
                <w:color w:val="auto"/>
                <w:sz w:val="21"/>
                <w:szCs w:val="21"/>
                <w:lang w:val="zh-CN"/>
              </w:rPr>
            </w:pPr>
            <w:r>
              <w:rPr>
                <w:rFonts w:hint="eastAsia" w:ascii="Times New Roman" w:hAnsi="Times New Roman" w:eastAsia="宋体" w:cs="Times New Roman"/>
                <w:strike w:val="0"/>
                <w:color w:val="auto"/>
                <w:sz w:val="21"/>
                <w:szCs w:val="21"/>
                <w:vertAlign w:val="baseline"/>
                <w:lang w:val="en-US" w:eastAsia="zh-CN"/>
              </w:rPr>
              <w:t>投标报价得分=(评标基准价／投标报价)×100</w:t>
            </w:r>
          </w:p>
        </w:tc>
      </w:tr>
      <w:tr w14:paraId="460A806F">
        <w:tblPrEx>
          <w:tblCellMar>
            <w:top w:w="0" w:type="dxa"/>
            <w:left w:w="0" w:type="dxa"/>
            <w:bottom w:w="0" w:type="dxa"/>
            <w:right w:w="0" w:type="dxa"/>
          </w:tblCellMar>
        </w:tblPrEx>
        <w:trPr>
          <w:cantSplit/>
          <w:trHeight w:val="993"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EF4840E">
            <w:pPr>
              <w:pStyle w:val="25"/>
              <w:jc w:val="center"/>
              <w:rPr>
                <w:rFonts w:ascii="Times New Roman" w:hAnsi="Times New Roman"/>
                <w:strike w:val="0"/>
                <w:color w:val="auto"/>
                <w:sz w:val="21"/>
                <w:szCs w:val="21"/>
                <w:lang w:val="zh-CN"/>
              </w:rPr>
            </w:pPr>
          </w:p>
          <w:p w14:paraId="357B0DF7">
            <w:pPr>
              <w:pStyle w:val="25"/>
              <w:jc w:val="center"/>
              <w:rPr>
                <w:rFonts w:hint="eastAsia" w:ascii="Times New Roman" w:hAnsi="Times New Roman" w:eastAsia="宋体"/>
                <w:strike w:val="0"/>
                <w:color w:val="auto"/>
                <w:sz w:val="21"/>
                <w:szCs w:val="21"/>
                <w:lang w:val="zh-CN" w:eastAsia="zh-CN"/>
              </w:rPr>
            </w:pPr>
            <w:r>
              <w:rPr>
                <w:rFonts w:hint="eastAsia" w:ascii="Times New Roman" w:hAnsi="Times New Roman"/>
                <w:strike w:val="0"/>
                <w:color w:val="auto"/>
                <w:sz w:val="21"/>
                <w:szCs w:val="21"/>
                <w:lang w:val="en-US" w:eastAsia="zh-CN"/>
              </w:rPr>
              <w:t>3</w:t>
            </w: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4CD38064">
            <w:pPr>
              <w:pStyle w:val="25"/>
              <w:jc w:val="center"/>
              <w:rPr>
                <w:rFonts w:ascii="Times New Roman" w:hAnsi="Times New Roman"/>
                <w:strike w:val="0"/>
                <w:color w:val="auto"/>
                <w:sz w:val="21"/>
                <w:szCs w:val="21"/>
                <w:lang w:val="zh-CN"/>
              </w:rPr>
            </w:pPr>
            <w:r>
              <w:rPr>
                <w:rFonts w:hint="eastAsia" w:ascii="Times New Roman" w:hAnsi="Times New Roman"/>
                <w:strike w:val="0"/>
                <w:color w:val="auto"/>
                <w:sz w:val="21"/>
                <w:szCs w:val="21"/>
                <w:lang w:val="zh-CN"/>
              </w:rPr>
              <w:t>企业信誉评分标准</w:t>
            </w:r>
          </w:p>
          <w:p w14:paraId="68F156FD">
            <w:pPr>
              <w:pStyle w:val="25"/>
              <w:jc w:val="center"/>
              <w:rPr>
                <w:rFonts w:ascii="Times New Roman" w:hAnsi="Times New Roman"/>
                <w:strike w:val="0"/>
                <w:color w:val="auto"/>
                <w:sz w:val="21"/>
                <w:szCs w:val="21"/>
                <w:lang w:val="zh-CN"/>
              </w:rPr>
            </w:pPr>
            <w:r>
              <w:rPr>
                <w:rFonts w:hint="eastAsia" w:ascii="Times New Roman" w:hAnsi="Times New Roman"/>
                <w:strike w:val="0"/>
                <w:color w:val="auto"/>
                <w:sz w:val="21"/>
                <w:szCs w:val="21"/>
                <w:lang w:val="zh-CN"/>
              </w:rPr>
              <w:t>（满分</w:t>
            </w:r>
            <w:r>
              <w:rPr>
                <w:rFonts w:hint="eastAsia" w:ascii="Times New Roman" w:hAnsi="Times New Roman"/>
                <w:strike w:val="0"/>
                <w:color w:val="auto"/>
                <w:sz w:val="21"/>
                <w:szCs w:val="21"/>
                <w:lang w:val="en-US" w:eastAsia="zh-CN"/>
              </w:rPr>
              <w:t>4</w:t>
            </w:r>
            <w:r>
              <w:rPr>
                <w:rFonts w:hint="eastAsia" w:ascii="Times New Roman" w:hAnsi="Times New Roman"/>
                <w:strike w:val="0"/>
                <w:color w:val="auto"/>
                <w:sz w:val="21"/>
                <w:szCs w:val="21"/>
                <w:lang w:val="zh-CN"/>
              </w:rPr>
              <w:t>分）</w:t>
            </w:r>
          </w:p>
        </w:tc>
        <w:tc>
          <w:tcPr>
            <w:tcW w:w="6836" w:type="dxa"/>
            <w:gridSpan w:val="2"/>
            <w:tcBorders>
              <w:top w:val="single" w:color="auto" w:sz="4" w:space="0"/>
              <w:left w:val="single" w:color="auto" w:sz="4" w:space="0"/>
              <w:bottom w:val="single" w:color="auto" w:sz="4" w:space="0"/>
              <w:right w:val="single" w:color="auto" w:sz="4" w:space="0"/>
            </w:tcBorders>
            <w:vAlign w:val="center"/>
          </w:tcPr>
          <w:p w14:paraId="0DA31FE0">
            <w:pPr>
              <w:pStyle w:val="26"/>
              <w:snapToGrid w:val="0"/>
              <w:spacing w:line="340" w:lineRule="exact"/>
              <w:rPr>
                <w:strike w:val="0"/>
                <w:color w:val="auto"/>
              </w:rPr>
            </w:pPr>
            <w:r>
              <w:rPr>
                <w:rFonts w:hint="eastAsia" w:ascii="宋体" w:hAnsi="宋体"/>
                <w:strike w:val="0"/>
                <w:color w:val="auto"/>
              </w:rPr>
              <w:t>企业2022年以来承建或完成</w:t>
            </w:r>
            <w:r>
              <w:rPr>
                <w:rFonts w:hint="eastAsia"/>
                <w:strike w:val="0"/>
                <w:color w:val="auto"/>
              </w:rPr>
              <w:t>类似工程项目</w:t>
            </w:r>
            <w:r>
              <w:rPr>
                <w:rFonts w:hint="eastAsia" w:ascii="宋体" w:hAnsi="宋体"/>
                <w:strike w:val="0"/>
                <w:color w:val="auto"/>
              </w:rPr>
              <w:t>的，每个得</w:t>
            </w:r>
            <w:r>
              <w:rPr>
                <w:rFonts w:hint="eastAsia" w:ascii="宋体" w:hAnsi="宋体"/>
                <w:strike w:val="0"/>
                <w:color w:val="auto"/>
                <w:lang w:val="en-US" w:eastAsia="zh-CN"/>
              </w:rPr>
              <w:t>1</w:t>
            </w:r>
            <w:r>
              <w:rPr>
                <w:rFonts w:hint="eastAsia" w:ascii="宋体" w:hAnsi="宋体"/>
                <w:strike w:val="0"/>
                <w:color w:val="auto"/>
              </w:rPr>
              <w:t>分</w:t>
            </w:r>
            <w:r>
              <w:rPr>
                <w:rFonts w:hint="eastAsia"/>
                <w:strike w:val="0"/>
                <w:color w:val="auto"/>
              </w:rPr>
              <w:t>（以提供的合同为准，原件备查）</w:t>
            </w:r>
            <w:r>
              <w:rPr>
                <w:rFonts w:hint="eastAsia" w:ascii="宋体" w:hAnsi="宋体"/>
                <w:strike w:val="0"/>
                <w:color w:val="auto"/>
              </w:rPr>
              <w:t>，满分</w:t>
            </w:r>
            <w:r>
              <w:rPr>
                <w:rFonts w:hint="eastAsia" w:ascii="宋体" w:hAnsi="宋体"/>
                <w:strike w:val="0"/>
                <w:color w:val="auto"/>
                <w:lang w:val="en-US" w:eastAsia="zh-CN"/>
              </w:rPr>
              <w:t>4</w:t>
            </w:r>
            <w:r>
              <w:rPr>
                <w:rFonts w:hint="eastAsia" w:ascii="宋体" w:hAnsi="宋体"/>
                <w:strike w:val="0"/>
                <w:color w:val="auto"/>
              </w:rPr>
              <w:t>分。</w:t>
            </w:r>
          </w:p>
        </w:tc>
      </w:tr>
      <w:tr w14:paraId="58AF2EC8">
        <w:tblPrEx>
          <w:tblCellMar>
            <w:top w:w="0" w:type="dxa"/>
            <w:left w:w="0" w:type="dxa"/>
            <w:bottom w:w="0" w:type="dxa"/>
            <w:right w:w="0" w:type="dxa"/>
          </w:tblCellMar>
        </w:tblPrEx>
        <w:trPr>
          <w:cantSplit/>
          <w:trHeight w:val="753" w:hRule="atLeas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1BEDF4AC">
            <w:pPr>
              <w:pStyle w:val="25"/>
              <w:jc w:val="center"/>
              <w:rPr>
                <w:rFonts w:ascii="Times New Roman" w:hAnsi="Times New Roman"/>
                <w:strike w:val="0"/>
                <w:color w:val="auto"/>
                <w:sz w:val="21"/>
                <w:szCs w:val="21"/>
                <w:lang w:val="zh-CN"/>
              </w:rPr>
            </w:pPr>
            <w:r>
              <w:rPr>
                <w:rFonts w:hint="eastAsia" w:ascii="Times New Roman" w:hAnsi="Times New Roman"/>
                <w:b/>
                <w:bCs/>
                <w:strike w:val="0"/>
                <w:color w:val="auto"/>
                <w:sz w:val="21"/>
                <w:szCs w:val="21"/>
                <w:lang w:val="zh-CN"/>
              </w:rPr>
              <w:t>综合评分</w:t>
            </w:r>
          </w:p>
        </w:tc>
        <w:tc>
          <w:tcPr>
            <w:tcW w:w="6836" w:type="dxa"/>
            <w:gridSpan w:val="2"/>
            <w:tcBorders>
              <w:top w:val="single" w:color="auto" w:sz="4" w:space="0"/>
              <w:left w:val="single" w:color="auto" w:sz="4" w:space="0"/>
              <w:bottom w:val="single" w:color="auto" w:sz="4" w:space="0"/>
              <w:right w:val="single" w:color="auto" w:sz="4" w:space="0"/>
            </w:tcBorders>
            <w:vAlign w:val="center"/>
          </w:tcPr>
          <w:p w14:paraId="12D035DE">
            <w:pPr>
              <w:pStyle w:val="26"/>
              <w:snapToGrid w:val="0"/>
              <w:spacing w:line="340" w:lineRule="exact"/>
              <w:rPr>
                <w:rFonts w:ascii="宋体" w:hAnsi="宋体"/>
                <w:b/>
                <w:strike w:val="0"/>
                <w:color w:val="auto"/>
              </w:rPr>
            </w:pPr>
            <w:r>
              <w:rPr>
                <w:rFonts w:hint="eastAsia" w:ascii="宋体" w:hAnsi="宋体"/>
                <w:b/>
                <w:strike w:val="0"/>
                <w:color w:val="auto"/>
                <w:lang w:val="en-US" w:eastAsia="zh-CN"/>
              </w:rPr>
              <w:t>投标人</w:t>
            </w:r>
            <w:r>
              <w:rPr>
                <w:rFonts w:hint="eastAsia" w:ascii="宋体" w:hAnsi="宋体"/>
                <w:b/>
                <w:strike w:val="0"/>
                <w:color w:val="auto"/>
              </w:rPr>
              <w:t>总得分=技术评审得分+商务评审得分+企业信誉实力评审得分</w:t>
            </w:r>
          </w:p>
        </w:tc>
      </w:tr>
    </w:tbl>
    <w:p w14:paraId="53A2A425">
      <w:pPr>
        <w:rPr>
          <w:color w:val="auto"/>
        </w:rPr>
      </w:pPr>
    </w:p>
    <w:p w14:paraId="217FF217">
      <w:pPr>
        <w:pStyle w:val="2"/>
        <w:ind w:left="0"/>
        <w:jc w:val="center"/>
        <w:rPr>
          <w:color w:val="auto"/>
          <w:w w:val="95"/>
          <w:sz w:val="30"/>
          <w:szCs w:val="30"/>
        </w:rPr>
      </w:pPr>
    </w:p>
    <w:p w14:paraId="44771D3E">
      <w:pPr>
        <w:pStyle w:val="2"/>
        <w:ind w:left="0"/>
        <w:jc w:val="center"/>
        <w:rPr>
          <w:color w:val="auto"/>
          <w:w w:val="95"/>
          <w:sz w:val="30"/>
          <w:szCs w:val="30"/>
        </w:rPr>
      </w:pPr>
    </w:p>
    <w:p w14:paraId="28A9B8E7">
      <w:pPr>
        <w:pStyle w:val="2"/>
        <w:ind w:left="0"/>
        <w:jc w:val="center"/>
        <w:rPr>
          <w:color w:val="auto"/>
          <w:w w:val="95"/>
          <w:sz w:val="30"/>
          <w:szCs w:val="30"/>
        </w:rPr>
      </w:pPr>
    </w:p>
    <w:p w14:paraId="1227468B">
      <w:pPr>
        <w:rPr>
          <w:color w:val="auto"/>
          <w:w w:val="95"/>
          <w:sz w:val="30"/>
          <w:szCs w:val="30"/>
        </w:rPr>
      </w:pPr>
    </w:p>
    <w:p w14:paraId="07CA070F">
      <w:pPr>
        <w:pStyle w:val="11"/>
        <w:ind w:left="1260"/>
        <w:rPr>
          <w:color w:val="auto"/>
          <w:w w:val="95"/>
          <w:sz w:val="30"/>
          <w:szCs w:val="30"/>
        </w:rPr>
      </w:pPr>
    </w:p>
    <w:p w14:paraId="6C7D85A4">
      <w:pPr>
        <w:rPr>
          <w:color w:val="auto"/>
          <w:w w:val="95"/>
          <w:sz w:val="30"/>
          <w:szCs w:val="30"/>
        </w:rPr>
      </w:pPr>
    </w:p>
    <w:p w14:paraId="267CD173">
      <w:pPr>
        <w:pStyle w:val="11"/>
        <w:ind w:left="1260"/>
        <w:rPr>
          <w:color w:val="auto"/>
          <w:w w:val="95"/>
          <w:sz w:val="30"/>
          <w:szCs w:val="30"/>
        </w:rPr>
      </w:pPr>
    </w:p>
    <w:p w14:paraId="1D7BFFC6">
      <w:pPr>
        <w:rPr>
          <w:color w:val="auto"/>
          <w:w w:val="95"/>
          <w:sz w:val="30"/>
          <w:szCs w:val="30"/>
        </w:rPr>
      </w:pPr>
    </w:p>
    <w:p w14:paraId="390FFDFC">
      <w:pPr>
        <w:pStyle w:val="11"/>
        <w:ind w:left="1260"/>
        <w:rPr>
          <w:color w:val="auto"/>
          <w:w w:val="95"/>
          <w:sz w:val="30"/>
          <w:szCs w:val="30"/>
        </w:rPr>
      </w:pPr>
    </w:p>
    <w:p w14:paraId="358F8916">
      <w:pPr>
        <w:rPr>
          <w:color w:val="auto"/>
          <w:w w:val="95"/>
          <w:sz w:val="30"/>
          <w:szCs w:val="30"/>
        </w:rPr>
      </w:pPr>
    </w:p>
    <w:p w14:paraId="5E8AD0FB">
      <w:pPr>
        <w:pStyle w:val="11"/>
        <w:ind w:left="1260"/>
        <w:rPr>
          <w:color w:val="auto"/>
          <w:w w:val="95"/>
          <w:sz w:val="30"/>
          <w:szCs w:val="30"/>
        </w:rPr>
      </w:pPr>
    </w:p>
    <w:p w14:paraId="0E800BAC">
      <w:pPr>
        <w:rPr>
          <w:color w:val="auto"/>
          <w:w w:val="95"/>
          <w:sz w:val="30"/>
          <w:szCs w:val="30"/>
        </w:rPr>
      </w:pPr>
    </w:p>
    <w:p w14:paraId="614C7AD5">
      <w:pPr>
        <w:pStyle w:val="11"/>
        <w:ind w:left="1260"/>
        <w:rPr>
          <w:color w:val="auto"/>
          <w:w w:val="95"/>
          <w:sz w:val="30"/>
          <w:szCs w:val="30"/>
        </w:rPr>
      </w:pPr>
    </w:p>
    <w:p w14:paraId="4E1123CE">
      <w:pPr>
        <w:rPr>
          <w:color w:val="auto"/>
          <w:w w:val="95"/>
          <w:sz w:val="30"/>
          <w:szCs w:val="30"/>
        </w:rPr>
      </w:pPr>
    </w:p>
    <w:p w14:paraId="02977B4B">
      <w:pPr>
        <w:pStyle w:val="11"/>
        <w:ind w:left="1260"/>
        <w:rPr>
          <w:color w:val="auto"/>
          <w:w w:val="95"/>
          <w:sz w:val="30"/>
          <w:szCs w:val="30"/>
        </w:rPr>
      </w:pPr>
    </w:p>
    <w:p w14:paraId="08619D7A">
      <w:pPr>
        <w:rPr>
          <w:color w:val="auto"/>
          <w:w w:val="95"/>
          <w:sz w:val="30"/>
          <w:szCs w:val="30"/>
        </w:rPr>
      </w:pPr>
    </w:p>
    <w:p w14:paraId="23E311C3">
      <w:pPr>
        <w:pStyle w:val="11"/>
        <w:ind w:left="1260"/>
        <w:rPr>
          <w:color w:val="auto"/>
          <w:w w:val="95"/>
          <w:sz w:val="30"/>
          <w:szCs w:val="30"/>
        </w:rPr>
      </w:pPr>
    </w:p>
    <w:p w14:paraId="592D3866">
      <w:pPr>
        <w:rPr>
          <w:color w:val="auto"/>
        </w:rPr>
      </w:pPr>
    </w:p>
    <w:p w14:paraId="36D99874">
      <w:pPr>
        <w:pStyle w:val="11"/>
        <w:ind w:left="1260"/>
        <w:rPr>
          <w:color w:val="auto"/>
        </w:rPr>
      </w:pPr>
    </w:p>
    <w:p w14:paraId="54BA71CE">
      <w:pPr>
        <w:pStyle w:val="2"/>
        <w:jc w:val="center"/>
        <w:rPr>
          <w:color w:val="auto"/>
          <w:sz w:val="30"/>
          <w:szCs w:val="30"/>
        </w:rPr>
      </w:pPr>
      <w:r>
        <w:rPr>
          <w:rFonts w:hint="eastAsia"/>
          <w:color w:val="auto"/>
          <w:sz w:val="32"/>
          <w:szCs w:val="32"/>
        </w:rPr>
        <w:fldChar w:fldCharType="begin"/>
      </w:r>
      <w:r>
        <w:rPr>
          <w:rFonts w:hint="eastAsia"/>
          <w:color w:val="auto"/>
          <w:sz w:val="32"/>
          <w:szCs w:val="32"/>
        </w:rPr>
        <w:instrText xml:space="preserve"> HYPERLINK \l "_Toc478389008" </w:instrText>
      </w:r>
      <w:r>
        <w:rPr>
          <w:rFonts w:hint="eastAsia"/>
          <w:color w:val="auto"/>
          <w:sz w:val="32"/>
          <w:szCs w:val="32"/>
        </w:rPr>
        <w:fldChar w:fldCharType="separate"/>
      </w:r>
      <w:r>
        <w:rPr>
          <w:rFonts w:hint="eastAsia"/>
          <w:color w:val="auto"/>
          <w:sz w:val="32"/>
          <w:szCs w:val="32"/>
        </w:rPr>
        <w:t>第三章  合同主要条款</w:t>
      </w:r>
      <w:r>
        <w:rPr>
          <w:rFonts w:hint="eastAsia"/>
          <w:color w:val="auto"/>
          <w:sz w:val="32"/>
          <w:szCs w:val="32"/>
        </w:rPr>
        <w:fldChar w:fldCharType="end"/>
      </w:r>
    </w:p>
    <w:p w14:paraId="0FACD99C">
      <w:pPr>
        <w:snapToGrid w:val="0"/>
        <w:spacing w:line="440" w:lineRule="exact"/>
        <w:rPr>
          <w:rFonts w:asciiTheme="minorEastAsia" w:hAnsiTheme="minorEastAsia" w:eastAsiaTheme="minorEastAsia" w:cstheme="minorEastAsia"/>
          <w:color w:val="auto"/>
          <w:sz w:val="24"/>
        </w:rPr>
      </w:pPr>
    </w:p>
    <w:p w14:paraId="7524ED1E">
      <w:pPr>
        <w:snapToGrid w:val="0"/>
        <w:spacing w:line="440" w:lineRule="exact"/>
        <w:rPr>
          <w:rFonts w:ascii="宋体" w:hAnsi="宋体" w:cs="宋体"/>
          <w:color w:val="auto"/>
          <w:sz w:val="24"/>
        </w:rPr>
      </w:pPr>
      <w:r>
        <w:rPr>
          <w:rFonts w:hint="eastAsia" w:ascii="宋体" w:hAnsi="宋体" w:cs="宋体"/>
          <w:color w:val="auto"/>
          <w:sz w:val="24"/>
        </w:rPr>
        <w:t>1.履约担保：</w:t>
      </w:r>
    </w:p>
    <w:p w14:paraId="24A981A0">
      <w:pPr>
        <w:snapToGrid w:val="0"/>
        <w:spacing w:line="440" w:lineRule="exact"/>
        <w:rPr>
          <w:rFonts w:ascii="宋体" w:hAnsi="宋体" w:cs="宋体"/>
          <w:color w:val="auto"/>
          <w:sz w:val="24"/>
        </w:rPr>
      </w:pPr>
      <w:r>
        <w:rPr>
          <w:rFonts w:hint="eastAsia" w:ascii="宋体" w:hAnsi="宋体" w:cs="宋体"/>
          <w:color w:val="auto"/>
          <w:sz w:val="24"/>
          <w:u w:val="single"/>
        </w:rPr>
        <w:t>按合同价款的3%在第一次转账支付工程进度款时扣除 ，项目结算完成后无息退返</w:t>
      </w:r>
      <w:r>
        <w:rPr>
          <w:rFonts w:hint="eastAsia" w:ascii="宋体" w:hAnsi="宋体" w:cs="宋体"/>
          <w:color w:val="auto"/>
          <w:sz w:val="24"/>
        </w:rPr>
        <w:t>。</w:t>
      </w:r>
    </w:p>
    <w:p w14:paraId="15DE95FE">
      <w:pPr>
        <w:spacing w:line="440" w:lineRule="exact"/>
        <w:jc w:val="left"/>
        <w:rPr>
          <w:rFonts w:ascii="宋体" w:hAnsi="宋体" w:cs="宋体"/>
          <w:color w:val="auto"/>
          <w:sz w:val="24"/>
        </w:rPr>
      </w:pPr>
      <w:r>
        <w:rPr>
          <w:rFonts w:hint="eastAsia" w:ascii="宋体" w:hAnsi="宋体" w:cs="宋体"/>
          <w:color w:val="auto"/>
          <w:sz w:val="24"/>
        </w:rPr>
        <w:t>2.安全风险抵押金：</w:t>
      </w:r>
    </w:p>
    <w:p w14:paraId="172CF3F6">
      <w:pPr>
        <w:spacing w:line="440" w:lineRule="exact"/>
        <w:ind w:left="-360" w:firstLine="480" w:firstLineChars="200"/>
        <w:jc w:val="left"/>
        <w:rPr>
          <w:rFonts w:ascii="宋体" w:hAnsi="宋体" w:cs="宋体"/>
          <w:color w:val="auto"/>
          <w:sz w:val="24"/>
          <w:u w:val="single"/>
        </w:rPr>
      </w:pPr>
      <w:r>
        <w:rPr>
          <w:rFonts w:hint="eastAsia" w:ascii="宋体" w:hAnsi="宋体" w:cs="宋体"/>
          <w:color w:val="auto"/>
          <w:sz w:val="24"/>
          <w:u w:val="single"/>
        </w:rPr>
        <w:t>按合同价款的2%在第一次转账支付工程进度款时扣除 ，项目施工竣工验收合格后无息退返。</w:t>
      </w:r>
    </w:p>
    <w:p w14:paraId="3297F12B">
      <w:pPr>
        <w:spacing w:line="440" w:lineRule="exact"/>
        <w:ind w:left="-360" w:firstLine="480" w:firstLineChars="200"/>
        <w:jc w:val="left"/>
        <w:rPr>
          <w:rFonts w:ascii="宋体" w:hAnsi="宋体" w:cs="宋体"/>
          <w:color w:val="auto"/>
          <w:sz w:val="24"/>
        </w:rPr>
      </w:pPr>
      <w:r>
        <w:rPr>
          <w:rFonts w:hint="eastAsia" w:ascii="宋体" w:hAnsi="宋体" w:cs="宋体"/>
          <w:color w:val="auto"/>
          <w:sz w:val="24"/>
        </w:rPr>
        <w:t>3.合同价格、和误差修正：</w:t>
      </w:r>
    </w:p>
    <w:p w14:paraId="0A0BDF6F">
      <w:pPr>
        <w:spacing w:line="440" w:lineRule="exact"/>
        <w:ind w:left="-360" w:firstLine="480" w:firstLineChars="200"/>
        <w:jc w:val="left"/>
        <w:rPr>
          <w:rFonts w:ascii="宋体" w:hAnsi="宋体" w:cs="宋体"/>
          <w:color w:val="auto"/>
          <w:sz w:val="24"/>
          <w:u w:val="single"/>
        </w:rPr>
      </w:pPr>
      <w:r>
        <w:rPr>
          <w:rFonts w:hint="eastAsia" w:ascii="宋体" w:hAnsi="宋体" w:cs="宋体"/>
          <w:color w:val="auto"/>
          <w:sz w:val="24"/>
          <w:u w:val="single"/>
        </w:rPr>
        <w:t>合同价格形式：本项目采用单价合同形式，合同价款采用固定单价，总价可调方式确定。</w:t>
      </w:r>
    </w:p>
    <w:p w14:paraId="04874C84">
      <w:pPr>
        <w:spacing w:line="440" w:lineRule="exact"/>
        <w:ind w:left="-360" w:firstLine="480" w:firstLineChars="200"/>
        <w:jc w:val="left"/>
        <w:rPr>
          <w:rFonts w:ascii="宋体" w:hAnsi="宋体" w:cs="宋体"/>
          <w:color w:val="auto"/>
          <w:kern w:val="0"/>
          <w:sz w:val="24"/>
          <w:u w:val="single"/>
        </w:rPr>
      </w:pPr>
      <w:r>
        <w:rPr>
          <w:rFonts w:hint="eastAsia" w:ascii="宋体" w:hAnsi="宋体" w:cs="宋体"/>
          <w:color w:val="auto"/>
          <w:sz w:val="24"/>
          <w:u w:val="single"/>
        </w:rPr>
        <w:t>允许调整合同价格的工程量偏差范围：10%、</w:t>
      </w:r>
      <w:r>
        <w:rPr>
          <w:rFonts w:hint="eastAsia" w:ascii="宋体" w:hAnsi="宋体" w:cs="宋体"/>
          <w:color w:val="auto"/>
          <w:kern w:val="0"/>
          <w:sz w:val="24"/>
          <w:u w:val="single"/>
        </w:rPr>
        <w:t>市场价格波动不调整合同价格。</w:t>
      </w:r>
    </w:p>
    <w:p w14:paraId="558F175A">
      <w:pPr>
        <w:spacing w:line="440" w:lineRule="exact"/>
        <w:ind w:left="-360" w:firstLine="480" w:firstLineChars="200"/>
        <w:jc w:val="left"/>
        <w:rPr>
          <w:rFonts w:ascii="宋体" w:hAnsi="宋体" w:cs="宋体"/>
          <w:color w:val="auto"/>
          <w:kern w:val="0"/>
          <w:sz w:val="24"/>
        </w:rPr>
      </w:pPr>
      <w:r>
        <w:rPr>
          <w:rFonts w:hint="eastAsia" w:ascii="宋体" w:hAnsi="宋体" w:cs="宋体"/>
          <w:color w:val="auto"/>
          <w:kern w:val="0"/>
          <w:sz w:val="24"/>
        </w:rPr>
        <w:t>4.工程款拨付：</w:t>
      </w:r>
    </w:p>
    <w:p w14:paraId="6D7FC8C2">
      <w:pPr>
        <w:spacing w:line="440" w:lineRule="exact"/>
        <w:ind w:left="-360" w:firstLine="480" w:firstLineChars="200"/>
        <w:jc w:val="left"/>
        <w:rPr>
          <w:rFonts w:ascii="宋体" w:hAnsi="宋体" w:cs="宋体"/>
          <w:color w:val="auto"/>
          <w:sz w:val="24"/>
          <w:u w:val="single"/>
        </w:rPr>
      </w:pPr>
      <w:r>
        <w:rPr>
          <w:rFonts w:hint="eastAsia" w:ascii="宋体" w:hAnsi="宋体" w:cs="宋体"/>
          <w:color w:val="auto"/>
          <w:sz w:val="24"/>
          <w:u w:val="single"/>
        </w:rPr>
        <w:t>本项目工程款为合同价款的20%，双方完成《施工合同》签订，甲方签发《开工令》，承包人进场并向发包人提交请款申请获批后30日后支付，工程完工验收合格（附经业主审定认可的完工工程量清单），按规定程序付至乙方75%的成交工程款；经审计部门审核确认最终造价后，工程款付至工程审核造价的95%；余工程审核造价金额的5%作为质保金于质保期满后提交请款申请获审批后30天后付清（无息）。每次付款前，承包人需向发包人提供等额有效税务发票。（各阶段进度款均需先扣除暂列金）</w:t>
      </w:r>
    </w:p>
    <w:p w14:paraId="5A45BE59">
      <w:pPr>
        <w:spacing w:line="440" w:lineRule="exact"/>
        <w:ind w:left="-360" w:firstLine="480" w:firstLineChars="200"/>
        <w:jc w:val="left"/>
        <w:rPr>
          <w:rFonts w:ascii="宋体" w:hAnsi="宋体" w:cs="宋体"/>
          <w:color w:val="auto"/>
          <w:sz w:val="24"/>
        </w:rPr>
      </w:pPr>
      <w:r>
        <w:rPr>
          <w:rFonts w:hint="eastAsia" w:ascii="宋体" w:hAnsi="宋体" w:cs="宋体"/>
          <w:color w:val="auto"/>
          <w:sz w:val="24"/>
        </w:rPr>
        <w:t>5.竣工验收、工程移交和质保：</w:t>
      </w:r>
    </w:p>
    <w:p w14:paraId="40A4508C">
      <w:pPr>
        <w:spacing w:line="440" w:lineRule="exact"/>
        <w:ind w:left="-360" w:firstLine="480" w:firstLineChars="200"/>
        <w:jc w:val="left"/>
        <w:rPr>
          <w:rFonts w:ascii="宋体" w:hAnsi="宋体" w:cs="宋体"/>
          <w:color w:val="auto"/>
          <w:sz w:val="24"/>
          <w:u w:val="single"/>
        </w:rPr>
      </w:pPr>
      <w:r>
        <w:rPr>
          <w:rFonts w:hint="eastAsia" w:ascii="宋体" w:hAnsi="宋体" w:cs="宋体"/>
          <w:color w:val="auto"/>
          <w:sz w:val="24"/>
          <w:u w:val="single"/>
        </w:rPr>
        <w:t>按</w:t>
      </w:r>
      <w:r>
        <w:rPr>
          <w:rFonts w:hint="eastAsia" w:ascii="宋体" w:hAnsi="宋体" w:cs="宋体"/>
          <w:color w:val="auto"/>
          <w:spacing w:val="8"/>
          <w:sz w:val="24"/>
          <w:u w:val="single"/>
          <w:shd w:val="clear" w:color="auto" w:fill="FFFFFF"/>
        </w:rPr>
        <w:t>现行国家和地方性质量验收规范标准，由甲方组织工程竣工验收，验收合格后，签发项目工程验收合格证，承包人向甲方办理工程竣工移交，</w:t>
      </w:r>
      <w:r>
        <w:rPr>
          <w:rFonts w:hint="eastAsia" w:ascii="宋体" w:hAnsi="宋体" w:cs="宋体"/>
          <w:color w:val="auto"/>
          <w:sz w:val="24"/>
          <w:u w:val="single"/>
        </w:rPr>
        <w:t>承包人未按时移交工程的，违约金的计算方法为：每拖延一天工期支付给发包人最终结算总价的5‰/天的违约金，违约金最高限额为整个工程总价款的10%。</w:t>
      </w:r>
    </w:p>
    <w:p w14:paraId="7AB2DA21">
      <w:pPr>
        <w:spacing w:line="440" w:lineRule="exact"/>
        <w:rPr>
          <w:rFonts w:ascii="宋体" w:hAnsi="宋体" w:cs="宋体"/>
          <w:color w:val="auto"/>
          <w:sz w:val="24"/>
        </w:rPr>
      </w:pPr>
      <w:r>
        <w:rPr>
          <w:rFonts w:hint="eastAsia" w:ascii="宋体" w:hAnsi="宋体" w:cs="宋体"/>
          <w:color w:val="auto"/>
          <w:sz w:val="24"/>
        </w:rPr>
        <w:t>根据《建设工程质量管理条例》及有关规定，工程的质量保修期如下：</w:t>
      </w:r>
    </w:p>
    <w:p w14:paraId="3A672AEF">
      <w:pPr>
        <w:spacing w:line="440" w:lineRule="exact"/>
        <w:rPr>
          <w:rFonts w:ascii="宋体" w:hAnsi="宋体" w:cs="宋体"/>
          <w:color w:val="auto"/>
          <w:sz w:val="24"/>
        </w:rPr>
      </w:pPr>
      <w:r>
        <w:rPr>
          <w:rFonts w:hint="eastAsia" w:ascii="宋体" w:hAnsi="宋体" w:cs="宋体"/>
          <w:color w:val="auto"/>
          <w:sz w:val="24"/>
        </w:rPr>
        <w:t>（1）地基基础工程和主体结构工程为</w:t>
      </w:r>
      <w:r>
        <w:rPr>
          <w:rFonts w:hint="eastAsia" w:ascii="宋体" w:hAnsi="宋体" w:cs="宋体"/>
          <w:color w:val="auto"/>
          <w:sz w:val="24"/>
          <w:u w:val="single"/>
        </w:rPr>
        <w:t>设计文件规定的该工程合理使用年限</w:t>
      </w:r>
      <w:r>
        <w:rPr>
          <w:rFonts w:hint="eastAsia" w:ascii="宋体" w:hAnsi="宋体" w:cs="宋体"/>
          <w:color w:val="auto"/>
          <w:sz w:val="24"/>
        </w:rPr>
        <w:t>；</w:t>
      </w:r>
    </w:p>
    <w:p w14:paraId="22E6F1E9">
      <w:pPr>
        <w:spacing w:line="440" w:lineRule="exact"/>
        <w:rPr>
          <w:rFonts w:ascii="宋体" w:hAnsi="宋体" w:cs="宋体"/>
          <w:color w:val="auto"/>
          <w:sz w:val="24"/>
        </w:rPr>
      </w:pPr>
      <w:r>
        <w:rPr>
          <w:rFonts w:hint="eastAsia" w:ascii="宋体" w:hAnsi="宋体" w:cs="宋体"/>
          <w:color w:val="auto"/>
          <w:sz w:val="24"/>
        </w:rPr>
        <w:t>（2）屋面防水工程、有防水要求的卫生间、房间和外墙面的防渗漏为</w:t>
      </w:r>
      <w:r>
        <w:rPr>
          <w:rFonts w:hint="eastAsia" w:ascii="宋体" w:hAnsi="宋体" w:cs="宋体"/>
          <w:color w:val="auto"/>
          <w:sz w:val="24"/>
          <w:u w:val="single"/>
        </w:rPr>
        <w:t xml:space="preserve"> 五 </w:t>
      </w:r>
      <w:r>
        <w:rPr>
          <w:rFonts w:hint="eastAsia" w:ascii="宋体" w:hAnsi="宋体" w:cs="宋体"/>
          <w:color w:val="auto"/>
          <w:sz w:val="24"/>
        </w:rPr>
        <w:t>年；</w:t>
      </w:r>
    </w:p>
    <w:p w14:paraId="10DB3E61">
      <w:pPr>
        <w:spacing w:line="440" w:lineRule="exact"/>
        <w:rPr>
          <w:rFonts w:ascii="宋体" w:hAnsi="宋体" w:cs="宋体"/>
          <w:color w:val="auto"/>
          <w:sz w:val="24"/>
        </w:rPr>
      </w:pPr>
      <w:r>
        <w:rPr>
          <w:rFonts w:hint="eastAsia" w:ascii="宋体" w:hAnsi="宋体" w:cs="宋体"/>
          <w:color w:val="auto"/>
          <w:sz w:val="24"/>
        </w:rPr>
        <w:t>（3）装修工程为</w:t>
      </w:r>
      <w:r>
        <w:rPr>
          <w:rFonts w:hint="eastAsia" w:ascii="宋体" w:hAnsi="宋体" w:cs="宋体"/>
          <w:color w:val="auto"/>
          <w:sz w:val="24"/>
          <w:u w:val="single"/>
        </w:rPr>
        <w:t xml:space="preserve"> 三 </w:t>
      </w:r>
      <w:r>
        <w:rPr>
          <w:rFonts w:hint="eastAsia" w:ascii="宋体" w:hAnsi="宋体" w:cs="宋体"/>
          <w:color w:val="auto"/>
          <w:sz w:val="24"/>
        </w:rPr>
        <w:t>年；</w:t>
      </w:r>
    </w:p>
    <w:p w14:paraId="45F4D4B2">
      <w:pPr>
        <w:spacing w:line="440" w:lineRule="exact"/>
        <w:rPr>
          <w:rFonts w:ascii="宋体" w:hAnsi="宋体" w:cs="宋体"/>
          <w:color w:val="auto"/>
          <w:sz w:val="24"/>
        </w:rPr>
      </w:pPr>
      <w:r>
        <w:rPr>
          <w:rFonts w:hint="eastAsia" w:ascii="宋体" w:hAnsi="宋体" w:cs="宋体"/>
          <w:color w:val="auto"/>
          <w:sz w:val="24"/>
        </w:rPr>
        <w:t>（4）电气管线、给排水管道、设备安装工程为</w:t>
      </w:r>
      <w:r>
        <w:rPr>
          <w:rFonts w:hint="eastAsia" w:ascii="宋体" w:hAnsi="宋体" w:cs="宋体"/>
          <w:color w:val="auto"/>
          <w:sz w:val="24"/>
          <w:u w:val="single"/>
        </w:rPr>
        <w:t xml:space="preserve"> 三 </w:t>
      </w:r>
      <w:r>
        <w:rPr>
          <w:rFonts w:hint="eastAsia" w:ascii="宋体" w:hAnsi="宋体" w:cs="宋体"/>
          <w:color w:val="auto"/>
          <w:sz w:val="24"/>
        </w:rPr>
        <w:t>年；</w:t>
      </w:r>
    </w:p>
    <w:p w14:paraId="5C90991D">
      <w:pPr>
        <w:spacing w:line="440" w:lineRule="exact"/>
        <w:rPr>
          <w:rFonts w:ascii="宋体" w:hAnsi="宋体" w:cs="宋体"/>
          <w:color w:val="auto"/>
          <w:sz w:val="24"/>
        </w:rPr>
      </w:pPr>
      <w:r>
        <w:rPr>
          <w:rFonts w:hint="eastAsia" w:ascii="宋体" w:hAnsi="宋体" w:cs="宋体"/>
          <w:color w:val="auto"/>
          <w:sz w:val="24"/>
        </w:rPr>
        <w:t>（5）供热与供冷系统为</w:t>
      </w:r>
      <w:r>
        <w:rPr>
          <w:rFonts w:hint="eastAsia" w:ascii="宋体" w:hAnsi="宋体" w:cs="宋体"/>
          <w:color w:val="auto"/>
          <w:sz w:val="24"/>
          <w:u w:val="single"/>
        </w:rPr>
        <w:t xml:space="preserve"> 二 </w:t>
      </w:r>
      <w:r>
        <w:rPr>
          <w:rFonts w:hint="eastAsia" w:ascii="宋体" w:hAnsi="宋体" w:cs="宋体"/>
          <w:color w:val="auto"/>
          <w:sz w:val="24"/>
        </w:rPr>
        <w:t>个采暖期、供冷期；</w:t>
      </w:r>
    </w:p>
    <w:p w14:paraId="324ECF51">
      <w:pPr>
        <w:spacing w:line="440" w:lineRule="exact"/>
        <w:rPr>
          <w:rFonts w:ascii="宋体" w:hAnsi="宋体" w:cs="宋体"/>
          <w:color w:val="auto"/>
          <w:sz w:val="24"/>
        </w:rPr>
      </w:pPr>
      <w:r>
        <w:rPr>
          <w:rFonts w:hint="eastAsia" w:ascii="宋体" w:hAnsi="宋体" w:cs="宋体"/>
          <w:color w:val="auto"/>
          <w:sz w:val="24"/>
        </w:rPr>
        <w:t>（6）住宅小区内的给排水设施、道路等配套工程为</w:t>
      </w:r>
      <w:r>
        <w:rPr>
          <w:rFonts w:hint="eastAsia" w:ascii="宋体" w:hAnsi="宋体" w:cs="宋体"/>
          <w:color w:val="auto"/>
          <w:sz w:val="24"/>
          <w:u w:val="single"/>
        </w:rPr>
        <w:t xml:space="preserve"> 三 </w:t>
      </w:r>
      <w:r>
        <w:rPr>
          <w:rFonts w:hint="eastAsia" w:ascii="宋体" w:hAnsi="宋体" w:cs="宋体"/>
          <w:color w:val="auto"/>
          <w:sz w:val="24"/>
        </w:rPr>
        <w:t>年；</w:t>
      </w:r>
    </w:p>
    <w:p w14:paraId="147431D7">
      <w:pPr>
        <w:tabs>
          <w:tab w:val="left" w:pos="8640"/>
        </w:tabs>
        <w:spacing w:line="440" w:lineRule="exact"/>
        <w:ind w:right="45"/>
        <w:rPr>
          <w:rFonts w:ascii="宋体" w:hAnsi="宋体" w:cs="宋体"/>
          <w:color w:val="auto"/>
          <w:sz w:val="24"/>
          <w:u w:val="single"/>
        </w:rPr>
      </w:pPr>
      <w:r>
        <w:rPr>
          <w:rFonts w:hint="eastAsia" w:ascii="宋体" w:hAnsi="宋体" w:cs="宋体"/>
          <w:color w:val="auto"/>
          <w:sz w:val="24"/>
        </w:rPr>
        <w:t>质量保修期自工程竣工验收合格之日起计算。</w:t>
      </w:r>
    </w:p>
    <w:p w14:paraId="48A8CFA9">
      <w:pPr>
        <w:tabs>
          <w:tab w:val="left" w:pos="8640"/>
        </w:tabs>
        <w:spacing w:line="440" w:lineRule="exact"/>
        <w:ind w:right="45"/>
        <w:rPr>
          <w:rFonts w:ascii="宋体" w:hAnsi="宋体" w:cs="宋体"/>
          <w:color w:val="auto"/>
          <w:sz w:val="24"/>
        </w:rPr>
      </w:pPr>
      <w:r>
        <w:rPr>
          <w:rFonts w:hint="eastAsia" w:ascii="宋体" w:hAnsi="宋体" w:cs="宋体"/>
          <w:color w:val="auto"/>
          <w:sz w:val="24"/>
        </w:rPr>
        <w:t>6.工程结算：</w:t>
      </w:r>
    </w:p>
    <w:p w14:paraId="0F3355F9">
      <w:pPr>
        <w:spacing w:line="440" w:lineRule="exact"/>
        <w:ind w:firstLine="480" w:firstLineChars="200"/>
        <w:jc w:val="left"/>
        <w:rPr>
          <w:rFonts w:ascii="宋体" w:hAnsi="宋体" w:cs="宋体"/>
          <w:color w:val="auto"/>
          <w:sz w:val="24"/>
        </w:rPr>
      </w:pPr>
      <w:r>
        <w:rPr>
          <w:rFonts w:hint="eastAsia" w:ascii="宋体" w:hAnsi="宋体" w:cs="宋体"/>
          <w:color w:val="auto"/>
          <w:sz w:val="24"/>
        </w:rPr>
        <w:t>承包人提交工程结算审查资料的期限：</w:t>
      </w:r>
      <w:r>
        <w:rPr>
          <w:rFonts w:hint="eastAsia" w:ascii="宋体" w:hAnsi="宋体" w:cs="宋体"/>
          <w:color w:val="auto"/>
          <w:sz w:val="24"/>
          <w:u w:val="single"/>
        </w:rPr>
        <w:t>签发竣工验收合格证、工程移交甲方办理结束30天内由承包人向发包方提交工程结算申请及结算资料。</w:t>
      </w:r>
    </w:p>
    <w:p w14:paraId="3F75E130">
      <w:pPr>
        <w:tabs>
          <w:tab w:val="left" w:pos="8640"/>
        </w:tabs>
        <w:spacing w:line="440" w:lineRule="exact"/>
        <w:ind w:right="45" w:firstLine="480" w:firstLineChars="200"/>
        <w:rPr>
          <w:rFonts w:ascii="宋体" w:hAnsi="宋体" w:cs="宋体"/>
          <w:color w:val="auto"/>
          <w:sz w:val="24"/>
        </w:rPr>
      </w:pPr>
      <w:r>
        <w:rPr>
          <w:rFonts w:hint="eastAsia" w:ascii="宋体" w:hAnsi="宋体" w:cs="宋体"/>
          <w:color w:val="auto"/>
          <w:sz w:val="24"/>
        </w:rPr>
        <w:t>竣工结算资料应包括的内容：</w:t>
      </w:r>
      <w:r>
        <w:rPr>
          <w:rFonts w:hint="eastAsia" w:ascii="宋体" w:hAnsi="宋体" w:cs="宋体"/>
          <w:color w:val="auto"/>
          <w:sz w:val="24"/>
          <w:u w:val="single"/>
        </w:rPr>
        <w:t>主要包括合同、工程量计算书、结算书、变更设计通知单、签证单、竣工图）齐全后经监理初审、发包人审核后，必须经发包人审定后方可办理工程结算或竣工决算，最终结算以按审计部门的审计结果为准。</w:t>
      </w:r>
    </w:p>
    <w:p w14:paraId="284CBCF7">
      <w:pPr>
        <w:spacing w:line="440" w:lineRule="exact"/>
        <w:ind w:firstLine="480" w:firstLineChars="200"/>
        <w:rPr>
          <w:rFonts w:ascii="宋体" w:hAnsi="宋体" w:cs="宋体"/>
          <w:color w:val="auto"/>
          <w:sz w:val="24"/>
          <w:u w:val="single"/>
        </w:rPr>
      </w:pPr>
      <w:r>
        <w:rPr>
          <w:rFonts w:hint="eastAsia" w:ascii="宋体" w:hAnsi="宋体" w:cs="宋体"/>
          <w:color w:val="auto"/>
          <w:sz w:val="24"/>
          <w:u w:val="single"/>
        </w:rPr>
        <w:t>承包人送审造价核减（增）率超过5%的部分，由承包人支付超出部分评审费用，送审造价核减（增）率超过10%的工程造价评审费由承包人全额支付。承包人在发包人出具审核结果前，需足额支付应承担的评审费方可领取结算审核报告。</w:t>
      </w:r>
    </w:p>
    <w:p w14:paraId="22FA10FF">
      <w:pPr>
        <w:spacing w:line="440" w:lineRule="exact"/>
        <w:ind w:firstLine="480" w:firstLineChars="200"/>
        <w:rPr>
          <w:rFonts w:ascii="宋体" w:hAnsi="宋体" w:cs="宋体"/>
          <w:color w:val="auto"/>
          <w:kern w:val="0"/>
          <w:sz w:val="24"/>
          <w:u w:val="single"/>
        </w:rPr>
      </w:pPr>
      <w:r>
        <w:rPr>
          <w:rFonts w:hint="eastAsia" w:ascii="宋体" w:hAnsi="宋体" w:cs="宋体"/>
          <w:color w:val="auto"/>
          <w:sz w:val="24"/>
          <w:u w:val="single"/>
        </w:rPr>
        <w:t>项目用的水电由发包人提供，费用由承包人承担，在结算时予以扣除。</w:t>
      </w:r>
    </w:p>
    <w:p w14:paraId="6E6AC221">
      <w:pPr>
        <w:snapToGrid w:val="0"/>
        <w:spacing w:line="440" w:lineRule="exact"/>
        <w:rPr>
          <w:rFonts w:asciiTheme="minorEastAsia" w:hAnsiTheme="minorEastAsia" w:eastAsiaTheme="minorEastAsia" w:cstheme="minorEastAsia"/>
          <w:color w:val="auto"/>
          <w:sz w:val="24"/>
        </w:rPr>
      </w:pPr>
    </w:p>
    <w:p w14:paraId="10A64E5F">
      <w:pPr>
        <w:pStyle w:val="2"/>
        <w:jc w:val="center"/>
        <w:rPr>
          <w:color w:val="auto"/>
          <w:sz w:val="30"/>
          <w:szCs w:val="30"/>
        </w:rPr>
      </w:pPr>
    </w:p>
    <w:p w14:paraId="57195905">
      <w:pPr>
        <w:pStyle w:val="2"/>
        <w:jc w:val="center"/>
        <w:rPr>
          <w:color w:val="auto"/>
          <w:sz w:val="30"/>
          <w:szCs w:val="30"/>
        </w:rPr>
      </w:pPr>
    </w:p>
    <w:p w14:paraId="0278EBBD">
      <w:pPr>
        <w:pStyle w:val="2"/>
        <w:jc w:val="center"/>
        <w:rPr>
          <w:color w:val="auto"/>
          <w:sz w:val="30"/>
          <w:szCs w:val="30"/>
        </w:rPr>
      </w:pPr>
    </w:p>
    <w:p w14:paraId="73F859BE">
      <w:pPr>
        <w:pStyle w:val="2"/>
        <w:jc w:val="center"/>
        <w:rPr>
          <w:color w:val="auto"/>
          <w:sz w:val="30"/>
          <w:szCs w:val="30"/>
        </w:rPr>
      </w:pPr>
    </w:p>
    <w:p w14:paraId="1997D50D">
      <w:pPr>
        <w:pStyle w:val="2"/>
        <w:jc w:val="center"/>
        <w:rPr>
          <w:color w:val="auto"/>
          <w:sz w:val="30"/>
          <w:szCs w:val="30"/>
        </w:rPr>
      </w:pPr>
    </w:p>
    <w:p w14:paraId="70D5040C">
      <w:pPr>
        <w:pStyle w:val="2"/>
        <w:jc w:val="center"/>
        <w:rPr>
          <w:color w:val="auto"/>
          <w:sz w:val="30"/>
          <w:szCs w:val="30"/>
        </w:rPr>
      </w:pPr>
    </w:p>
    <w:p w14:paraId="370946A2">
      <w:pPr>
        <w:pStyle w:val="2"/>
        <w:jc w:val="center"/>
        <w:rPr>
          <w:color w:val="auto"/>
          <w:sz w:val="30"/>
          <w:szCs w:val="30"/>
        </w:rPr>
      </w:pPr>
    </w:p>
    <w:p w14:paraId="79E77B81">
      <w:pPr>
        <w:pStyle w:val="2"/>
        <w:jc w:val="center"/>
        <w:rPr>
          <w:color w:val="auto"/>
          <w:sz w:val="30"/>
          <w:szCs w:val="30"/>
        </w:rPr>
      </w:pPr>
    </w:p>
    <w:p w14:paraId="407A0F15">
      <w:pPr>
        <w:pStyle w:val="2"/>
        <w:jc w:val="center"/>
        <w:rPr>
          <w:color w:val="auto"/>
          <w:sz w:val="30"/>
          <w:szCs w:val="30"/>
        </w:rPr>
      </w:pPr>
    </w:p>
    <w:p w14:paraId="25A15EFD">
      <w:pPr>
        <w:pStyle w:val="2"/>
        <w:jc w:val="center"/>
        <w:rPr>
          <w:color w:val="auto"/>
          <w:sz w:val="30"/>
          <w:szCs w:val="30"/>
        </w:rPr>
      </w:pPr>
    </w:p>
    <w:p w14:paraId="3AC5D8E4">
      <w:pPr>
        <w:pStyle w:val="2"/>
        <w:ind w:left="0"/>
        <w:rPr>
          <w:color w:val="auto"/>
          <w:sz w:val="30"/>
          <w:szCs w:val="30"/>
        </w:rPr>
      </w:pPr>
    </w:p>
    <w:p w14:paraId="531E7985">
      <w:pPr>
        <w:pStyle w:val="2"/>
        <w:jc w:val="center"/>
        <w:rPr>
          <w:color w:val="auto"/>
          <w:sz w:val="30"/>
          <w:szCs w:val="30"/>
        </w:rPr>
      </w:pPr>
    </w:p>
    <w:p w14:paraId="5328C339">
      <w:pPr>
        <w:rPr>
          <w:color w:val="auto"/>
          <w:sz w:val="30"/>
          <w:szCs w:val="30"/>
        </w:rPr>
      </w:pPr>
    </w:p>
    <w:p w14:paraId="5DD64EBA">
      <w:pPr>
        <w:pStyle w:val="11"/>
        <w:ind w:left="1260"/>
        <w:rPr>
          <w:color w:val="auto"/>
          <w:sz w:val="30"/>
          <w:szCs w:val="30"/>
        </w:rPr>
      </w:pPr>
    </w:p>
    <w:p w14:paraId="01971A6E">
      <w:pPr>
        <w:rPr>
          <w:color w:val="auto"/>
          <w:sz w:val="30"/>
          <w:szCs w:val="30"/>
        </w:rPr>
      </w:pPr>
    </w:p>
    <w:p w14:paraId="1CDD8DCF">
      <w:pPr>
        <w:pStyle w:val="11"/>
        <w:ind w:left="1260"/>
        <w:rPr>
          <w:color w:val="auto"/>
          <w:sz w:val="30"/>
          <w:szCs w:val="30"/>
        </w:rPr>
      </w:pPr>
    </w:p>
    <w:p w14:paraId="7A95F93E">
      <w:pPr>
        <w:rPr>
          <w:color w:val="auto"/>
          <w:sz w:val="30"/>
          <w:szCs w:val="30"/>
        </w:rPr>
      </w:pPr>
    </w:p>
    <w:p w14:paraId="6687A9F5">
      <w:pPr>
        <w:pStyle w:val="11"/>
        <w:ind w:left="1260"/>
        <w:rPr>
          <w:color w:val="auto"/>
          <w:sz w:val="30"/>
          <w:szCs w:val="30"/>
        </w:rPr>
      </w:pPr>
    </w:p>
    <w:p w14:paraId="7D9009EC">
      <w:pPr>
        <w:rPr>
          <w:color w:val="auto"/>
          <w:sz w:val="30"/>
          <w:szCs w:val="30"/>
        </w:rPr>
      </w:pPr>
    </w:p>
    <w:p w14:paraId="4A3BE651">
      <w:pPr>
        <w:pStyle w:val="11"/>
        <w:ind w:left="0" w:leftChars="0"/>
        <w:rPr>
          <w:color w:val="auto"/>
        </w:rPr>
      </w:pPr>
    </w:p>
    <w:p w14:paraId="76FF7EE6">
      <w:pPr>
        <w:pStyle w:val="2"/>
        <w:jc w:val="center"/>
        <w:rPr>
          <w:color w:val="auto"/>
          <w:sz w:val="30"/>
          <w:szCs w:val="30"/>
        </w:rPr>
      </w:pPr>
      <w:r>
        <w:rPr>
          <w:rFonts w:hint="eastAsia"/>
          <w:color w:val="auto"/>
          <w:sz w:val="30"/>
          <w:szCs w:val="30"/>
        </w:rPr>
        <w:t>第四章  投标文件格式</w:t>
      </w:r>
    </w:p>
    <w:p w14:paraId="42B436B7">
      <w:pPr>
        <w:pStyle w:val="13"/>
        <w:spacing w:line="440" w:lineRule="exact"/>
        <w:ind w:firstLine="590" w:firstLineChars="196"/>
        <w:jc w:val="center"/>
        <w:rPr>
          <w:rFonts w:hAnsi="宋体" w:cs="宋体"/>
          <w:b/>
          <w:color w:val="auto"/>
          <w:sz w:val="30"/>
          <w:szCs w:val="30"/>
        </w:rPr>
      </w:pPr>
    </w:p>
    <w:p w14:paraId="16A3D962">
      <w:pPr>
        <w:pStyle w:val="13"/>
        <w:spacing w:line="440" w:lineRule="exact"/>
        <w:ind w:firstLine="590" w:firstLineChars="196"/>
        <w:jc w:val="center"/>
        <w:rPr>
          <w:rFonts w:hAnsi="宋体" w:cs="宋体"/>
          <w:b/>
          <w:color w:val="auto"/>
          <w:sz w:val="30"/>
          <w:szCs w:val="30"/>
        </w:rPr>
      </w:pPr>
      <w:r>
        <w:rPr>
          <w:rFonts w:hint="eastAsia" w:hAnsi="宋体" w:cs="宋体"/>
          <w:b/>
          <w:color w:val="auto"/>
          <w:sz w:val="30"/>
          <w:szCs w:val="30"/>
        </w:rPr>
        <w:t>（一）法人授权委托书（格式）</w:t>
      </w:r>
    </w:p>
    <w:p w14:paraId="26D74258">
      <w:pPr>
        <w:spacing w:line="440" w:lineRule="exact"/>
        <w:jc w:val="left"/>
        <w:rPr>
          <w:rFonts w:ascii="宋体" w:hAnsi="宋体" w:cs="宋体"/>
          <w:color w:val="auto"/>
          <w:sz w:val="20"/>
        </w:rPr>
      </w:pPr>
    </w:p>
    <w:p w14:paraId="2B18F739">
      <w:pPr>
        <w:spacing w:line="50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77D10398">
      <w:pPr>
        <w:spacing w:line="500" w:lineRule="exact"/>
        <w:ind w:firstLine="420"/>
        <w:jc w:val="left"/>
        <w:rPr>
          <w:rFonts w:ascii="宋体" w:hAnsi="宋体" w:cs="宋体"/>
          <w:color w:val="auto"/>
          <w:sz w:val="24"/>
        </w:rPr>
      </w:pPr>
      <w:r>
        <w:rPr>
          <w:rFonts w:hint="eastAsia" w:ascii="宋体" w:hAnsi="宋体" w:cs="宋体"/>
          <w:color w:val="auto"/>
          <w:sz w:val="24"/>
        </w:rPr>
        <w:t>我（姓名）系（供应商名称）的法定代表人（负责人），现授权委托本单位在职职工（姓名）以我方名义参加</w:t>
      </w:r>
      <w:r>
        <w:rPr>
          <w:rFonts w:hint="eastAsia" w:ascii="宋体" w:hAnsi="宋体" w:cs="宋体"/>
          <w:color w:val="auto"/>
          <w:sz w:val="24"/>
          <w:u w:val="single"/>
        </w:rPr>
        <w:t xml:space="preserve">      （项目名称及项目编号）        </w:t>
      </w:r>
      <w:r>
        <w:rPr>
          <w:rFonts w:hint="eastAsia" w:ascii="宋体" w:hAnsi="宋体" w:cs="宋体"/>
          <w:color w:val="auto"/>
          <w:sz w:val="24"/>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662C64A7">
      <w:pPr>
        <w:spacing w:line="500" w:lineRule="exact"/>
        <w:ind w:firstLine="420"/>
        <w:jc w:val="left"/>
        <w:rPr>
          <w:rFonts w:ascii="宋体" w:hAnsi="宋体" w:cs="宋体"/>
          <w:color w:val="auto"/>
          <w:sz w:val="24"/>
          <w:u w:val="single"/>
        </w:rPr>
      </w:pPr>
      <w:r>
        <w:rPr>
          <w:rFonts w:hint="eastAsia" w:ascii="宋体" w:hAnsi="宋体" w:cs="宋体"/>
          <w:color w:val="auto"/>
          <w:sz w:val="24"/>
        </w:rPr>
        <w:t>授权委托代理期限：从  年  月  日起至     年  月 日止。</w:t>
      </w:r>
    </w:p>
    <w:p w14:paraId="501E3D93">
      <w:pPr>
        <w:spacing w:line="440" w:lineRule="exact"/>
        <w:jc w:val="left"/>
        <w:rPr>
          <w:rFonts w:ascii="宋体" w:hAnsi="宋体" w:cs="宋体"/>
          <w:color w:val="auto"/>
          <w:sz w:val="24"/>
          <w:u w:val="single"/>
        </w:rPr>
      </w:pPr>
    </w:p>
    <w:p w14:paraId="332D0140">
      <w:pPr>
        <w:spacing w:line="440" w:lineRule="exact"/>
        <w:ind w:firstLine="420"/>
        <w:jc w:val="left"/>
        <w:rPr>
          <w:rFonts w:ascii="宋体" w:hAnsi="宋体" w:cs="宋体"/>
          <w:color w:val="auto"/>
          <w:sz w:val="24"/>
        </w:rPr>
      </w:pPr>
      <w:r>
        <w:rPr>
          <w:rFonts w:hint="eastAsia" w:ascii="宋体" w:hAnsi="宋体" w:cs="宋体"/>
          <w:color w:val="auto"/>
          <w:sz w:val="24"/>
        </w:rPr>
        <w:t xml:space="preserve">代理人无转委托权,特此委托。 </w:t>
      </w:r>
    </w:p>
    <w:p w14:paraId="6095CDB6">
      <w:pPr>
        <w:snapToGrid w:val="0"/>
        <w:spacing w:line="440" w:lineRule="exact"/>
        <w:ind w:firstLine="525"/>
        <w:jc w:val="left"/>
        <w:rPr>
          <w:rFonts w:ascii="宋体" w:hAnsi="宋体" w:cs="宋体"/>
          <w:color w:val="auto"/>
          <w:sz w:val="24"/>
        </w:rPr>
      </w:pPr>
    </w:p>
    <w:p w14:paraId="6E01BAAC">
      <w:pPr>
        <w:snapToGrid w:val="0"/>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5363467A">
      <w:pPr>
        <w:snapToGrid w:val="0"/>
        <w:spacing w:line="440" w:lineRule="exact"/>
        <w:ind w:firstLine="420"/>
        <w:jc w:val="left"/>
        <w:rPr>
          <w:rFonts w:ascii="宋体" w:hAnsi="宋体" w:cs="宋体"/>
          <w:color w:val="auto"/>
          <w:sz w:val="24"/>
        </w:rPr>
      </w:pPr>
    </w:p>
    <w:p w14:paraId="2293A90A">
      <w:pPr>
        <w:snapToGrid w:val="0"/>
        <w:spacing w:line="440" w:lineRule="exact"/>
        <w:ind w:firstLine="420"/>
        <w:jc w:val="left"/>
        <w:rPr>
          <w:rFonts w:ascii="宋体" w:hAnsi="宋体" w:cs="宋体"/>
          <w:color w:val="auto"/>
          <w:sz w:val="24"/>
        </w:rPr>
      </w:pPr>
    </w:p>
    <w:p w14:paraId="15C89BA2">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4C0755C4">
      <w:pPr>
        <w:snapToGrid w:val="0"/>
        <w:spacing w:line="440" w:lineRule="exact"/>
        <w:ind w:firstLine="420"/>
        <w:jc w:val="left"/>
        <w:rPr>
          <w:rFonts w:ascii="宋体" w:hAnsi="宋体" w:cs="宋体"/>
          <w:color w:val="auto"/>
          <w:sz w:val="24"/>
        </w:rPr>
      </w:pPr>
    </w:p>
    <w:p w14:paraId="507217B8">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4404CDAD">
      <w:pPr>
        <w:snapToGrid w:val="0"/>
        <w:spacing w:line="440" w:lineRule="exact"/>
        <w:ind w:firstLine="480" w:firstLineChars="200"/>
        <w:jc w:val="left"/>
        <w:rPr>
          <w:rFonts w:ascii="宋体" w:hAnsi="宋体" w:cs="宋体"/>
          <w:color w:val="auto"/>
          <w:sz w:val="24"/>
        </w:rPr>
      </w:pPr>
    </w:p>
    <w:p w14:paraId="07534BE7">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21939F88">
      <w:pPr>
        <w:pStyle w:val="3"/>
        <w:spacing w:line="400" w:lineRule="exact"/>
        <w:jc w:val="center"/>
        <w:rPr>
          <w:rFonts w:ascii="宋体" w:hAnsi="宋体" w:eastAsia="宋体" w:cs="宋体"/>
          <w:color w:val="auto"/>
          <w:sz w:val="28"/>
          <w:szCs w:val="28"/>
        </w:rPr>
      </w:pPr>
      <w:r>
        <w:rPr>
          <w:rFonts w:hint="eastAsia" w:ascii="宋体" w:hAnsi="宋体" w:cs="宋体"/>
          <w:color w:val="auto"/>
          <w:sz w:val="24"/>
        </w:rPr>
        <w:br w:type="page"/>
      </w:r>
      <w:r>
        <w:rPr>
          <w:rFonts w:hint="eastAsia" w:ascii="宋体" w:hAnsi="宋体" w:eastAsia="宋体" w:cs="宋体"/>
          <w:bCs/>
          <w:color w:val="auto"/>
          <w:sz w:val="28"/>
          <w:szCs w:val="28"/>
        </w:rPr>
        <w:t>（二）响应函及响应函附录</w:t>
      </w:r>
    </w:p>
    <w:p w14:paraId="375BEA3E">
      <w:pPr>
        <w:spacing w:line="400" w:lineRule="exact"/>
        <w:jc w:val="center"/>
        <w:rPr>
          <w:rFonts w:ascii="宋体" w:hAnsi="宋体" w:cs="宋体"/>
          <w:b/>
          <w:color w:val="auto"/>
          <w:kern w:val="0"/>
          <w:sz w:val="28"/>
          <w:szCs w:val="28"/>
        </w:rPr>
      </w:pPr>
      <w:r>
        <w:rPr>
          <w:rFonts w:hint="eastAsia" w:ascii="宋体" w:hAnsi="宋体" w:cs="宋体"/>
          <w:b/>
          <w:color w:val="auto"/>
          <w:kern w:val="0"/>
          <w:sz w:val="28"/>
          <w:szCs w:val="28"/>
        </w:rPr>
        <w:t>响应函</w:t>
      </w:r>
    </w:p>
    <w:p w14:paraId="5C360B16">
      <w:pPr>
        <w:spacing w:line="460" w:lineRule="exact"/>
        <w:rPr>
          <w:rFonts w:ascii="宋体" w:hAnsi="宋体" w:cs="宋体"/>
          <w:color w:val="auto"/>
          <w:kern w:val="0"/>
          <w:sz w:val="24"/>
          <w:u w:val="single"/>
        </w:rPr>
      </w:pPr>
    </w:p>
    <w:p w14:paraId="20543E89">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AEFC4B1">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1.根据你方项目编号为</w:t>
      </w:r>
      <w:r>
        <w:rPr>
          <w:rFonts w:hint="eastAsia" w:ascii="宋体" w:hAnsi="宋体" w:cs="宋体"/>
          <w:color w:val="auto"/>
          <w:sz w:val="24"/>
          <w:u w:val="single"/>
        </w:rPr>
        <w:t xml:space="preserve">           （ 项目编号）  </w:t>
      </w:r>
      <w:r>
        <w:rPr>
          <w:rFonts w:hint="eastAsia" w:ascii="宋体" w:hAnsi="宋体" w:cs="宋体"/>
          <w:color w:val="auto"/>
          <w:sz w:val="24"/>
        </w:rPr>
        <w:t>的</w:t>
      </w:r>
      <w:r>
        <w:rPr>
          <w:rFonts w:hint="eastAsia" w:ascii="宋体" w:hAnsi="宋体" w:cs="宋体"/>
          <w:color w:val="auto"/>
          <w:sz w:val="24"/>
          <w:u w:val="single"/>
        </w:rPr>
        <w:t xml:space="preserve">       （工程项目名称）</w:t>
      </w:r>
      <w:r>
        <w:rPr>
          <w:rFonts w:hint="eastAsia" w:ascii="宋体" w:hAnsi="宋体" w:cs="宋体"/>
          <w:color w:val="auto"/>
          <w:sz w:val="24"/>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元)（其中：投标报价（大写）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元)、安全文明施工费¥</w:t>
      </w:r>
      <w:r>
        <w:rPr>
          <w:rFonts w:hint="eastAsia" w:ascii="宋体" w:hAnsi="宋体" w:cs="宋体"/>
          <w:color w:val="auto"/>
          <w:sz w:val="24"/>
          <w:u w:val="single"/>
        </w:rPr>
        <w:t xml:space="preserve">       </w:t>
      </w:r>
      <w:r>
        <w:rPr>
          <w:rFonts w:hint="eastAsia" w:ascii="宋体" w:hAnsi="宋体" w:cs="宋体"/>
          <w:color w:val="auto"/>
          <w:sz w:val="24"/>
        </w:rPr>
        <w:t>元、规费¥</w:t>
      </w:r>
      <w:r>
        <w:rPr>
          <w:rFonts w:hint="eastAsia" w:ascii="宋体" w:hAnsi="宋体" w:cs="宋体"/>
          <w:color w:val="auto"/>
          <w:sz w:val="24"/>
          <w:u w:val="single"/>
        </w:rPr>
        <w:t xml:space="preserve">      </w:t>
      </w:r>
      <w:r>
        <w:rPr>
          <w:rFonts w:hint="eastAsia" w:ascii="宋体" w:hAnsi="宋体" w:cs="宋体"/>
          <w:color w:val="auto"/>
          <w:sz w:val="24"/>
        </w:rPr>
        <w:t>元、</w:t>
      </w:r>
      <w:bookmarkStart w:id="2" w:name="OLE_LINK2"/>
      <w:r>
        <w:rPr>
          <w:rFonts w:hint="eastAsia" w:ascii="宋体" w:hAnsi="宋体" w:cs="宋体"/>
          <w:color w:val="auto"/>
          <w:sz w:val="24"/>
        </w:rPr>
        <w:t>增值税¥</w:t>
      </w:r>
      <w:r>
        <w:rPr>
          <w:rFonts w:hint="eastAsia" w:ascii="宋体" w:hAnsi="宋体" w:cs="宋体"/>
          <w:color w:val="auto"/>
          <w:sz w:val="24"/>
          <w:u w:val="single"/>
        </w:rPr>
        <w:t xml:space="preserve">     </w:t>
      </w:r>
      <w:r>
        <w:rPr>
          <w:rFonts w:hint="eastAsia" w:ascii="宋体" w:hAnsi="宋体" w:cs="宋体"/>
          <w:color w:val="auto"/>
          <w:sz w:val="24"/>
        </w:rPr>
        <w:t>元</w:t>
      </w:r>
      <w:bookmarkEnd w:id="2"/>
      <w:r>
        <w:rPr>
          <w:rFonts w:hint="eastAsia" w:ascii="宋体" w:hAnsi="宋体" w:cs="宋体"/>
          <w:color w:val="auto"/>
          <w:sz w:val="24"/>
        </w:rPr>
        <w:t>、暂列金额</w:t>
      </w:r>
      <w:r>
        <w:rPr>
          <w:rFonts w:hint="eastAsia" w:ascii="宋体" w:hAnsi="宋体" w:cs="宋体"/>
          <w:color w:val="auto"/>
          <w:sz w:val="24"/>
          <w:u w:val="single"/>
        </w:rPr>
        <w:t xml:space="preserve">      </w:t>
      </w:r>
      <w:r>
        <w:rPr>
          <w:rFonts w:hint="eastAsia" w:ascii="宋体" w:hAnsi="宋体" w:cs="宋体"/>
          <w:color w:val="auto"/>
          <w:sz w:val="24"/>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u w:val="single"/>
        </w:rPr>
        <w:t xml:space="preserve">       </w:t>
      </w:r>
      <w:r>
        <w:rPr>
          <w:rFonts w:hint="eastAsia" w:ascii="宋体" w:hAnsi="宋体" w:cs="宋体"/>
          <w:color w:val="auto"/>
          <w:sz w:val="24"/>
        </w:rPr>
        <w:t>等级。</w:t>
      </w:r>
    </w:p>
    <w:p w14:paraId="3B59999C">
      <w:pPr>
        <w:spacing w:line="440" w:lineRule="exact"/>
        <w:ind w:firstLine="442"/>
        <w:rPr>
          <w:rFonts w:ascii="宋体" w:hAnsi="宋体" w:cs="宋体"/>
          <w:color w:val="auto"/>
          <w:sz w:val="24"/>
        </w:rPr>
      </w:pPr>
      <w:r>
        <w:rPr>
          <w:rFonts w:hint="eastAsia" w:ascii="宋体" w:hAnsi="宋体" w:cs="宋体"/>
          <w:color w:val="auto"/>
          <w:sz w:val="24"/>
        </w:rPr>
        <w:t>2.我方已详细审核全部议价文件，包括修改文件（如有时）及有关附件。</w:t>
      </w:r>
    </w:p>
    <w:p w14:paraId="7766D14E">
      <w:pPr>
        <w:spacing w:line="440" w:lineRule="exact"/>
        <w:ind w:firstLine="442"/>
        <w:rPr>
          <w:rFonts w:ascii="宋体" w:hAnsi="宋体" w:cs="宋体"/>
          <w:color w:val="auto"/>
          <w:sz w:val="24"/>
        </w:rPr>
      </w:pPr>
      <w:r>
        <w:rPr>
          <w:rFonts w:hint="eastAsia" w:ascii="宋体" w:hAnsi="宋体" w:cs="宋体"/>
          <w:color w:val="auto"/>
          <w:sz w:val="24"/>
        </w:rPr>
        <w:t>3.我方承认响应函附录是我方响应函的组成部分。</w:t>
      </w:r>
    </w:p>
    <w:p w14:paraId="3E78A329">
      <w:pPr>
        <w:spacing w:line="440" w:lineRule="exact"/>
        <w:ind w:firstLine="480" w:firstLineChars="200"/>
        <w:rPr>
          <w:rFonts w:ascii="宋体" w:hAnsi="宋体" w:cs="宋体"/>
          <w:color w:val="auto"/>
          <w:sz w:val="24"/>
        </w:rPr>
      </w:pPr>
      <w:r>
        <w:rPr>
          <w:rFonts w:hint="eastAsia" w:ascii="宋体" w:hAnsi="宋体" w:cs="宋体"/>
          <w:color w:val="auto"/>
          <w:sz w:val="24"/>
        </w:rPr>
        <w:t>4.一旦我方中标，我方保证在</w:t>
      </w:r>
      <w:r>
        <w:rPr>
          <w:rFonts w:hint="eastAsia" w:ascii="宋体" w:hAnsi="宋体" w:cs="宋体"/>
          <w:color w:val="auto"/>
          <w:sz w:val="24"/>
          <w:u w:val="single"/>
        </w:rPr>
        <w:t xml:space="preserve">    </w:t>
      </w:r>
      <w:r>
        <w:rPr>
          <w:rFonts w:hint="eastAsia" w:ascii="宋体" w:hAnsi="宋体" w:cs="宋体"/>
          <w:color w:val="auto"/>
          <w:sz w:val="24"/>
        </w:rPr>
        <w:t>天（日历天）内竣工并移交整个工程。</w:t>
      </w:r>
    </w:p>
    <w:p w14:paraId="35181F42">
      <w:pPr>
        <w:spacing w:line="440" w:lineRule="exact"/>
        <w:ind w:firstLine="480" w:firstLineChars="200"/>
        <w:rPr>
          <w:rFonts w:ascii="宋体" w:hAnsi="宋体" w:cs="宋体"/>
          <w:color w:val="auto"/>
          <w:kern w:val="0"/>
          <w:sz w:val="24"/>
          <w:u w:val="single"/>
        </w:rPr>
      </w:pPr>
      <w:r>
        <w:rPr>
          <w:rFonts w:hint="eastAsia" w:ascii="宋体" w:hAnsi="宋体" w:cs="宋体"/>
          <w:color w:val="auto"/>
          <w:sz w:val="24"/>
        </w:rPr>
        <w:t>项目经理:</w:t>
      </w:r>
      <w:r>
        <w:rPr>
          <w:rFonts w:hint="eastAsia" w:ascii="宋体" w:hAnsi="宋体" w:cs="宋体"/>
          <w:color w:val="auto"/>
          <w:sz w:val="24"/>
          <w:u w:val="single"/>
        </w:rPr>
        <w:t xml:space="preserve">      </w:t>
      </w:r>
      <w:r>
        <w:rPr>
          <w:rFonts w:hint="eastAsia" w:ascii="宋体" w:hAnsi="宋体" w:cs="宋体"/>
          <w:color w:val="auto"/>
          <w:sz w:val="24"/>
        </w:rPr>
        <w:t>技术负责人：</w:t>
      </w:r>
      <w:r>
        <w:rPr>
          <w:rFonts w:hint="eastAsia" w:ascii="宋体" w:hAnsi="宋体" w:cs="宋体"/>
          <w:color w:val="auto"/>
          <w:sz w:val="24"/>
          <w:u w:val="single"/>
        </w:rPr>
        <w:t xml:space="preserve">     </w:t>
      </w:r>
      <w:r>
        <w:rPr>
          <w:rFonts w:hint="eastAsia" w:ascii="宋体" w:hAnsi="宋体" w:cs="宋体"/>
          <w:color w:val="auto"/>
          <w:sz w:val="24"/>
        </w:rPr>
        <w:t>施工员：</w:t>
      </w:r>
      <w:r>
        <w:rPr>
          <w:rFonts w:hint="eastAsia" w:ascii="宋体" w:hAnsi="宋体" w:cs="宋体"/>
          <w:color w:val="auto"/>
          <w:sz w:val="24"/>
          <w:u w:val="single"/>
        </w:rPr>
        <w:t xml:space="preserve">     </w:t>
      </w:r>
      <w:r>
        <w:rPr>
          <w:rFonts w:hint="eastAsia" w:ascii="宋体" w:hAnsi="宋体" w:cs="宋体"/>
          <w:color w:val="auto"/>
          <w:sz w:val="24"/>
        </w:rPr>
        <w:t>安全员：</w:t>
      </w:r>
      <w:r>
        <w:rPr>
          <w:rFonts w:hint="eastAsia" w:ascii="宋体" w:hAnsi="宋体" w:cs="宋体"/>
          <w:color w:val="auto"/>
          <w:sz w:val="24"/>
          <w:u w:val="single"/>
        </w:rPr>
        <w:t xml:space="preserve">       </w:t>
      </w:r>
      <w:r>
        <w:rPr>
          <w:rFonts w:hint="eastAsia" w:ascii="宋体" w:hAnsi="宋体" w:cs="宋体"/>
          <w:color w:val="auto"/>
          <w:sz w:val="24"/>
        </w:rPr>
        <w:t>质量员：</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973E5C3">
      <w:pPr>
        <w:spacing w:line="440" w:lineRule="exact"/>
        <w:ind w:firstLine="442"/>
        <w:rPr>
          <w:rFonts w:ascii="宋体" w:hAnsi="宋体" w:cs="宋体"/>
          <w:color w:val="auto"/>
          <w:sz w:val="24"/>
        </w:rPr>
      </w:pPr>
      <w:r>
        <w:rPr>
          <w:rFonts w:hint="eastAsia" w:ascii="宋体" w:hAnsi="宋体" w:cs="宋体"/>
          <w:color w:val="auto"/>
          <w:sz w:val="24"/>
        </w:rPr>
        <w:t>5.如果我方中标，我方将按照文件规定提交安全风险金（履约保证金）作为履约担保。</w:t>
      </w:r>
    </w:p>
    <w:p w14:paraId="6E427248">
      <w:pPr>
        <w:spacing w:line="440" w:lineRule="exact"/>
        <w:ind w:firstLine="442"/>
        <w:rPr>
          <w:rFonts w:ascii="宋体" w:hAnsi="宋体" w:cs="宋体"/>
          <w:color w:val="auto"/>
          <w:sz w:val="24"/>
        </w:rPr>
      </w:pPr>
      <w:r>
        <w:rPr>
          <w:rFonts w:hint="eastAsia" w:ascii="宋体" w:hAnsi="宋体" w:cs="宋体"/>
          <w:color w:val="auto"/>
          <w:sz w:val="24"/>
        </w:rPr>
        <w:t>6.我方同意所提交的报价文件在议价文件的供应商响应有效期内有效，在此期间内如果中标，我方将受此约束。</w:t>
      </w:r>
    </w:p>
    <w:p w14:paraId="06272B85">
      <w:pPr>
        <w:spacing w:line="440" w:lineRule="exact"/>
        <w:ind w:firstLine="442"/>
        <w:rPr>
          <w:rFonts w:ascii="宋体" w:hAnsi="宋体" w:cs="宋体"/>
          <w:color w:val="auto"/>
          <w:sz w:val="24"/>
        </w:rPr>
      </w:pPr>
      <w:r>
        <w:rPr>
          <w:rFonts w:hint="eastAsia" w:ascii="宋体" w:hAnsi="宋体" w:cs="宋体"/>
          <w:color w:val="auto"/>
          <w:sz w:val="24"/>
        </w:rPr>
        <w:t>7.除非另外达成协议并生效，你方的成交通知书和本议价文件将成为约束双方的合同文件的组成部分。</w:t>
      </w:r>
    </w:p>
    <w:p w14:paraId="27BD4E6E">
      <w:pPr>
        <w:spacing w:line="440" w:lineRule="exact"/>
        <w:rPr>
          <w:rFonts w:ascii="宋体" w:hAnsi="宋体" w:cs="宋体"/>
          <w:color w:val="auto"/>
          <w:kern w:val="0"/>
          <w:sz w:val="24"/>
        </w:rPr>
      </w:pPr>
    </w:p>
    <w:p w14:paraId="2476A5E2">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76C693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3B101C78">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7420FEB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30D955A7">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1CB7BC1D">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4FB87336">
      <w:pPr>
        <w:rPr>
          <w:rFonts w:ascii="黑体" w:hAnsi="黑体" w:eastAsia="黑体" w:cs="黑体"/>
          <w:b/>
          <w:color w:val="auto"/>
          <w:kern w:val="0"/>
          <w:sz w:val="28"/>
          <w:szCs w:val="28"/>
        </w:rPr>
      </w:pPr>
    </w:p>
    <w:p w14:paraId="7228ADD0">
      <w:pPr>
        <w:jc w:val="center"/>
        <w:rPr>
          <w:rFonts w:ascii="宋体" w:hAnsi="宋体" w:cs="宋体"/>
          <w:b/>
          <w:color w:val="auto"/>
          <w:kern w:val="0"/>
          <w:sz w:val="28"/>
          <w:szCs w:val="28"/>
        </w:rPr>
      </w:pPr>
    </w:p>
    <w:p w14:paraId="1DA1048B">
      <w:pPr>
        <w:jc w:val="center"/>
        <w:rPr>
          <w:rFonts w:ascii="宋体" w:hAnsi="宋体" w:cs="宋体"/>
          <w:b/>
          <w:color w:val="auto"/>
          <w:kern w:val="0"/>
          <w:sz w:val="28"/>
          <w:szCs w:val="28"/>
        </w:rPr>
      </w:pPr>
    </w:p>
    <w:p w14:paraId="45380543">
      <w:pPr>
        <w:jc w:val="center"/>
        <w:rPr>
          <w:rFonts w:ascii="宋体" w:hAnsi="宋体" w:cs="宋体"/>
          <w:b/>
          <w:color w:val="auto"/>
          <w:kern w:val="0"/>
          <w:sz w:val="28"/>
          <w:szCs w:val="28"/>
        </w:rPr>
      </w:pPr>
    </w:p>
    <w:p w14:paraId="112EC118">
      <w:pPr>
        <w:jc w:val="center"/>
        <w:rPr>
          <w:rFonts w:ascii="宋体" w:hAnsi="宋体" w:cs="宋体"/>
          <w:b/>
          <w:color w:val="auto"/>
          <w:kern w:val="0"/>
          <w:sz w:val="28"/>
          <w:szCs w:val="28"/>
        </w:rPr>
      </w:pPr>
      <w:r>
        <w:rPr>
          <w:rFonts w:hint="eastAsia" w:ascii="宋体" w:hAnsi="宋体" w:cs="宋体"/>
          <w:b/>
          <w:color w:val="auto"/>
          <w:kern w:val="0"/>
          <w:sz w:val="28"/>
          <w:szCs w:val="28"/>
        </w:rPr>
        <w:t>响应函附录</w:t>
      </w:r>
    </w:p>
    <w:p w14:paraId="49B282D2">
      <w:pPr>
        <w:pStyle w:val="16"/>
        <w:rPr>
          <w:rFonts w:ascii="黑体" w:hAnsi="黑体" w:eastAsia="黑体" w:cs="黑体"/>
          <w:b/>
          <w:color w:val="auto"/>
          <w:kern w:val="0"/>
          <w:szCs w:val="28"/>
        </w:rPr>
      </w:pPr>
    </w:p>
    <w:p w14:paraId="6051889B">
      <w:pPr>
        <w:pStyle w:val="17"/>
        <w:rPr>
          <w:color w:val="auto"/>
        </w:rPr>
      </w:pP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rPr>
            </w:pPr>
            <w:r>
              <w:rPr>
                <w:rFonts w:hint="eastAsia" w:ascii="宋体" w:hAnsi="宋体" w:cs="宋体"/>
                <w:color w:val="auto"/>
                <w:sz w:val="24"/>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rPr>
            </w:pPr>
            <w:r>
              <w:rPr>
                <w:rFonts w:hint="eastAsia" w:ascii="宋体" w:hAnsi="宋体" w:cs="宋体"/>
                <w:color w:val="auto"/>
                <w:sz w:val="24"/>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rPr>
            </w:pPr>
            <w:r>
              <w:rPr>
                <w:rFonts w:hint="eastAsia" w:ascii="宋体" w:hAnsi="宋体" w:cs="宋体"/>
                <w:color w:val="auto"/>
                <w:sz w:val="24"/>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rPr>
            </w:pPr>
            <w:r>
              <w:rPr>
                <w:rFonts w:hint="eastAsia" w:ascii="宋体" w:hAnsi="宋体" w:cs="宋体"/>
                <w:color w:val="auto"/>
                <w:sz w:val="24"/>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rPr>
            </w:pPr>
            <w:r>
              <w:rPr>
                <w:rFonts w:hint="eastAsia" w:ascii="宋体" w:hAnsi="宋体" w:cs="宋体"/>
                <w:color w:val="auto"/>
                <w:sz w:val="24"/>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rPr>
            </w:pPr>
            <w:r>
              <w:rPr>
                <w:rFonts w:hint="eastAsia" w:ascii="宋体" w:hAnsi="宋体" w:cs="宋体"/>
                <w:color w:val="auto"/>
                <w:sz w:val="24"/>
              </w:rPr>
              <w:t>项目经理姓名：</w:t>
            </w:r>
          </w:p>
          <w:p w14:paraId="02F3CE73">
            <w:pPr>
              <w:rPr>
                <w:rFonts w:ascii="宋体" w:hAnsi="宋体" w:cs="宋体"/>
                <w:color w:val="auto"/>
                <w:sz w:val="24"/>
              </w:rPr>
            </w:pPr>
            <w:r>
              <w:rPr>
                <w:rFonts w:hint="eastAsia" w:ascii="宋体" w:hAnsi="宋体" w:cs="宋体"/>
                <w:color w:val="auto"/>
                <w:sz w:val="24"/>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rPr>
            </w:pPr>
            <w:r>
              <w:rPr>
                <w:rFonts w:hint="eastAsia" w:ascii="宋体" w:hAnsi="宋体" w:cs="宋体"/>
                <w:color w:val="auto"/>
                <w:sz w:val="24"/>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rPr>
            </w:pPr>
            <w:r>
              <w:rPr>
                <w:rFonts w:hint="eastAsia" w:ascii="宋体" w:hAnsi="宋体" w:cs="宋体"/>
                <w:color w:val="auto"/>
                <w:sz w:val="24"/>
              </w:rPr>
              <w:t>工期：</w:t>
            </w:r>
            <w:r>
              <w:rPr>
                <w:rFonts w:hint="eastAsia" w:ascii="宋体" w:hAnsi="宋体" w:cs="宋体"/>
                <w:color w:val="auto"/>
                <w:sz w:val="24"/>
                <w:u w:val="single"/>
              </w:rPr>
              <w:t xml:space="preserve">         </w:t>
            </w:r>
            <w:r>
              <w:rPr>
                <w:rFonts w:hint="eastAsia" w:ascii="宋体" w:hAnsi="宋体" w:cs="宋体"/>
                <w:color w:val="auto"/>
                <w:sz w:val="24"/>
              </w:rPr>
              <w:t>天（日历</w:t>
            </w:r>
            <w:r>
              <w:rPr>
                <w:rFonts w:hint="eastAsia" w:ascii="宋体" w:hAnsi="宋体" w:cs="宋体"/>
                <w:color w:val="auto"/>
                <w:sz w:val="24"/>
                <w:lang w:val="en-US" w:eastAsia="zh-CN"/>
              </w:rPr>
              <w:t>日</w:t>
            </w:r>
            <w:r>
              <w:rPr>
                <w:rFonts w:hint="eastAsia" w:ascii="宋体" w:hAnsi="宋体" w:cs="宋体"/>
                <w:color w:val="auto"/>
                <w:sz w:val="24"/>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rPr>
            </w:pPr>
            <w:r>
              <w:rPr>
                <w:rFonts w:hint="eastAsia" w:ascii="宋体" w:hAnsi="宋体" w:cs="宋体"/>
                <w:color w:val="auto"/>
                <w:sz w:val="24"/>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rPr>
            </w:pPr>
            <w:r>
              <w:rPr>
                <w:rFonts w:hint="eastAsia" w:ascii="宋体" w:hAnsi="宋体" w:cs="宋体"/>
                <w:color w:val="auto"/>
                <w:sz w:val="24"/>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rPr>
            </w:pPr>
            <w:r>
              <w:rPr>
                <w:rFonts w:hint="eastAsia" w:ascii="宋体" w:hAnsi="宋体" w:cs="宋体"/>
                <w:color w:val="auto"/>
                <w:sz w:val="24"/>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rPr>
            </w:pPr>
            <w:r>
              <w:rPr>
                <w:rFonts w:hint="eastAsia" w:ascii="宋体" w:hAnsi="宋体" w:cs="宋体"/>
                <w:color w:val="auto"/>
                <w:sz w:val="24"/>
              </w:rPr>
              <w:t>其    他：</w:t>
            </w:r>
          </w:p>
        </w:tc>
      </w:tr>
    </w:tbl>
    <w:p w14:paraId="0867361A">
      <w:pPr>
        <w:spacing w:line="480" w:lineRule="exact"/>
        <w:rPr>
          <w:rFonts w:ascii="宋体" w:hAnsi="宋体" w:cs="宋体"/>
          <w:color w:val="auto"/>
          <w:sz w:val="24"/>
        </w:rPr>
      </w:pPr>
    </w:p>
    <w:p w14:paraId="7A934B60">
      <w:pPr>
        <w:spacing w:line="360" w:lineRule="auto"/>
        <w:jc w:val="center"/>
        <w:rPr>
          <w:rFonts w:ascii="宋体" w:hAnsi="宋体" w:cs="宋体"/>
          <w:color w:val="auto"/>
          <w:sz w:val="24"/>
        </w:rPr>
      </w:pPr>
      <w:r>
        <w:rPr>
          <w:rFonts w:hint="eastAsia" w:ascii="宋体" w:hAnsi="宋体" w:cs="宋体"/>
          <w:color w:val="auto"/>
          <w:sz w:val="24"/>
        </w:rPr>
        <w:t xml:space="preserve">                     供应商：                      （盖章）</w:t>
      </w:r>
    </w:p>
    <w:p w14:paraId="7FBF8A19">
      <w:pPr>
        <w:spacing w:line="360" w:lineRule="auto"/>
        <w:jc w:val="center"/>
        <w:rPr>
          <w:rFonts w:ascii="宋体" w:hAnsi="宋体" w:cs="宋体"/>
          <w:color w:val="auto"/>
          <w:sz w:val="24"/>
        </w:rPr>
      </w:pPr>
      <w:r>
        <w:rPr>
          <w:rFonts w:hint="eastAsia" w:ascii="宋体" w:hAnsi="宋体" w:cs="宋体"/>
          <w:color w:val="auto"/>
          <w:sz w:val="24"/>
        </w:rPr>
        <w:t xml:space="preserve">                              法定代表人或其委托代理人：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（签字或盖章）</w:t>
      </w:r>
    </w:p>
    <w:p w14:paraId="7221D465">
      <w:pPr>
        <w:spacing w:line="360" w:lineRule="auto"/>
        <w:jc w:val="right"/>
        <w:rPr>
          <w:rFonts w:ascii="黑体" w:hAnsi="黑体" w:eastAsia="黑体" w:cs="黑体"/>
          <w:color w:val="auto"/>
          <w:sz w:val="32"/>
        </w:rPr>
        <w:sectPr>
          <w:footerReference r:id="rId4" w:type="default"/>
          <w:pgSz w:w="11906" w:h="16838"/>
          <w:pgMar w:top="1417" w:right="1417" w:bottom="1417" w:left="1304" w:header="850" w:footer="992" w:gutter="0"/>
          <w:cols w:space="720" w:num="1"/>
          <w:docGrid w:linePitch="312" w:charSpace="0"/>
        </w:sect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6DE1583">
      <w:pPr>
        <w:pStyle w:val="3"/>
        <w:jc w:val="center"/>
        <w:rPr>
          <w:rFonts w:ascii="宋体" w:hAnsi="宋体" w:eastAsia="宋体" w:cs="宋体"/>
          <w:color w:val="auto"/>
          <w:sz w:val="28"/>
          <w:szCs w:val="28"/>
        </w:rPr>
      </w:pPr>
      <w:bookmarkStart w:id="3" w:name="_Toc25320280"/>
      <w:bookmarkStart w:id="4" w:name="_Toc25320401"/>
      <w:bookmarkStart w:id="5" w:name="_Toc3744"/>
      <w:r>
        <w:rPr>
          <w:rFonts w:hint="eastAsia" w:ascii="宋体" w:hAnsi="宋体" w:eastAsia="宋体" w:cs="宋体"/>
          <w:color w:val="auto"/>
          <w:sz w:val="28"/>
          <w:szCs w:val="28"/>
        </w:rPr>
        <w:t>（三）报价汇总表</w:t>
      </w:r>
      <w:bookmarkEnd w:id="3"/>
      <w:bookmarkEnd w:id="4"/>
      <w:bookmarkEnd w:id="5"/>
    </w:p>
    <w:p w14:paraId="60EC0EF1">
      <w:pPr>
        <w:pStyle w:val="16"/>
        <w:ind w:firstLine="0"/>
        <w:rPr>
          <w:color w:val="auto"/>
        </w:rPr>
      </w:pPr>
    </w:p>
    <w:p w14:paraId="5B0610E9">
      <w:pPr>
        <w:pStyle w:val="27"/>
        <w:ind w:firstLine="0" w:firstLineChars="0"/>
        <w:rPr>
          <w:rFonts w:ascii="黑体" w:hAnsi="黑体" w:eastAsia="黑体" w:cs="黑体"/>
          <w:color w:val="auto"/>
        </w:rPr>
      </w:pPr>
    </w:p>
    <w:tbl>
      <w:tblPr>
        <w:tblStyle w:val="18"/>
        <w:tblW w:w="8879" w:type="dxa"/>
        <w:tblInd w:w="-31" w:type="dxa"/>
        <w:tblLayout w:type="fixed"/>
        <w:tblCellMar>
          <w:top w:w="0" w:type="dxa"/>
          <w:left w:w="108" w:type="dxa"/>
          <w:bottom w:w="0" w:type="dxa"/>
          <w:right w:w="108" w:type="dxa"/>
        </w:tblCellMar>
      </w:tblPr>
      <w:tblGrid>
        <w:gridCol w:w="505"/>
        <w:gridCol w:w="5797"/>
        <w:gridCol w:w="2577"/>
      </w:tblGrid>
      <w:tr w14:paraId="7601553F">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rPr>
            </w:pPr>
            <w:r>
              <w:rPr>
                <w:rFonts w:hint="eastAsia" w:ascii="宋体" w:hAnsi="宋体" w:cs="宋体"/>
                <w:color w:val="auto"/>
                <w:kern w:val="0"/>
                <w:sz w:val="24"/>
              </w:rPr>
              <w:t>工程名称:</w:t>
            </w:r>
            <w:r>
              <w:rPr>
                <w:rFonts w:hint="eastAsia" w:ascii="宋体" w:hAnsi="宋体" w:cs="宋体"/>
                <w:color w:val="auto"/>
                <w:kern w:val="0"/>
                <w:sz w:val="24"/>
                <w:u w:val="single"/>
              </w:rPr>
              <w:t xml:space="preserve">                 项目备案编号：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kern w:val="0"/>
                <w:sz w:val="24"/>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rPr>
            </w:pPr>
            <w:r>
              <w:rPr>
                <w:rFonts w:hint="eastAsia" w:ascii="宋体" w:hAnsi="宋体" w:cs="宋体"/>
                <w:color w:val="auto"/>
                <w:sz w:val="24"/>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rPr>
            </w:pPr>
            <w:r>
              <w:rPr>
                <w:rFonts w:hint="eastAsia" w:ascii="宋体" w:hAnsi="宋体" w:cs="宋体"/>
                <w:color w:val="auto"/>
                <w:sz w:val="24"/>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rPr>
            </w:pPr>
            <w:r>
              <w:rPr>
                <w:rFonts w:hint="eastAsia" w:ascii="宋体" w:hAnsi="宋体" w:cs="宋体"/>
                <w:color w:val="auto"/>
                <w:sz w:val="24"/>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rPr>
            </w:pPr>
            <w:r>
              <w:rPr>
                <w:rFonts w:hint="eastAsia" w:ascii="宋体" w:hAnsi="宋体" w:cs="宋体"/>
                <w:color w:val="auto"/>
                <w:sz w:val="24"/>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rPr>
            </w:pPr>
            <w:r>
              <w:rPr>
                <w:rFonts w:hint="eastAsia" w:ascii="宋体" w:hAnsi="宋体" w:cs="宋体"/>
                <w:color w:val="auto"/>
                <w:sz w:val="24"/>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rPr>
            </w:pPr>
            <w:r>
              <w:rPr>
                <w:rFonts w:hint="eastAsia" w:ascii="宋体" w:hAnsi="宋体" w:cs="宋体"/>
                <w:color w:val="auto"/>
                <w:sz w:val="24"/>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rPr>
            </w:pPr>
            <w:r>
              <w:rPr>
                <w:rFonts w:hint="eastAsia" w:ascii="宋体" w:hAnsi="宋体" w:cs="宋体"/>
                <w:color w:val="auto"/>
                <w:sz w:val="24"/>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rPr>
            </w:pPr>
            <w:r>
              <w:rPr>
                <w:rFonts w:hint="eastAsia" w:ascii="宋体" w:hAnsi="宋体" w:cs="宋体"/>
                <w:color w:val="auto"/>
                <w:sz w:val="24"/>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rPr>
            </w:pPr>
            <w:r>
              <w:rPr>
                <w:rFonts w:hint="eastAsia" w:ascii="宋体" w:hAnsi="宋体" w:cs="宋体"/>
                <w:color w:val="auto"/>
                <w:sz w:val="24"/>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rPr>
            </w:pPr>
            <w:r>
              <w:rPr>
                <w:rFonts w:hint="eastAsia" w:ascii="宋体" w:hAnsi="宋体" w:cs="宋体"/>
                <w:color w:val="auto"/>
                <w:sz w:val="24"/>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rPr>
            </w:pPr>
            <w:r>
              <w:rPr>
                <w:rFonts w:hint="eastAsia" w:ascii="宋体" w:hAnsi="宋体" w:cs="宋体"/>
                <w:color w:val="auto"/>
                <w:sz w:val="24"/>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rPr>
            </w:pPr>
            <w:r>
              <w:rPr>
                <w:rFonts w:hint="eastAsia" w:ascii="宋体" w:hAnsi="宋体" w:cs="宋体"/>
                <w:color w:val="auto"/>
                <w:sz w:val="24"/>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rPr>
            </w:pPr>
            <w:r>
              <w:rPr>
                <w:rFonts w:hint="eastAsia" w:ascii="宋体" w:hAnsi="宋体" w:cs="宋体"/>
                <w:color w:val="auto"/>
                <w:sz w:val="24"/>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rPr>
            </w:pPr>
            <w:r>
              <w:rPr>
                <w:rFonts w:hint="eastAsia" w:ascii="宋体" w:hAnsi="宋体" w:cs="宋体"/>
                <w:color w:val="auto"/>
                <w:sz w:val="24"/>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rPr>
            </w:pPr>
            <w:r>
              <w:rPr>
                <w:rFonts w:hint="eastAsia" w:ascii="宋体" w:hAnsi="宋体" w:cs="宋体"/>
                <w:color w:val="auto"/>
                <w:sz w:val="24"/>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rPr>
            </w:pPr>
            <w:r>
              <w:rPr>
                <w:rFonts w:hint="eastAsia" w:ascii="宋体" w:hAnsi="宋体" w:cs="宋体"/>
                <w:color w:val="auto"/>
                <w:sz w:val="24"/>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3BC63762">
            <w:pPr>
              <w:spacing w:line="400" w:lineRule="exact"/>
              <w:rPr>
                <w:rFonts w:ascii="宋体" w:hAnsi="宋体" w:cs="宋体"/>
                <w:color w:val="auto"/>
                <w:sz w:val="24"/>
              </w:rPr>
            </w:pPr>
            <w:r>
              <w:rPr>
                <w:rFonts w:hint="eastAsia" w:ascii="宋体" w:hAnsi="宋体" w:cs="宋体"/>
                <w:color w:val="auto"/>
                <w:sz w:val="24"/>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rPr>
            </w:pPr>
            <w:r>
              <w:rPr>
                <w:rFonts w:hint="eastAsia" w:ascii="宋体" w:hAnsi="宋体" w:cs="宋体"/>
                <w:color w:val="auto"/>
                <w:sz w:val="24"/>
              </w:rPr>
              <w:t>供应商单位：（盖公章）</w:t>
            </w:r>
          </w:p>
          <w:p w14:paraId="06958374">
            <w:pPr>
              <w:spacing w:line="400" w:lineRule="exact"/>
              <w:rPr>
                <w:rFonts w:ascii="宋体" w:hAnsi="宋体" w:cs="宋体"/>
                <w:color w:val="auto"/>
                <w:sz w:val="24"/>
              </w:rPr>
            </w:pPr>
          </w:p>
          <w:p w14:paraId="30E09F6E">
            <w:pPr>
              <w:spacing w:line="400" w:lineRule="exact"/>
              <w:rPr>
                <w:rFonts w:ascii="宋体" w:hAnsi="宋体" w:cs="宋体"/>
                <w:color w:val="auto"/>
                <w:sz w:val="24"/>
              </w:rPr>
            </w:pPr>
            <w:r>
              <w:rPr>
                <w:rFonts w:hint="eastAsia" w:ascii="宋体" w:hAnsi="宋体" w:cs="宋体"/>
                <w:color w:val="auto"/>
                <w:sz w:val="24"/>
              </w:rPr>
              <w:t>法定代表人或其委托代理人（签</w:t>
            </w:r>
            <w:r>
              <w:rPr>
                <w:rFonts w:hint="eastAsia" w:ascii="宋体" w:hAnsi="宋体" w:cs="宋体"/>
                <w:color w:val="auto"/>
                <w:spacing w:val="-1"/>
                <w:sz w:val="24"/>
              </w:rPr>
              <w:t>字</w:t>
            </w:r>
            <w:r>
              <w:rPr>
                <w:rFonts w:hint="eastAsia" w:ascii="宋体" w:hAnsi="宋体" w:cs="宋体"/>
                <w:color w:val="auto"/>
                <w:sz w:val="24"/>
              </w:rPr>
              <w:t>）：</w:t>
            </w:r>
          </w:p>
          <w:p w14:paraId="345111D5">
            <w:pPr>
              <w:spacing w:line="400" w:lineRule="exact"/>
              <w:rPr>
                <w:rFonts w:ascii="宋体" w:hAnsi="宋体" w:cs="宋体"/>
                <w:color w:val="auto"/>
                <w:sz w:val="24"/>
              </w:rPr>
            </w:pPr>
          </w:p>
          <w:p w14:paraId="2525EE2C">
            <w:pPr>
              <w:spacing w:line="400" w:lineRule="exact"/>
              <w:rPr>
                <w:rFonts w:ascii="宋体" w:hAnsi="宋体" w:cs="宋体"/>
                <w:color w:val="auto"/>
                <w:sz w:val="24"/>
              </w:rPr>
            </w:pPr>
            <w:r>
              <w:rPr>
                <w:rFonts w:hint="eastAsia" w:ascii="宋体" w:hAnsi="宋体" w:cs="宋体"/>
                <w:color w:val="auto"/>
                <w:sz w:val="24"/>
              </w:rPr>
              <w:t>年       月     日</w:t>
            </w:r>
          </w:p>
        </w:tc>
      </w:tr>
    </w:tbl>
    <w:p w14:paraId="1160BCC0">
      <w:pPr>
        <w:rPr>
          <w:rFonts w:ascii="宋体" w:hAnsi="宋体" w:cs="宋体"/>
          <w:color w:val="auto"/>
          <w:sz w:val="24"/>
        </w:rPr>
      </w:pPr>
    </w:p>
    <w:p w14:paraId="4735CBBF">
      <w:pPr>
        <w:spacing w:line="380" w:lineRule="exact"/>
        <w:rPr>
          <w:rFonts w:ascii="黑体" w:hAnsi="黑体" w:eastAsia="黑体" w:cs="黑体"/>
          <w:b/>
          <w:bCs/>
          <w:color w:val="auto"/>
          <w:szCs w:val="21"/>
        </w:rPr>
      </w:pPr>
      <w:r>
        <w:rPr>
          <w:rFonts w:hint="eastAsia" w:ascii="宋体" w:hAnsi="宋体" w:cs="宋体"/>
          <w:b/>
          <w:color w:val="auto"/>
          <w:sz w:val="28"/>
          <w:szCs w:val="28"/>
        </w:rPr>
        <w:br w:type="page"/>
      </w:r>
    </w:p>
    <w:p w14:paraId="75D6287D">
      <w:pPr>
        <w:spacing w:line="380" w:lineRule="exact"/>
        <w:jc w:val="center"/>
        <w:rPr>
          <w:rFonts w:ascii="宋体" w:hAnsi="宋体" w:cs="宋体"/>
          <w:b/>
          <w:bCs/>
          <w:color w:val="auto"/>
          <w:sz w:val="28"/>
          <w:szCs w:val="28"/>
        </w:rPr>
      </w:pPr>
      <w:r>
        <w:rPr>
          <w:rFonts w:hint="eastAsia" w:ascii="宋体" w:hAnsi="宋体" w:cs="宋体"/>
          <w:b/>
          <w:bCs/>
          <w:color w:val="auto"/>
          <w:sz w:val="28"/>
          <w:szCs w:val="28"/>
        </w:rPr>
        <w:t>（四）已标价工程量清单</w:t>
      </w:r>
    </w:p>
    <w:p w14:paraId="33DC35E7">
      <w:pPr>
        <w:spacing w:line="380" w:lineRule="exact"/>
        <w:jc w:val="center"/>
        <w:rPr>
          <w:rFonts w:ascii="宋体" w:hAnsi="宋体" w:cs="宋体"/>
          <w:b/>
          <w:bCs/>
          <w:color w:val="auto"/>
          <w:sz w:val="32"/>
          <w:szCs w:val="32"/>
        </w:rPr>
      </w:pPr>
    </w:p>
    <w:p w14:paraId="220CA760">
      <w:pPr>
        <w:spacing w:line="380" w:lineRule="exact"/>
        <w:jc w:val="center"/>
        <w:rPr>
          <w:rFonts w:ascii="宋体" w:hAnsi="宋体" w:cs="宋体"/>
          <w:b/>
          <w:bCs/>
          <w:color w:val="auto"/>
          <w:sz w:val="32"/>
          <w:szCs w:val="32"/>
        </w:rPr>
      </w:pPr>
    </w:p>
    <w:p w14:paraId="5A7DDA27">
      <w:pPr>
        <w:spacing w:line="440" w:lineRule="exact"/>
        <w:rPr>
          <w:rFonts w:ascii="宋体" w:hAnsi="宋体" w:cs="宋体"/>
          <w:color w:val="auto"/>
          <w:sz w:val="24"/>
        </w:rPr>
      </w:pPr>
      <w:r>
        <w:rPr>
          <w:rFonts w:hint="eastAsia" w:ascii="宋体" w:hAnsi="宋体" w:cs="宋体"/>
          <w:color w:val="auto"/>
          <w:sz w:val="24"/>
        </w:rPr>
        <w:t>表格：可按《&lt;建设工程工程量清单计价规范&gt;（GB50500-2013）广西壮族自治区实施细则》工程量清单计价表格提供。</w:t>
      </w:r>
    </w:p>
    <w:p w14:paraId="2926E090">
      <w:pPr>
        <w:rPr>
          <w:color w:val="auto"/>
        </w:rPr>
      </w:pPr>
    </w:p>
    <w:p w14:paraId="5381B859">
      <w:pPr>
        <w:pStyle w:val="4"/>
        <w:rPr>
          <w:rFonts w:ascii="黑体" w:hAnsi="黑体" w:cs="黑体"/>
          <w:color w:val="auto"/>
          <w:w w:val="99"/>
          <w:sz w:val="28"/>
          <w:szCs w:val="28"/>
        </w:rPr>
      </w:pPr>
    </w:p>
    <w:p w14:paraId="328A057A">
      <w:pPr>
        <w:pStyle w:val="4"/>
        <w:rPr>
          <w:rFonts w:ascii="黑体" w:hAnsi="黑体" w:cs="黑体"/>
          <w:color w:val="auto"/>
          <w:w w:val="99"/>
          <w:sz w:val="28"/>
          <w:szCs w:val="28"/>
        </w:rPr>
      </w:pPr>
    </w:p>
    <w:p w14:paraId="7400D64F">
      <w:pPr>
        <w:rPr>
          <w:color w:val="auto"/>
        </w:rPr>
      </w:pPr>
    </w:p>
    <w:p w14:paraId="5F2A8F5B">
      <w:pPr>
        <w:rPr>
          <w:color w:val="auto"/>
        </w:rPr>
      </w:pPr>
    </w:p>
    <w:p w14:paraId="7ECA7D3B">
      <w:pPr>
        <w:rPr>
          <w:color w:val="auto"/>
        </w:rPr>
      </w:pPr>
    </w:p>
    <w:p w14:paraId="39334535">
      <w:pPr>
        <w:rPr>
          <w:color w:val="auto"/>
        </w:rPr>
      </w:pPr>
    </w:p>
    <w:p w14:paraId="7EF2D6FF">
      <w:pPr>
        <w:rPr>
          <w:color w:val="auto"/>
        </w:rPr>
      </w:pPr>
    </w:p>
    <w:p w14:paraId="452EDF2F">
      <w:pPr>
        <w:rPr>
          <w:color w:val="auto"/>
        </w:rPr>
      </w:pPr>
    </w:p>
    <w:p w14:paraId="3234F34E">
      <w:pPr>
        <w:rPr>
          <w:color w:val="auto"/>
        </w:rPr>
      </w:pPr>
    </w:p>
    <w:p w14:paraId="3466BA06">
      <w:pPr>
        <w:rPr>
          <w:color w:val="auto"/>
        </w:rPr>
      </w:pPr>
    </w:p>
    <w:p w14:paraId="63FB44FB">
      <w:pPr>
        <w:rPr>
          <w:color w:val="auto"/>
        </w:rPr>
      </w:pPr>
    </w:p>
    <w:p w14:paraId="399231FE">
      <w:pPr>
        <w:pStyle w:val="4"/>
        <w:rPr>
          <w:rFonts w:ascii="黑体" w:hAnsi="黑体" w:cs="黑体"/>
          <w:color w:val="auto"/>
          <w:w w:val="99"/>
          <w:sz w:val="28"/>
          <w:szCs w:val="28"/>
        </w:rPr>
      </w:pPr>
    </w:p>
    <w:p w14:paraId="3894AAD3">
      <w:pPr>
        <w:pStyle w:val="4"/>
        <w:rPr>
          <w:rFonts w:ascii="黑体" w:hAnsi="黑体" w:cs="黑体"/>
          <w:color w:val="auto"/>
          <w:w w:val="99"/>
          <w:sz w:val="28"/>
          <w:szCs w:val="28"/>
        </w:rPr>
      </w:pPr>
    </w:p>
    <w:p w14:paraId="3A6A3A6B">
      <w:pPr>
        <w:pStyle w:val="4"/>
        <w:rPr>
          <w:rFonts w:ascii="黑体" w:hAnsi="黑体" w:cs="黑体"/>
          <w:color w:val="auto"/>
          <w:w w:val="99"/>
          <w:sz w:val="28"/>
          <w:szCs w:val="28"/>
        </w:rPr>
      </w:pPr>
    </w:p>
    <w:p w14:paraId="184FE594">
      <w:pPr>
        <w:pStyle w:val="4"/>
        <w:rPr>
          <w:rFonts w:ascii="黑体" w:hAnsi="黑体" w:cs="黑体"/>
          <w:color w:val="auto"/>
          <w:w w:val="99"/>
          <w:sz w:val="28"/>
          <w:szCs w:val="28"/>
        </w:rPr>
      </w:pPr>
    </w:p>
    <w:p w14:paraId="4C2715EA">
      <w:pPr>
        <w:pStyle w:val="4"/>
        <w:rPr>
          <w:rFonts w:ascii="黑体" w:hAnsi="黑体" w:cs="黑体"/>
          <w:color w:val="auto"/>
          <w:w w:val="99"/>
          <w:sz w:val="28"/>
          <w:szCs w:val="28"/>
        </w:rPr>
      </w:pPr>
    </w:p>
    <w:p w14:paraId="12807FDD">
      <w:pPr>
        <w:pStyle w:val="4"/>
        <w:rPr>
          <w:rFonts w:ascii="黑体" w:hAnsi="黑体" w:cs="黑体"/>
          <w:color w:val="auto"/>
          <w:w w:val="99"/>
          <w:sz w:val="28"/>
          <w:szCs w:val="28"/>
        </w:rPr>
      </w:pPr>
    </w:p>
    <w:p w14:paraId="66B5EA32">
      <w:pPr>
        <w:rPr>
          <w:color w:val="auto"/>
        </w:rPr>
      </w:pPr>
      <w:bookmarkStart w:id="6" w:name="_Toc25320398"/>
      <w:bookmarkStart w:id="7" w:name="_Toc32172"/>
      <w:bookmarkStart w:id="8" w:name="_Toc25320277"/>
    </w:p>
    <w:p w14:paraId="6BE660BF">
      <w:pPr>
        <w:rPr>
          <w:color w:val="auto"/>
        </w:rPr>
      </w:pPr>
    </w:p>
    <w:p w14:paraId="001A5E66">
      <w:pPr>
        <w:rPr>
          <w:color w:val="auto"/>
        </w:rPr>
      </w:pPr>
    </w:p>
    <w:p w14:paraId="0EA42ED2">
      <w:pPr>
        <w:rPr>
          <w:color w:val="auto"/>
        </w:rPr>
      </w:pPr>
    </w:p>
    <w:bookmarkEnd w:id="6"/>
    <w:bookmarkEnd w:id="7"/>
    <w:bookmarkEnd w:id="8"/>
    <w:p w14:paraId="4B81B8BF">
      <w:pPr>
        <w:pStyle w:val="4"/>
        <w:ind w:left="0" w:leftChars="0" w:firstLine="0"/>
        <w:jc w:val="center"/>
        <w:rPr>
          <w:rFonts w:ascii="宋体" w:hAnsi="宋体" w:cs="宋体"/>
          <w:b/>
          <w:color w:val="auto"/>
          <w:sz w:val="28"/>
          <w:szCs w:val="28"/>
        </w:rPr>
      </w:pPr>
      <w:r>
        <w:rPr>
          <w:rFonts w:hint="eastAsia" w:ascii="宋体" w:hAnsi="宋体" w:cs="宋体"/>
          <w:b/>
          <w:color w:val="auto"/>
        </w:rPr>
        <w:br w:type="page"/>
      </w:r>
      <w:r>
        <w:rPr>
          <w:rFonts w:hint="eastAsia" w:ascii="宋体" w:hAnsi="宋体" w:cs="宋体"/>
          <w:b/>
          <w:color w:val="auto"/>
          <w:sz w:val="28"/>
          <w:szCs w:val="28"/>
        </w:rPr>
        <w:t>（</w:t>
      </w:r>
      <w:r>
        <w:rPr>
          <w:rFonts w:hint="eastAsia" w:ascii="宋体" w:hAnsi="宋体" w:cs="宋体"/>
          <w:b/>
          <w:color w:val="auto"/>
          <w:sz w:val="28"/>
          <w:szCs w:val="28"/>
          <w:lang w:val="en-US" w:eastAsia="zh-CN"/>
        </w:rPr>
        <w:t>五</w:t>
      </w:r>
      <w:r>
        <w:rPr>
          <w:rFonts w:hint="eastAsia" w:ascii="宋体" w:hAnsi="宋体" w:cs="宋体"/>
          <w:b/>
          <w:color w:val="auto"/>
          <w:sz w:val="28"/>
          <w:szCs w:val="28"/>
        </w:rPr>
        <w:t>）安全防护、文明施工措施方案的承诺书</w:t>
      </w:r>
    </w:p>
    <w:p w14:paraId="4A9956EC">
      <w:pPr>
        <w:pStyle w:val="4"/>
        <w:ind w:firstLine="0"/>
        <w:jc w:val="both"/>
        <w:rPr>
          <w:rFonts w:ascii="黑体" w:hAnsi="黑体" w:eastAsia="黑体" w:cs="黑体"/>
          <w:b/>
          <w:color w:val="auto"/>
          <w:sz w:val="28"/>
          <w:szCs w:val="28"/>
        </w:rPr>
      </w:pPr>
    </w:p>
    <w:p w14:paraId="77A865E9">
      <w:pPr>
        <w:tabs>
          <w:tab w:val="center" w:pos="5452"/>
        </w:tabs>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w:t>
      </w:r>
      <w:r>
        <w:rPr>
          <w:rFonts w:hint="eastAsia" w:ascii="宋体" w:hAnsi="宋体" w:cs="宋体"/>
          <w:color w:val="auto"/>
          <w:sz w:val="24"/>
        </w:rPr>
        <w:t>：</w:t>
      </w:r>
    </w:p>
    <w:p w14:paraId="125A951B">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1．我方参与议价的</w:t>
      </w:r>
      <w:r>
        <w:rPr>
          <w:rFonts w:hint="eastAsia" w:ascii="宋体" w:hAnsi="宋体" w:cs="宋体"/>
          <w:color w:val="auto"/>
          <w:sz w:val="24"/>
          <w:u w:val="single"/>
        </w:rPr>
        <w:t xml:space="preserve">                    （工程名称） </w:t>
      </w:r>
      <w:r>
        <w:rPr>
          <w:rFonts w:hint="eastAsia" w:ascii="宋体" w:hAnsi="宋体" w:cs="宋体"/>
          <w:color w:val="auto"/>
          <w:sz w:val="24"/>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rPr>
      </w:pPr>
      <w:r>
        <w:rPr>
          <w:rFonts w:hint="eastAsia" w:ascii="宋体" w:hAnsi="宋体" w:cs="宋体"/>
          <w:color w:val="auto"/>
          <w:sz w:val="24"/>
        </w:rPr>
        <w:t>2．如我方在承包的</w:t>
      </w:r>
      <w:r>
        <w:rPr>
          <w:rFonts w:hint="eastAsia" w:ascii="宋体" w:hAnsi="宋体" w:cs="宋体"/>
          <w:color w:val="auto"/>
          <w:sz w:val="24"/>
          <w:u w:val="single"/>
        </w:rPr>
        <w:t xml:space="preserve">                    （工程名称） </w:t>
      </w:r>
      <w:r>
        <w:rPr>
          <w:rFonts w:hint="eastAsia" w:ascii="宋体" w:hAnsi="宋体" w:cs="宋体"/>
          <w:color w:val="auto"/>
          <w:sz w:val="24"/>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rPr>
      </w:pPr>
    </w:p>
    <w:p w14:paraId="7F6272D9">
      <w:pPr>
        <w:tabs>
          <w:tab w:val="center" w:pos="5452"/>
        </w:tabs>
        <w:spacing w:line="440" w:lineRule="exact"/>
        <w:ind w:firstLine="420" w:firstLineChars="150"/>
        <w:jc w:val="right"/>
        <w:rPr>
          <w:rFonts w:ascii="宋体" w:hAnsi="宋体" w:cs="宋体"/>
          <w:color w:val="auto"/>
          <w:sz w:val="28"/>
          <w:szCs w:val="28"/>
        </w:rPr>
      </w:pPr>
    </w:p>
    <w:p w14:paraId="7EDCEAAF">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（供应商名称）      （盖章）</w:t>
      </w:r>
    </w:p>
    <w:p w14:paraId="7C244584">
      <w:pPr>
        <w:tabs>
          <w:tab w:val="center" w:pos="5452"/>
        </w:tabs>
        <w:spacing w:line="440" w:lineRule="exact"/>
        <w:ind w:firstLine="360" w:firstLineChars="150"/>
        <w:jc w:val="right"/>
        <w:rPr>
          <w:rFonts w:ascii="宋体" w:hAnsi="宋体" w:cs="宋体"/>
          <w:color w:val="auto"/>
          <w:sz w:val="24"/>
        </w:rPr>
      </w:pPr>
    </w:p>
    <w:p w14:paraId="168BC23B">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rPr>
      </w:pPr>
    </w:p>
    <w:p w14:paraId="45A4E29C">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日期：     年     月     日</w:t>
      </w:r>
    </w:p>
    <w:p w14:paraId="61964539">
      <w:pPr>
        <w:spacing w:line="440" w:lineRule="exact"/>
        <w:rPr>
          <w:rFonts w:ascii="宋体" w:hAnsi="宋体" w:cs="宋体"/>
          <w:color w:val="auto"/>
          <w:sz w:val="28"/>
          <w:szCs w:val="28"/>
        </w:rPr>
      </w:pPr>
    </w:p>
    <w:p w14:paraId="5CEA91A5">
      <w:pPr>
        <w:pStyle w:val="3"/>
        <w:spacing w:line="440" w:lineRule="exact"/>
        <w:jc w:val="center"/>
        <w:rPr>
          <w:rFonts w:ascii="宋体" w:hAnsi="宋体" w:eastAsia="宋体" w:cs="宋体"/>
          <w:bCs/>
          <w:color w:val="auto"/>
          <w:w w:val="99"/>
          <w:kern w:val="0"/>
          <w:sz w:val="28"/>
          <w:szCs w:val="28"/>
        </w:rPr>
      </w:pPr>
      <w:bookmarkStart w:id="9" w:name="_Toc25320399"/>
      <w:bookmarkStart w:id="10" w:name="_Toc25320278"/>
      <w:r>
        <w:rPr>
          <w:rFonts w:ascii="宋体" w:hAnsi="宋体" w:eastAsia="宋体" w:cs="宋体"/>
          <w:b w:val="0"/>
          <w:color w:val="auto"/>
          <w:sz w:val="28"/>
          <w:szCs w:val="28"/>
        </w:rPr>
        <w:br w:type="page"/>
      </w:r>
      <w:bookmarkStart w:id="11" w:name="_Toc29466"/>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六</w:t>
      </w:r>
      <w:r>
        <w:rPr>
          <w:rFonts w:hint="eastAsia" w:ascii="宋体" w:hAnsi="宋体" w:eastAsia="宋体" w:cs="宋体"/>
          <w:bCs/>
          <w:color w:val="auto"/>
          <w:sz w:val="28"/>
          <w:szCs w:val="28"/>
        </w:rPr>
        <w:t>）</w:t>
      </w:r>
      <w:bookmarkEnd w:id="9"/>
      <w:bookmarkEnd w:id="10"/>
      <w:bookmarkEnd w:id="11"/>
      <w:r>
        <w:rPr>
          <w:rFonts w:hint="eastAsia" w:ascii="宋体" w:hAnsi="宋体" w:eastAsia="宋体" w:cs="宋体"/>
          <w:bCs/>
          <w:color w:val="auto"/>
          <w:sz w:val="28"/>
          <w:szCs w:val="28"/>
        </w:rPr>
        <w:t>诚信声明</w:t>
      </w:r>
    </w:p>
    <w:p w14:paraId="2DE23D09">
      <w:pPr>
        <w:spacing w:line="400" w:lineRule="exact"/>
        <w:rPr>
          <w:rFonts w:ascii="宋体" w:hAnsi="宋体" w:cs="宋体"/>
          <w:b/>
          <w:color w:val="auto"/>
          <w:szCs w:val="21"/>
        </w:rPr>
      </w:pPr>
    </w:p>
    <w:p w14:paraId="5B4C50CB">
      <w:pPr>
        <w:widowControl/>
        <w:spacing w:line="400" w:lineRule="exact"/>
        <w:rPr>
          <w:rFonts w:ascii="宋体" w:hAnsi="宋体" w:cs="宋体"/>
          <w:color w:val="auto"/>
          <w:kern w:val="0"/>
          <w:sz w:val="24"/>
        </w:rPr>
      </w:pPr>
      <w:r>
        <w:rPr>
          <w:rFonts w:hint="eastAsia" w:ascii="宋体" w:hAnsi="宋体" w:cs="宋体"/>
          <w:color w:val="auto"/>
          <w:kern w:val="0"/>
          <w:sz w:val="24"/>
        </w:rPr>
        <w:t>声明企业：                        地址：</w:t>
      </w:r>
    </w:p>
    <w:p w14:paraId="19C46360">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1E25155F">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0FB19988">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本公司就参加</w:t>
      </w:r>
      <w:r>
        <w:rPr>
          <w:rFonts w:hint="eastAsia" w:ascii="宋体" w:hAnsi="宋体" w:cs="宋体"/>
          <w:color w:val="auto"/>
          <w:kern w:val="0"/>
          <w:sz w:val="24"/>
          <w:u w:val="single"/>
        </w:rPr>
        <w:t xml:space="preserve">                                      </w:t>
      </w:r>
      <w:r>
        <w:rPr>
          <w:rFonts w:hint="eastAsia" w:ascii="宋体" w:hAnsi="宋体" w:cs="宋体"/>
          <w:color w:val="auto"/>
          <w:kern w:val="0"/>
          <w:sz w:val="24"/>
        </w:rPr>
        <w:t>工程项目议价工作，作出郑重声明：</w:t>
      </w:r>
    </w:p>
    <w:p w14:paraId="2B5BBCD7">
      <w:pPr>
        <w:spacing w:line="400" w:lineRule="exact"/>
        <w:ind w:firstLine="480" w:firstLineChars="200"/>
        <w:rPr>
          <w:rFonts w:ascii="宋体" w:hAnsi="宋体" w:cs="宋体"/>
          <w:color w:val="auto"/>
          <w:sz w:val="24"/>
        </w:rPr>
      </w:pPr>
      <w:r>
        <w:rPr>
          <w:rFonts w:hint="eastAsia" w:ascii="宋体" w:hAnsi="宋体" w:cs="宋体"/>
          <w:color w:val="auto"/>
          <w:sz w:val="24"/>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rPr>
      </w:pPr>
      <w:r>
        <w:rPr>
          <w:rFonts w:hint="eastAsia" w:ascii="宋体" w:hAnsi="宋体" w:cs="宋体"/>
          <w:color w:val="auto"/>
          <w:sz w:val="24"/>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rPr>
      </w:pPr>
      <w:r>
        <w:rPr>
          <w:rFonts w:hint="eastAsia" w:ascii="宋体" w:hAnsi="宋体" w:cs="宋体"/>
          <w:color w:val="auto"/>
          <w:sz w:val="24"/>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rPr>
      </w:pPr>
      <w:r>
        <w:rPr>
          <w:rFonts w:hint="eastAsia" w:ascii="宋体" w:hAnsi="宋体" w:cs="宋体"/>
          <w:color w:val="auto"/>
          <w:sz w:val="24"/>
        </w:rPr>
        <w:t>4.我单位没有参加本项目的设计、监理等工作；</w:t>
      </w:r>
    </w:p>
    <w:p w14:paraId="51BE864D">
      <w:pPr>
        <w:spacing w:line="400" w:lineRule="exact"/>
        <w:ind w:firstLine="480" w:firstLineChars="200"/>
        <w:rPr>
          <w:rFonts w:ascii="宋体" w:hAnsi="宋体" w:cs="宋体"/>
          <w:color w:val="auto"/>
          <w:sz w:val="24"/>
        </w:rPr>
      </w:pPr>
      <w:r>
        <w:rPr>
          <w:rFonts w:hint="eastAsia" w:ascii="宋体" w:hAnsi="宋体" w:cs="宋体"/>
          <w:color w:val="auto"/>
          <w:sz w:val="24"/>
        </w:rPr>
        <w:t>5.我单位无拖欠民工工资记录且未结案的情形存在。</w:t>
      </w:r>
    </w:p>
    <w:p w14:paraId="15332658">
      <w:pPr>
        <w:spacing w:line="400" w:lineRule="exact"/>
        <w:ind w:firstLine="480" w:firstLineChars="200"/>
        <w:rPr>
          <w:rFonts w:ascii="宋体" w:hAnsi="宋体" w:cs="宋体"/>
          <w:color w:val="auto"/>
          <w:sz w:val="24"/>
        </w:rPr>
      </w:pPr>
      <w:r>
        <w:rPr>
          <w:rFonts w:hint="eastAsia" w:ascii="宋体" w:hAnsi="宋体" w:cs="宋体"/>
          <w:color w:val="auto"/>
          <w:sz w:val="24"/>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rPr>
      </w:pPr>
      <w:r>
        <w:rPr>
          <w:rFonts w:hint="eastAsia" w:ascii="宋体" w:hAnsi="宋体" w:cs="宋体"/>
          <w:color w:val="auto"/>
          <w:sz w:val="24"/>
        </w:rPr>
        <w:t>特此声明！</w:t>
      </w:r>
    </w:p>
    <w:p w14:paraId="10A16F3B">
      <w:pPr>
        <w:spacing w:line="400" w:lineRule="exact"/>
        <w:rPr>
          <w:rFonts w:ascii="宋体" w:hAnsi="宋体" w:cs="宋体"/>
          <w:color w:val="auto"/>
          <w:sz w:val="24"/>
        </w:rPr>
      </w:pPr>
    </w:p>
    <w:p w14:paraId="1C34EC39">
      <w:pPr>
        <w:widowControl/>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35570C9E">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供应商单位：                 （盖章）</w:t>
      </w:r>
    </w:p>
    <w:p w14:paraId="678BCEEE">
      <w:pPr>
        <w:widowControl/>
        <w:spacing w:line="400" w:lineRule="exact"/>
        <w:jc w:val="center"/>
        <w:rPr>
          <w:rFonts w:ascii="宋体" w:hAnsi="宋体" w:cs="宋体"/>
          <w:color w:val="auto"/>
          <w:kern w:val="0"/>
          <w:sz w:val="24"/>
        </w:rPr>
      </w:pPr>
    </w:p>
    <w:p w14:paraId="798E6FE0">
      <w:pPr>
        <w:widowControl/>
        <w:spacing w:line="400" w:lineRule="exact"/>
        <w:jc w:val="center"/>
        <w:rPr>
          <w:rFonts w:ascii="宋体" w:hAnsi="宋体" w:cs="宋体"/>
          <w:color w:val="auto"/>
          <w:kern w:val="0"/>
          <w:sz w:val="24"/>
        </w:rPr>
      </w:pPr>
      <w:r>
        <w:rPr>
          <w:rFonts w:hint="eastAsia" w:ascii="宋体" w:hAnsi="宋体" w:cs="宋体"/>
          <w:color w:val="auto"/>
          <w:kern w:val="0"/>
          <w:sz w:val="24"/>
        </w:rPr>
        <w:t xml:space="preserve">                                     年  月  日</w:t>
      </w:r>
    </w:p>
    <w:p w14:paraId="6866E866">
      <w:pPr>
        <w:rPr>
          <w:color w:val="auto"/>
        </w:rPr>
      </w:pPr>
    </w:p>
    <w:p w14:paraId="4EEE6CFE">
      <w:pPr>
        <w:pStyle w:val="3"/>
        <w:spacing w:line="440" w:lineRule="exact"/>
        <w:jc w:val="center"/>
        <w:rPr>
          <w:rFonts w:ascii="宋体" w:hAnsi="宋体" w:eastAsia="宋体" w:cs="宋体"/>
          <w:color w:val="auto"/>
          <w:w w:val="99"/>
          <w:kern w:val="0"/>
          <w:sz w:val="28"/>
          <w:szCs w:val="28"/>
        </w:rPr>
      </w:pPr>
      <w:r>
        <w:rPr>
          <w:rFonts w:hint="eastAsia" w:ascii="黑体" w:hAnsi="黑体" w:cs="黑体"/>
          <w:color w:val="auto"/>
          <w:w w:val="99"/>
          <w:kern w:val="0"/>
          <w:sz w:val="28"/>
          <w:szCs w:val="28"/>
        </w:rPr>
        <w:br w:type="page"/>
      </w:r>
      <w:r>
        <w:rPr>
          <w:rFonts w:hint="eastAsia" w:ascii="宋体" w:hAnsi="宋体" w:eastAsia="宋体" w:cs="宋体"/>
          <w:color w:val="auto"/>
          <w:w w:val="99"/>
          <w:kern w:val="0"/>
          <w:sz w:val="28"/>
          <w:szCs w:val="28"/>
        </w:rPr>
        <w:t>（</w:t>
      </w:r>
      <w:r>
        <w:rPr>
          <w:rFonts w:hint="eastAsia" w:ascii="宋体" w:hAnsi="宋体" w:eastAsia="宋体" w:cs="宋体"/>
          <w:color w:val="auto"/>
          <w:w w:val="99"/>
          <w:kern w:val="0"/>
          <w:sz w:val="28"/>
          <w:szCs w:val="28"/>
          <w:lang w:val="en-US" w:eastAsia="zh-CN"/>
        </w:rPr>
        <w:t>七</w:t>
      </w:r>
      <w:r>
        <w:rPr>
          <w:rFonts w:hint="eastAsia" w:ascii="宋体" w:hAnsi="宋体" w:eastAsia="宋体" w:cs="宋体"/>
          <w:color w:val="auto"/>
          <w:w w:val="99"/>
          <w:kern w:val="0"/>
          <w:sz w:val="28"/>
          <w:szCs w:val="28"/>
        </w:rPr>
        <w:t>）施工组织设计</w:t>
      </w:r>
    </w:p>
    <w:p w14:paraId="2BD8213E">
      <w:pPr>
        <w:autoSpaceDE w:val="0"/>
        <w:autoSpaceDN w:val="0"/>
        <w:adjustRightInd w:val="0"/>
        <w:spacing w:line="440" w:lineRule="exact"/>
        <w:rPr>
          <w:rFonts w:ascii="宋体" w:hAnsi="宋体" w:cs="宋体"/>
          <w:color w:val="auto"/>
          <w:kern w:val="0"/>
          <w:sz w:val="24"/>
        </w:rPr>
      </w:pPr>
    </w:p>
    <w:p w14:paraId="1D80209E">
      <w:pPr>
        <w:autoSpaceDE w:val="0"/>
        <w:autoSpaceDN w:val="0"/>
        <w:adjustRightInd w:val="0"/>
        <w:spacing w:line="440" w:lineRule="exact"/>
        <w:ind w:firstLine="480" w:firstLineChars="200"/>
        <w:rPr>
          <w:rFonts w:ascii="宋体" w:hAnsi="宋体" w:cs="宋体"/>
          <w:color w:val="auto"/>
          <w:sz w:val="24"/>
        </w:rPr>
      </w:pPr>
      <w:r>
        <w:rPr>
          <w:rFonts w:hint="eastAsia" w:ascii="宋体" w:hAnsi="宋体" w:cs="宋体"/>
          <w:color w:val="auto"/>
          <w:kern w:val="0"/>
          <w:sz w:val="24"/>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（1）总体概述</w:t>
      </w:r>
    </w:p>
    <w:p w14:paraId="7EB344FC">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bCs/>
          <w:color w:val="auto"/>
          <w:kern w:val="0"/>
          <w:sz w:val="24"/>
        </w:rPr>
        <w:t>主要施工方法、</w:t>
      </w:r>
      <w:r>
        <w:rPr>
          <w:rFonts w:hint="eastAsia" w:ascii="宋体" w:hAnsi="宋体" w:cs="宋体"/>
          <w:color w:val="auto"/>
          <w:kern w:val="0"/>
          <w:sz w:val="24"/>
        </w:rPr>
        <w:t>关键施工技术、工艺及工程实施的重点、难点和解决方案</w:t>
      </w:r>
    </w:p>
    <w:p w14:paraId="3E6A6864">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（3）劳动力、材料和机械设备投入计划及其保证措施</w:t>
      </w:r>
    </w:p>
    <w:p w14:paraId="13338D16">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（4）施工进度计划和各阶段进度的保证措施</w:t>
      </w:r>
    </w:p>
    <w:p w14:paraId="3BB846C8">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（5）质量保证与承诺和安全文明施工措施</w:t>
      </w:r>
    </w:p>
    <w:p w14:paraId="27802C91">
      <w:pPr>
        <w:pStyle w:val="8"/>
        <w:spacing w:line="440" w:lineRule="exact"/>
        <w:rPr>
          <w:rFonts w:ascii="宋体" w:hAnsi="宋体" w:cs="宋体"/>
          <w:color w:val="auto"/>
          <w:sz w:val="24"/>
        </w:rPr>
      </w:pPr>
    </w:p>
    <w:p w14:paraId="7B3A7C35">
      <w:pPr>
        <w:pStyle w:val="8"/>
        <w:spacing w:line="440" w:lineRule="exact"/>
        <w:rPr>
          <w:rFonts w:ascii="宋体" w:hAnsi="宋体" w:cs="宋体"/>
          <w:color w:val="auto"/>
          <w:sz w:val="24"/>
        </w:rPr>
      </w:pPr>
    </w:p>
    <w:p w14:paraId="0DBBECAD">
      <w:pPr>
        <w:autoSpaceDE w:val="0"/>
        <w:autoSpaceDN w:val="0"/>
        <w:adjustRightInd w:val="0"/>
        <w:spacing w:line="420" w:lineRule="exact"/>
        <w:rPr>
          <w:rFonts w:ascii="黑体" w:hAnsi="黑体" w:eastAsia="黑体" w:cs="黑体"/>
          <w:color w:val="auto"/>
          <w:sz w:val="24"/>
        </w:rPr>
      </w:pPr>
    </w:p>
    <w:p w14:paraId="7D736037">
      <w:pPr>
        <w:autoSpaceDE w:val="0"/>
        <w:autoSpaceDN w:val="0"/>
        <w:adjustRightInd w:val="0"/>
        <w:spacing w:line="420" w:lineRule="exact"/>
        <w:rPr>
          <w:rFonts w:ascii="黑体" w:hAnsi="黑体" w:eastAsia="黑体" w:cs="黑体"/>
          <w:color w:val="auto"/>
          <w:sz w:val="24"/>
        </w:rPr>
      </w:pPr>
    </w:p>
    <w:p w14:paraId="4E3F2719">
      <w:pPr>
        <w:rPr>
          <w:color w:val="auto"/>
        </w:rPr>
      </w:pPr>
    </w:p>
    <w:p w14:paraId="67CBD381">
      <w:pPr>
        <w:rPr>
          <w:rFonts w:ascii="宋体" w:hAnsi="宋体" w:cs="宋体"/>
          <w:b/>
          <w:bCs/>
          <w:color w:val="auto"/>
          <w:spacing w:val="20"/>
          <w:sz w:val="24"/>
        </w:rPr>
      </w:pPr>
      <w:r>
        <w:rPr>
          <w:rFonts w:hint="eastAsia" w:ascii="黑体" w:hAnsi="黑体" w:eastAsia="黑体" w:cs="黑体"/>
          <w:color w:val="auto"/>
          <w:sz w:val="28"/>
          <w:szCs w:val="28"/>
        </w:rPr>
        <w:br w:type="page"/>
      </w:r>
      <w:r>
        <w:rPr>
          <w:rFonts w:hint="eastAsia" w:ascii="宋体" w:hAnsi="宋体" w:cs="宋体"/>
          <w:color w:val="auto"/>
          <w:spacing w:val="20"/>
          <w:sz w:val="24"/>
        </w:rPr>
        <w:t xml:space="preserve">附表1           </w:t>
      </w:r>
      <w:bookmarkStart w:id="12" w:name="_Toc17219"/>
    </w:p>
    <w:p w14:paraId="117DEB82">
      <w:pPr>
        <w:ind w:firstLine="3211" w:firstLineChars="1000"/>
        <w:rPr>
          <w:rFonts w:ascii="宋体" w:hAnsi="宋体" w:cs="宋体"/>
          <w:color w:val="auto"/>
          <w:sz w:val="28"/>
          <w:szCs w:val="28"/>
        </w:rPr>
      </w:pPr>
      <w:r>
        <w:rPr>
          <w:rFonts w:hint="eastAsia" w:ascii="宋体" w:hAnsi="宋体" w:cs="宋体"/>
          <w:b/>
          <w:bCs/>
          <w:color w:val="auto"/>
          <w:spacing w:val="20"/>
          <w:sz w:val="28"/>
          <w:szCs w:val="28"/>
        </w:rPr>
        <w:t>项目管理机构组成表</w:t>
      </w:r>
      <w:bookmarkEnd w:id="12"/>
    </w:p>
    <w:p w14:paraId="26C0A66E">
      <w:pPr>
        <w:pStyle w:val="17"/>
        <w:ind w:firstLine="0"/>
        <w:rPr>
          <w:rFonts w:cs="宋体"/>
          <w:color w:val="auto"/>
          <w:sz w:val="28"/>
          <w:szCs w:val="28"/>
        </w:rPr>
      </w:pPr>
    </w:p>
    <w:p w14:paraId="47BD9963">
      <w:pPr>
        <w:ind w:left="9240" w:hanging="9240" w:hangingChars="3300"/>
        <w:jc w:val="left"/>
        <w:rPr>
          <w:rFonts w:ascii="宋体" w:hAnsi="宋体" w:cs="宋体"/>
          <w:b/>
          <w:color w:val="auto"/>
          <w:sz w:val="24"/>
        </w:rPr>
      </w:pPr>
      <w:r>
        <w:rPr>
          <w:rFonts w:hint="eastAsia" w:ascii="宋体" w:hAnsi="宋体" w:cs="宋体"/>
          <w:color w:val="auto"/>
          <w:sz w:val="28"/>
          <w:szCs w:val="28"/>
          <w:u w:val="single"/>
        </w:rPr>
        <w:t xml:space="preserve">   </w:t>
      </w:r>
      <w:r>
        <w:rPr>
          <w:rFonts w:hint="eastAsia" w:ascii="宋体" w:hAnsi="宋体" w:cs="宋体"/>
          <w:color w:val="auto"/>
          <w:sz w:val="24"/>
          <w:u w:val="single"/>
        </w:rPr>
        <w:t xml:space="preserve">                      （工程项目名称）</w:t>
      </w:r>
      <w:r>
        <w:rPr>
          <w:rFonts w:hint="eastAsia" w:ascii="宋体" w:hAnsi="宋体" w:cs="宋体"/>
          <w:color w:val="auto"/>
          <w:sz w:val="24"/>
        </w:rPr>
        <w:t xml:space="preserve">工程        </w:t>
      </w:r>
      <w:r>
        <w:rPr>
          <w:rFonts w:hint="eastAsia" w:ascii="宋体" w:hAnsi="宋体" w:cs="宋体"/>
          <w:color w:val="auto"/>
          <w:spacing w:val="20"/>
          <w:kern w:val="0"/>
          <w:sz w:val="24"/>
        </w:rPr>
        <w:t>备案标号</w:t>
      </w:r>
      <w:r>
        <w:rPr>
          <w:rFonts w:hint="eastAsia" w:ascii="宋体" w:hAnsi="宋体" w:cs="宋体"/>
          <w:color w:val="auto"/>
          <w:spacing w:val="20"/>
          <w:kern w:val="0"/>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4FB2331F">
            <w:pPr>
              <w:spacing w:line="420" w:lineRule="exact"/>
              <w:jc w:val="center"/>
              <w:rPr>
                <w:rFonts w:ascii="宋体" w:hAnsi="宋体" w:cs="宋体"/>
                <w:b/>
                <w:color w:val="auto"/>
                <w:sz w:val="24"/>
              </w:rPr>
            </w:pPr>
            <w:r>
              <w:rPr>
                <w:rFonts w:hint="eastAsia" w:ascii="宋体" w:hAnsi="宋体" w:cs="宋体"/>
                <w:b/>
                <w:color w:val="auto"/>
                <w:sz w:val="24"/>
              </w:rPr>
              <w:t>名  称</w:t>
            </w:r>
          </w:p>
        </w:tc>
        <w:tc>
          <w:tcPr>
            <w:tcW w:w="1005" w:type="dxa"/>
            <w:vAlign w:val="center"/>
          </w:tcPr>
          <w:p w14:paraId="02600308">
            <w:pPr>
              <w:spacing w:line="420" w:lineRule="exact"/>
              <w:jc w:val="center"/>
              <w:rPr>
                <w:rFonts w:ascii="宋体" w:hAnsi="宋体" w:cs="宋体"/>
                <w:b/>
                <w:color w:val="auto"/>
                <w:sz w:val="24"/>
              </w:rPr>
            </w:pPr>
            <w:r>
              <w:rPr>
                <w:rFonts w:hint="eastAsia" w:ascii="宋体" w:hAnsi="宋体" w:cs="宋体"/>
                <w:b/>
                <w:color w:val="auto"/>
                <w:sz w:val="24"/>
              </w:rPr>
              <w:t>姓 名</w:t>
            </w:r>
          </w:p>
        </w:tc>
        <w:tc>
          <w:tcPr>
            <w:tcW w:w="1650" w:type="dxa"/>
            <w:vAlign w:val="center"/>
          </w:tcPr>
          <w:p w14:paraId="38610A6C">
            <w:pPr>
              <w:spacing w:line="420" w:lineRule="exact"/>
              <w:jc w:val="center"/>
              <w:rPr>
                <w:rFonts w:ascii="宋体" w:hAnsi="宋体" w:cs="宋体"/>
                <w:b/>
                <w:color w:val="auto"/>
                <w:sz w:val="24"/>
              </w:rPr>
            </w:pPr>
            <w:r>
              <w:rPr>
                <w:rFonts w:hint="eastAsia" w:ascii="宋体" w:hAnsi="宋体" w:cs="宋体"/>
                <w:b/>
                <w:color w:val="auto"/>
                <w:sz w:val="24"/>
              </w:rPr>
              <w:t>职务或职称</w:t>
            </w:r>
          </w:p>
        </w:tc>
        <w:tc>
          <w:tcPr>
            <w:tcW w:w="3750" w:type="dxa"/>
            <w:vAlign w:val="center"/>
          </w:tcPr>
          <w:p w14:paraId="7DD993C5">
            <w:pPr>
              <w:spacing w:line="420" w:lineRule="exact"/>
              <w:jc w:val="center"/>
              <w:rPr>
                <w:rFonts w:ascii="宋体" w:hAnsi="宋体" w:cs="宋体"/>
                <w:b/>
                <w:color w:val="auto"/>
                <w:sz w:val="24"/>
              </w:rPr>
            </w:pPr>
            <w:r>
              <w:rPr>
                <w:rFonts w:hint="eastAsia" w:ascii="宋体" w:hAnsi="宋体" w:cs="宋体"/>
                <w:b/>
                <w:color w:val="auto"/>
                <w:sz w:val="24"/>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rPr>
            </w:pPr>
            <w:r>
              <w:rPr>
                <w:rFonts w:hint="eastAsia" w:ascii="宋体" w:hAnsi="宋体" w:cs="宋体"/>
                <w:color w:val="auto"/>
                <w:sz w:val="24"/>
              </w:rPr>
              <w:t>一、总部</w:t>
            </w:r>
          </w:p>
        </w:tc>
        <w:tc>
          <w:tcPr>
            <w:tcW w:w="1005" w:type="dxa"/>
            <w:vAlign w:val="center"/>
          </w:tcPr>
          <w:p w14:paraId="7A7EB815">
            <w:pPr>
              <w:spacing w:line="420" w:lineRule="exact"/>
              <w:jc w:val="center"/>
              <w:rPr>
                <w:rFonts w:ascii="宋体" w:hAnsi="宋体" w:cs="宋体"/>
                <w:color w:val="auto"/>
                <w:sz w:val="24"/>
              </w:rPr>
            </w:pPr>
          </w:p>
        </w:tc>
        <w:tc>
          <w:tcPr>
            <w:tcW w:w="1650" w:type="dxa"/>
            <w:vAlign w:val="center"/>
          </w:tcPr>
          <w:p w14:paraId="6A68FC7B">
            <w:pPr>
              <w:spacing w:line="420" w:lineRule="exact"/>
              <w:jc w:val="center"/>
              <w:rPr>
                <w:rFonts w:ascii="宋体" w:hAnsi="宋体" w:cs="宋体"/>
                <w:color w:val="auto"/>
                <w:sz w:val="24"/>
              </w:rPr>
            </w:pPr>
          </w:p>
        </w:tc>
        <w:tc>
          <w:tcPr>
            <w:tcW w:w="3750" w:type="dxa"/>
            <w:vAlign w:val="center"/>
          </w:tcPr>
          <w:p w14:paraId="58AAE874">
            <w:pPr>
              <w:spacing w:line="420" w:lineRule="exact"/>
              <w:jc w:val="center"/>
              <w:rPr>
                <w:rFonts w:ascii="宋体" w:hAnsi="宋体" w:cs="宋体"/>
                <w:color w:val="auto"/>
                <w:sz w:val="24"/>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项目主管</w:t>
            </w:r>
          </w:p>
        </w:tc>
        <w:tc>
          <w:tcPr>
            <w:tcW w:w="1005" w:type="dxa"/>
            <w:vAlign w:val="center"/>
          </w:tcPr>
          <w:p w14:paraId="67496827">
            <w:pPr>
              <w:spacing w:line="420" w:lineRule="exact"/>
              <w:jc w:val="center"/>
              <w:rPr>
                <w:rFonts w:ascii="宋体" w:hAnsi="宋体" w:cs="宋体"/>
                <w:color w:val="auto"/>
                <w:sz w:val="24"/>
              </w:rPr>
            </w:pPr>
          </w:p>
        </w:tc>
        <w:tc>
          <w:tcPr>
            <w:tcW w:w="1650" w:type="dxa"/>
            <w:vAlign w:val="center"/>
          </w:tcPr>
          <w:p w14:paraId="062D8241">
            <w:pPr>
              <w:spacing w:line="420" w:lineRule="exact"/>
              <w:jc w:val="center"/>
              <w:rPr>
                <w:rFonts w:ascii="宋体" w:hAnsi="宋体" w:cs="宋体"/>
                <w:color w:val="auto"/>
                <w:sz w:val="24"/>
              </w:rPr>
            </w:pPr>
          </w:p>
        </w:tc>
        <w:tc>
          <w:tcPr>
            <w:tcW w:w="3750" w:type="dxa"/>
            <w:vAlign w:val="center"/>
          </w:tcPr>
          <w:p w14:paraId="1AEAA22D">
            <w:pPr>
              <w:spacing w:line="420" w:lineRule="exact"/>
              <w:jc w:val="center"/>
              <w:rPr>
                <w:rFonts w:ascii="宋体" w:hAnsi="宋体" w:cs="宋体"/>
                <w:color w:val="auto"/>
                <w:sz w:val="24"/>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其他人员</w:t>
            </w:r>
          </w:p>
        </w:tc>
        <w:tc>
          <w:tcPr>
            <w:tcW w:w="1005" w:type="dxa"/>
            <w:vAlign w:val="center"/>
          </w:tcPr>
          <w:p w14:paraId="41E842EC">
            <w:pPr>
              <w:spacing w:line="420" w:lineRule="exact"/>
              <w:jc w:val="center"/>
              <w:rPr>
                <w:rFonts w:ascii="宋体" w:hAnsi="宋体" w:cs="宋体"/>
                <w:color w:val="auto"/>
                <w:sz w:val="24"/>
              </w:rPr>
            </w:pPr>
          </w:p>
        </w:tc>
        <w:tc>
          <w:tcPr>
            <w:tcW w:w="1650" w:type="dxa"/>
            <w:vAlign w:val="center"/>
          </w:tcPr>
          <w:p w14:paraId="065C2092">
            <w:pPr>
              <w:spacing w:line="420" w:lineRule="exact"/>
              <w:jc w:val="center"/>
              <w:rPr>
                <w:rFonts w:ascii="宋体" w:hAnsi="宋体" w:cs="宋体"/>
                <w:color w:val="auto"/>
                <w:sz w:val="24"/>
              </w:rPr>
            </w:pPr>
          </w:p>
        </w:tc>
        <w:tc>
          <w:tcPr>
            <w:tcW w:w="3750" w:type="dxa"/>
            <w:vAlign w:val="center"/>
          </w:tcPr>
          <w:p w14:paraId="175A236F">
            <w:pPr>
              <w:spacing w:line="420" w:lineRule="exact"/>
              <w:ind w:firstLine="480" w:firstLineChars="200"/>
              <w:jc w:val="center"/>
              <w:rPr>
                <w:rFonts w:ascii="宋体" w:hAnsi="宋体" w:cs="宋体"/>
                <w:color w:val="auto"/>
                <w:sz w:val="24"/>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rPr>
            </w:pPr>
            <w:r>
              <w:rPr>
                <w:rFonts w:hint="eastAsia" w:ascii="宋体" w:hAnsi="宋体" w:cs="宋体"/>
                <w:color w:val="auto"/>
                <w:sz w:val="24"/>
              </w:rPr>
              <w:t>二、现场</w:t>
            </w:r>
          </w:p>
        </w:tc>
        <w:tc>
          <w:tcPr>
            <w:tcW w:w="1005" w:type="dxa"/>
            <w:vAlign w:val="center"/>
          </w:tcPr>
          <w:p w14:paraId="4CCBF406">
            <w:pPr>
              <w:spacing w:line="420" w:lineRule="exact"/>
              <w:jc w:val="center"/>
              <w:rPr>
                <w:rFonts w:ascii="宋体" w:hAnsi="宋体" w:cs="宋体"/>
                <w:color w:val="auto"/>
                <w:sz w:val="24"/>
              </w:rPr>
            </w:pPr>
          </w:p>
        </w:tc>
        <w:tc>
          <w:tcPr>
            <w:tcW w:w="1650" w:type="dxa"/>
            <w:vAlign w:val="center"/>
          </w:tcPr>
          <w:p w14:paraId="475D5A34">
            <w:pPr>
              <w:spacing w:line="420" w:lineRule="exact"/>
              <w:jc w:val="center"/>
              <w:rPr>
                <w:rFonts w:ascii="宋体" w:hAnsi="宋体" w:cs="宋体"/>
                <w:color w:val="auto"/>
                <w:sz w:val="24"/>
              </w:rPr>
            </w:pPr>
          </w:p>
        </w:tc>
        <w:tc>
          <w:tcPr>
            <w:tcW w:w="3750" w:type="dxa"/>
            <w:vAlign w:val="center"/>
          </w:tcPr>
          <w:p w14:paraId="635A566E">
            <w:pPr>
              <w:spacing w:line="420" w:lineRule="exact"/>
              <w:jc w:val="center"/>
              <w:rPr>
                <w:rFonts w:ascii="宋体" w:hAnsi="宋体" w:cs="宋体"/>
                <w:color w:val="auto"/>
                <w:sz w:val="24"/>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2D360D23">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项目经理（建造师）</w:t>
            </w:r>
          </w:p>
        </w:tc>
        <w:tc>
          <w:tcPr>
            <w:tcW w:w="1005" w:type="dxa"/>
            <w:vAlign w:val="center"/>
          </w:tcPr>
          <w:p w14:paraId="0DA2C472">
            <w:pPr>
              <w:spacing w:line="420" w:lineRule="exact"/>
              <w:jc w:val="center"/>
              <w:rPr>
                <w:rFonts w:ascii="宋体" w:hAnsi="宋体" w:cs="宋体"/>
                <w:color w:val="auto"/>
                <w:sz w:val="24"/>
              </w:rPr>
            </w:pPr>
          </w:p>
        </w:tc>
        <w:tc>
          <w:tcPr>
            <w:tcW w:w="1650" w:type="dxa"/>
            <w:vAlign w:val="center"/>
          </w:tcPr>
          <w:p w14:paraId="3856FCE4">
            <w:pPr>
              <w:spacing w:line="420" w:lineRule="exact"/>
              <w:jc w:val="center"/>
              <w:rPr>
                <w:rFonts w:ascii="宋体" w:hAnsi="宋体" w:cs="宋体"/>
                <w:color w:val="auto"/>
                <w:sz w:val="24"/>
              </w:rPr>
            </w:pPr>
          </w:p>
        </w:tc>
        <w:tc>
          <w:tcPr>
            <w:tcW w:w="3750" w:type="dxa"/>
            <w:vAlign w:val="center"/>
          </w:tcPr>
          <w:p w14:paraId="7C30887F">
            <w:pPr>
              <w:spacing w:line="420" w:lineRule="exact"/>
              <w:jc w:val="center"/>
              <w:rPr>
                <w:rFonts w:ascii="宋体" w:hAnsi="宋体" w:cs="宋体"/>
                <w:color w:val="auto"/>
                <w:sz w:val="24"/>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技术负责人</w:t>
            </w:r>
          </w:p>
        </w:tc>
        <w:tc>
          <w:tcPr>
            <w:tcW w:w="1005" w:type="dxa"/>
            <w:vAlign w:val="center"/>
          </w:tcPr>
          <w:p w14:paraId="0D9B60CA">
            <w:pPr>
              <w:spacing w:line="420" w:lineRule="exact"/>
              <w:jc w:val="center"/>
              <w:rPr>
                <w:rFonts w:ascii="宋体" w:hAnsi="宋体" w:cs="宋体"/>
                <w:color w:val="auto"/>
                <w:sz w:val="24"/>
              </w:rPr>
            </w:pPr>
          </w:p>
        </w:tc>
        <w:tc>
          <w:tcPr>
            <w:tcW w:w="1650" w:type="dxa"/>
            <w:vAlign w:val="center"/>
          </w:tcPr>
          <w:p w14:paraId="1CDCCDD9">
            <w:pPr>
              <w:spacing w:line="420" w:lineRule="exact"/>
              <w:jc w:val="center"/>
              <w:rPr>
                <w:rFonts w:ascii="宋体" w:hAnsi="宋体" w:cs="宋体"/>
                <w:color w:val="auto"/>
                <w:sz w:val="24"/>
              </w:rPr>
            </w:pPr>
          </w:p>
        </w:tc>
        <w:tc>
          <w:tcPr>
            <w:tcW w:w="3750" w:type="dxa"/>
            <w:vAlign w:val="center"/>
          </w:tcPr>
          <w:p w14:paraId="5DD1B49A">
            <w:pPr>
              <w:spacing w:line="420" w:lineRule="exact"/>
              <w:jc w:val="center"/>
              <w:rPr>
                <w:rFonts w:ascii="宋体" w:hAnsi="宋体" w:cs="宋体"/>
                <w:color w:val="auto"/>
                <w:sz w:val="24"/>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施工员</w:t>
            </w:r>
          </w:p>
        </w:tc>
        <w:tc>
          <w:tcPr>
            <w:tcW w:w="1005" w:type="dxa"/>
            <w:vAlign w:val="center"/>
          </w:tcPr>
          <w:p w14:paraId="67063310">
            <w:pPr>
              <w:spacing w:line="420" w:lineRule="exact"/>
              <w:jc w:val="center"/>
              <w:rPr>
                <w:rFonts w:ascii="宋体" w:hAnsi="宋体" w:cs="宋体"/>
                <w:color w:val="auto"/>
                <w:sz w:val="24"/>
              </w:rPr>
            </w:pPr>
          </w:p>
        </w:tc>
        <w:tc>
          <w:tcPr>
            <w:tcW w:w="1650" w:type="dxa"/>
            <w:vAlign w:val="center"/>
          </w:tcPr>
          <w:p w14:paraId="73E1DD6D">
            <w:pPr>
              <w:spacing w:line="420" w:lineRule="exact"/>
              <w:jc w:val="center"/>
              <w:rPr>
                <w:rFonts w:ascii="宋体" w:hAnsi="宋体" w:cs="宋体"/>
                <w:color w:val="auto"/>
                <w:sz w:val="24"/>
              </w:rPr>
            </w:pPr>
          </w:p>
        </w:tc>
        <w:tc>
          <w:tcPr>
            <w:tcW w:w="3750" w:type="dxa"/>
            <w:vAlign w:val="center"/>
          </w:tcPr>
          <w:p w14:paraId="3AF89F07">
            <w:pPr>
              <w:spacing w:line="420" w:lineRule="exact"/>
              <w:jc w:val="center"/>
              <w:rPr>
                <w:rFonts w:ascii="宋体" w:hAnsi="宋体" w:cs="宋体"/>
                <w:color w:val="auto"/>
                <w:sz w:val="24"/>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安全员</w:t>
            </w:r>
          </w:p>
        </w:tc>
        <w:tc>
          <w:tcPr>
            <w:tcW w:w="1005" w:type="dxa"/>
            <w:vAlign w:val="center"/>
          </w:tcPr>
          <w:p w14:paraId="1E814225">
            <w:pPr>
              <w:spacing w:line="420" w:lineRule="exact"/>
              <w:jc w:val="center"/>
              <w:rPr>
                <w:rFonts w:ascii="宋体" w:hAnsi="宋体" w:cs="宋体"/>
                <w:color w:val="auto"/>
                <w:sz w:val="24"/>
              </w:rPr>
            </w:pPr>
          </w:p>
        </w:tc>
        <w:tc>
          <w:tcPr>
            <w:tcW w:w="1650" w:type="dxa"/>
            <w:vAlign w:val="center"/>
          </w:tcPr>
          <w:p w14:paraId="5FD35563">
            <w:pPr>
              <w:spacing w:line="420" w:lineRule="exact"/>
              <w:jc w:val="center"/>
              <w:rPr>
                <w:rFonts w:ascii="宋体" w:hAnsi="宋体" w:cs="宋体"/>
                <w:color w:val="auto"/>
                <w:sz w:val="24"/>
              </w:rPr>
            </w:pPr>
          </w:p>
        </w:tc>
        <w:tc>
          <w:tcPr>
            <w:tcW w:w="3750" w:type="dxa"/>
            <w:vAlign w:val="center"/>
          </w:tcPr>
          <w:p w14:paraId="497FAFE6">
            <w:pPr>
              <w:spacing w:line="420" w:lineRule="exact"/>
              <w:jc w:val="center"/>
              <w:rPr>
                <w:rFonts w:ascii="宋体" w:hAnsi="宋体" w:cs="宋体"/>
                <w:color w:val="auto"/>
                <w:sz w:val="24"/>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质量员</w:t>
            </w:r>
          </w:p>
        </w:tc>
        <w:tc>
          <w:tcPr>
            <w:tcW w:w="1005" w:type="dxa"/>
            <w:vAlign w:val="center"/>
          </w:tcPr>
          <w:p w14:paraId="494C03C5">
            <w:pPr>
              <w:spacing w:line="420" w:lineRule="exact"/>
              <w:jc w:val="center"/>
              <w:rPr>
                <w:rFonts w:ascii="宋体" w:hAnsi="宋体" w:cs="宋体"/>
                <w:color w:val="auto"/>
                <w:sz w:val="24"/>
              </w:rPr>
            </w:pPr>
          </w:p>
        </w:tc>
        <w:tc>
          <w:tcPr>
            <w:tcW w:w="1650" w:type="dxa"/>
            <w:vAlign w:val="center"/>
          </w:tcPr>
          <w:p w14:paraId="04398B04">
            <w:pPr>
              <w:spacing w:line="420" w:lineRule="exact"/>
              <w:jc w:val="center"/>
              <w:rPr>
                <w:rFonts w:ascii="宋体" w:hAnsi="宋体" w:cs="宋体"/>
                <w:color w:val="auto"/>
                <w:sz w:val="24"/>
              </w:rPr>
            </w:pPr>
          </w:p>
        </w:tc>
        <w:tc>
          <w:tcPr>
            <w:tcW w:w="3750" w:type="dxa"/>
            <w:vAlign w:val="center"/>
          </w:tcPr>
          <w:p w14:paraId="2E96C1E4">
            <w:pPr>
              <w:spacing w:line="420" w:lineRule="exact"/>
              <w:jc w:val="center"/>
              <w:rPr>
                <w:rFonts w:ascii="宋体" w:hAnsi="宋体" w:cs="宋体"/>
                <w:color w:val="auto"/>
                <w:sz w:val="24"/>
              </w:rPr>
            </w:pPr>
          </w:p>
        </w:tc>
      </w:tr>
      <w:tr w14:paraId="6C0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27FF364">
            <w:pPr>
              <w:spacing w:line="420" w:lineRule="exact"/>
              <w:rPr>
                <w:rFonts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专职电工</w:t>
            </w:r>
          </w:p>
        </w:tc>
        <w:tc>
          <w:tcPr>
            <w:tcW w:w="1005" w:type="dxa"/>
            <w:vAlign w:val="center"/>
          </w:tcPr>
          <w:p w14:paraId="11A92C15">
            <w:pPr>
              <w:spacing w:line="420" w:lineRule="exact"/>
              <w:jc w:val="center"/>
              <w:rPr>
                <w:rFonts w:ascii="宋体" w:hAnsi="宋体" w:cs="宋体"/>
                <w:color w:val="auto"/>
                <w:sz w:val="24"/>
              </w:rPr>
            </w:pPr>
          </w:p>
        </w:tc>
        <w:tc>
          <w:tcPr>
            <w:tcW w:w="1650" w:type="dxa"/>
            <w:vAlign w:val="center"/>
          </w:tcPr>
          <w:p w14:paraId="220CD28F">
            <w:pPr>
              <w:spacing w:line="420" w:lineRule="exact"/>
              <w:jc w:val="center"/>
              <w:rPr>
                <w:rFonts w:ascii="宋体" w:hAnsi="宋体" w:cs="宋体"/>
                <w:color w:val="auto"/>
                <w:sz w:val="24"/>
              </w:rPr>
            </w:pPr>
          </w:p>
        </w:tc>
        <w:tc>
          <w:tcPr>
            <w:tcW w:w="3750" w:type="dxa"/>
            <w:vAlign w:val="center"/>
          </w:tcPr>
          <w:p w14:paraId="60F682E0">
            <w:pPr>
              <w:spacing w:line="420" w:lineRule="exact"/>
              <w:jc w:val="center"/>
              <w:rPr>
                <w:rFonts w:ascii="宋体" w:hAnsi="宋体" w:cs="宋体"/>
                <w:color w:val="auto"/>
                <w:sz w:val="24"/>
              </w:rPr>
            </w:pPr>
          </w:p>
        </w:tc>
      </w:tr>
    </w:tbl>
    <w:p w14:paraId="0008D63D">
      <w:pPr>
        <w:ind w:firstLine="602" w:firstLineChars="250"/>
        <w:rPr>
          <w:rFonts w:ascii="宋体" w:hAnsi="宋体" w:cs="宋体"/>
          <w:b/>
          <w:color w:val="auto"/>
          <w:sz w:val="24"/>
        </w:rPr>
      </w:pPr>
    </w:p>
    <w:p w14:paraId="6E0F8C58">
      <w:pPr>
        <w:ind w:firstLine="410" w:firstLineChars="170"/>
        <w:rPr>
          <w:rFonts w:ascii="宋体" w:hAnsi="宋体" w:cs="宋体"/>
          <w:b/>
          <w:color w:val="auto"/>
          <w:sz w:val="24"/>
        </w:rPr>
      </w:pPr>
      <w:r>
        <w:rPr>
          <w:rFonts w:hint="eastAsia" w:ascii="宋体" w:hAnsi="宋体" w:cs="宋体"/>
          <w:b/>
          <w:color w:val="auto"/>
          <w:sz w:val="24"/>
        </w:rPr>
        <w:t>注：附拟投入本项目管理机构人员执业资格证或上岗证书、截标时间前1个月的社保缴费证明复印件</w:t>
      </w:r>
    </w:p>
    <w:p w14:paraId="6587EFEC">
      <w:pPr>
        <w:pStyle w:val="16"/>
        <w:rPr>
          <w:rFonts w:ascii="宋体" w:hAnsi="宋体" w:cs="宋体"/>
          <w:color w:val="auto"/>
          <w:sz w:val="24"/>
          <w:szCs w:val="24"/>
        </w:rPr>
      </w:pPr>
    </w:p>
    <w:p w14:paraId="2B0C2433">
      <w:pPr>
        <w:autoSpaceDE w:val="0"/>
        <w:autoSpaceDN w:val="0"/>
        <w:adjustRightInd w:val="0"/>
        <w:spacing w:line="420" w:lineRule="exact"/>
        <w:rPr>
          <w:rFonts w:ascii="宋体" w:hAnsi="宋体" w:cs="宋体"/>
          <w:color w:val="auto"/>
          <w:sz w:val="24"/>
        </w:rPr>
      </w:pPr>
    </w:p>
    <w:p w14:paraId="0BD58ED9">
      <w:pPr>
        <w:spacing w:line="300" w:lineRule="auto"/>
        <w:jc w:val="left"/>
        <w:rPr>
          <w:rFonts w:ascii="黑体" w:hAnsi="黑体" w:eastAsia="黑体" w:cs="黑体"/>
          <w:b/>
          <w:bCs/>
          <w:color w:val="auto"/>
          <w:sz w:val="28"/>
          <w:szCs w:val="28"/>
        </w:rPr>
      </w:pPr>
    </w:p>
    <w:p w14:paraId="1AD5D7E7">
      <w:pPr>
        <w:spacing w:line="300" w:lineRule="auto"/>
        <w:jc w:val="left"/>
        <w:rPr>
          <w:rFonts w:ascii="黑体" w:hAnsi="黑体" w:eastAsia="黑体" w:cs="黑体"/>
          <w:b/>
          <w:bCs/>
          <w:color w:val="auto"/>
          <w:sz w:val="28"/>
          <w:szCs w:val="28"/>
        </w:rPr>
      </w:pPr>
    </w:p>
    <w:p w14:paraId="18C86DD2">
      <w:pPr>
        <w:spacing w:line="300" w:lineRule="auto"/>
        <w:jc w:val="left"/>
        <w:rPr>
          <w:rFonts w:ascii="黑体" w:hAnsi="黑体" w:eastAsia="黑体" w:cs="黑体"/>
          <w:b/>
          <w:bCs/>
          <w:color w:val="auto"/>
          <w:sz w:val="28"/>
          <w:szCs w:val="28"/>
        </w:rPr>
      </w:pPr>
    </w:p>
    <w:p w14:paraId="5C29CDE8">
      <w:pPr>
        <w:spacing w:line="300" w:lineRule="auto"/>
        <w:jc w:val="left"/>
        <w:rPr>
          <w:rFonts w:ascii="黑体" w:hAnsi="黑体" w:eastAsia="黑体" w:cs="黑体"/>
          <w:b/>
          <w:bCs/>
          <w:color w:val="auto"/>
          <w:sz w:val="28"/>
          <w:szCs w:val="28"/>
        </w:rPr>
      </w:pPr>
    </w:p>
    <w:p w14:paraId="4ACD1519">
      <w:pPr>
        <w:spacing w:line="300" w:lineRule="auto"/>
        <w:jc w:val="left"/>
        <w:rPr>
          <w:rFonts w:ascii="黑体" w:hAnsi="黑体" w:eastAsia="黑体" w:cs="黑体"/>
          <w:color w:val="auto"/>
          <w:sz w:val="28"/>
          <w:szCs w:val="28"/>
        </w:rPr>
      </w:pPr>
    </w:p>
    <w:p w14:paraId="38AF356D">
      <w:pPr>
        <w:spacing w:line="300" w:lineRule="auto"/>
        <w:jc w:val="left"/>
        <w:rPr>
          <w:rFonts w:ascii="黑体" w:hAnsi="黑体" w:eastAsia="黑体" w:cs="黑体"/>
          <w:color w:val="auto"/>
          <w:sz w:val="28"/>
          <w:szCs w:val="28"/>
        </w:rPr>
      </w:pPr>
    </w:p>
    <w:p w14:paraId="34A16C2B">
      <w:pPr>
        <w:spacing w:line="300" w:lineRule="auto"/>
        <w:jc w:val="left"/>
        <w:rPr>
          <w:rFonts w:ascii="黑体" w:hAnsi="黑体" w:eastAsia="黑体" w:cs="黑体"/>
          <w:color w:val="auto"/>
          <w:sz w:val="28"/>
          <w:szCs w:val="28"/>
        </w:rPr>
      </w:pPr>
    </w:p>
    <w:p w14:paraId="2FBF71BB">
      <w:pPr>
        <w:pStyle w:val="11"/>
        <w:ind w:left="1260"/>
        <w:rPr>
          <w:color w:val="auto"/>
        </w:rPr>
      </w:pPr>
    </w:p>
    <w:p w14:paraId="5E7AF10B">
      <w:pPr>
        <w:spacing w:line="300" w:lineRule="auto"/>
        <w:jc w:val="left"/>
        <w:rPr>
          <w:rFonts w:ascii="黑体" w:hAnsi="黑体" w:eastAsia="黑体" w:cs="黑体"/>
          <w:b/>
          <w:bCs/>
          <w:color w:val="auto"/>
          <w:sz w:val="28"/>
          <w:szCs w:val="28"/>
        </w:rPr>
      </w:pPr>
      <w:r>
        <w:rPr>
          <w:rFonts w:hint="eastAsia" w:ascii="宋体" w:hAnsi="宋体" w:cs="宋体"/>
          <w:color w:val="auto"/>
          <w:spacing w:val="20"/>
          <w:sz w:val="24"/>
        </w:rPr>
        <w:t xml:space="preserve">附表2            </w:t>
      </w:r>
      <w:r>
        <w:rPr>
          <w:rFonts w:hint="eastAsia" w:ascii="黑体" w:hAnsi="黑体" w:eastAsia="黑体" w:cs="黑体"/>
          <w:color w:val="auto"/>
          <w:sz w:val="28"/>
          <w:szCs w:val="28"/>
        </w:rPr>
        <w:t xml:space="preserve">  </w:t>
      </w:r>
      <w:r>
        <w:rPr>
          <w:rFonts w:hint="eastAsia" w:ascii="黑体" w:hAnsi="黑体" w:eastAsia="黑体" w:cs="黑体"/>
          <w:b/>
          <w:bCs/>
          <w:color w:val="auto"/>
          <w:sz w:val="28"/>
          <w:szCs w:val="28"/>
        </w:rPr>
        <w:t xml:space="preserve"> </w:t>
      </w:r>
    </w:p>
    <w:p w14:paraId="2D7E123B">
      <w:pPr>
        <w:spacing w:line="300" w:lineRule="auto"/>
        <w:ind w:firstLine="3373" w:firstLineChars="1200"/>
        <w:jc w:val="left"/>
        <w:rPr>
          <w:rFonts w:ascii="宋体" w:hAnsi="宋体" w:cs="宋体"/>
          <w:color w:val="auto"/>
          <w:spacing w:val="20"/>
          <w:sz w:val="28"/>
          <w:szCs w:val="28"/>
        </w:rPr>
      </w:pPr>
      <w:r>
        <w:rPr>
          <w:rFonts w:hint="eastAsia" w:ascii="宋体" w:hAnsi="宋体" w:cs="宋体"/>
          <w:b/>
          <w:bCs/>
          <w:color w:val="auto"/>
          <w:sz w:val="28"/>
          <w:szCs w:val="28"/>
        </w:rPr>
        <w:t>拟投入</w:t>
      </w:r>
      <w:r>
        <w:rPr>
          <w:rFonts w:hint="eastAsia" w:ascii="宋体" w:hAnsi="宋体" w:cs="宋体"/>
          <w:b/>
          <w:bCs/>
          <w:color w:val="auto"/>
          <w:spacing w:val="20"/>
          <w:sz w:val="28"/>
          <w:szCs w:val="28"/>
        </w:rPr>
        <w:t>劳动力计划表</w:t>
      </w:r>
    </w:p>
    <w:p w14:paraId="588E361A">
      <w:pPr>
        <w:pStyle w:val="16"/>
        <w:rPr>
          <w:rFonts w:ascii="宋体" w:hAnsi="宋体" w:cs="宋体"/>
          <w:color w:val="auto"/>
          <w:sz w:val="24"/>
          <w:szCs w:val="24"/>
        </w:rPr>
      </w:pPr>
    </w:p>
    <w:p w14:paraId="62BE6706">
      <w:pPr>
        <w:autoSpaceDE w:val="0"/>
        <w:autoSpaceDN w:val="0"/>
        <w:adjustRightInd w:val="0"/>
        <w:spacing w:line="420" w:lineRule="exact"/>
        <w:rPr>
          <w:rFonts w:ascii="宋体" w:hAnsi="宋体" w:cs="宋体"/>
          <w:color w:val="auto"/>
          <w:sz w:val="24"/>
        </w:rPr>
      </w:pPr>
      <w:r>
        <w:rPr>
          <w:rFonts w:hint="eastAsia" w:ascii="宋体" w:hAnsi="宋体" w:cs="宋体"/>
          <w:color w:val="auto"/>
          <w:sz w:val="24"/>
          <w:u w:val="single"/>
        </w:rPr>
        <w:t xml:space="preserve">                     （工程项目名称） </w:t>
      </w:r>
      <w:r>
        <w:rPr>
          <w:rFonts w:hint="eastAsia" w:ascii="宋体" w:hAnsi="宋体" w:cs="宋体"/>
          <w:color w:val="auto"/>
          <w:sz w:val="24"/>
        </w:rPr>
        <w:t>工程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rPr>
            </w:pPr>
          </w:p>
        </w:tc>
        <w:tc>
          <w:tcPr>
            <w:tcW w:w="1115" w:type="dxa"/>
          </w:tcPr>
          <w:p w14:paraId="48ABA73D">
            <w:pPr>
              <w:autoSpaceDE w:val="0"/>
              <w:autoSpaceDN w:val="0"/>
              <w:adjustRightInd w:val="0"/>
              <w:spacing w:line="420" w:lineRule="exact"/>
              <w:rPr>
                <w:rFonts w:ascii="宋体" w:hAnsi="宋体" w:eastAsia="宋体" w:cs="宋体"/>
                <w:color w:val="auto"/>
                <w:sz w:val="24"/>
              </w:rPr>
            </w:pPr>
          </w:p>
        </w:tc>
        <w:tc>
          <w:tcPr>
            <w:tcW w:w="1115" w:type="dxa"/>
          </w:tcPr>
          <w:p w14:paraId="7C3BBC1A">
            <w:pPr>
              <w:autoSpaceDE w:val="0"/>
              <w:autoSpaceDN w:val="0"/>
              <w:adjustRightInd w:val="0"/>
              <w:spacing w:line="420" w:lineRule="exact"/>
              <w:rPr>
                <w:rFonts w:ascii="宋体" w:hAnsi="宋体" w:eastAsia="宋体" w:cs="宋体"/>
                <w:color w:val="auto"/>
                <w:sz w:val="24"/>
              </w:rPr>
            </w:pPr>
          </w:p>
        </w:tc>
        <w:tc>
          <w:tcPr>
            <w:tcW w:w="1115" w:type="dxa"/>
          </w:tcPr>
          <w:p w14:paraId="1AAC35B2">
            <w:pPr>
              <w:autoSpaceDE w:val="0"/>
              <w:autoSpaceDN w:val="0"/>
              <w:adjustRightInd w:val="0"/>
              <w:spacing w:line="420" w:lineRule="exact"/>
              <w:rPr>
                <w:rFonts w:ascii="宋体" w:hAnsi="宋体" w:eastAsia="宋体" w:cs="宋体"/>
                <w:color w:val="auto"/>
                <w:sz w:val="24"/>
              </w:rPr>
            </w:pPr>
          </w:p>
        </w:tc>
        <w:tc>
          <w:tcPr>
            <w:tcW w:w="1115" w:type="dxa"/>
          </w:tcPr>
          <w:p w14:paraId="5B94B811">
            <w:pPr>
              <w:autoSpaceDE w:val="0"/>
              <w:autoSpaceDN w:val="0"/>
              <w:adjustRightInd w:val="0"/>
              <w:spacing w:line="420" w:lineRule="exact"/>
              <w:rPr>
                <w:rFonts w:ascii="宋体" w:hAnsi="宋体" w:eastAsia="宋体" w:cs="宋体"/>
                <w:color w:val="auto"/>
                <w:sz w:val="24"/>
              </w:rPr>
            </w:pPr>
          </w:p>
        </w:tc>
        <w:tc>
          <w:tcPr>
            <w:tcW w:w="1115" w:type="dxa"/>
          </w:tcPr>
          <w:p w14:paraId="73664C2C">
            <w:pPr>
              <w:autoSpaceDE w:val="0"/>
              <w:autoSpaceDN w:val="0"/>
              <w:adjustRightInd w:val="0"/>
              <w:spacing w:line="420" w:lineRule="exact"/>
              <w:rPr>
                <w:rFonts w:ascii="宋体" w:hAnsi="宋体" w:eastAsia="宋体" w:cs="宋体"/>
                <w:color w:val="auto"/>
                <w:sz w:val="24"/>
              </w:rPr>
            </w:pPr>
          </w:p>
        </w:tc>
        <w:tc>
          <w:tcPr>
            <w:tcW w:w="1115" w:type="dxa"/>
          </w:tcPr>
          <w:p w14:paraId="368538AF">
            <w:pPr>
              <w:autoSpaceDE w:val="0"/>
              <w:autoSpaceDN w:val="0"/>
              <w:adjustRightInd w:val="0"/>
              <w:spacing w:line="420" w:lineRule="exact"/>
              <w:rPr>
                <w:rFonts w:ascii="宋体" w:hAnsi="宋体" w:eastAsia="宋体" w:cs="宋体"/>
                <w:color w:val="auto"/>
                <w:sz w:val="24"/>
              </w:rPr>
            </w:pPr>
          </w:p>
        </w:tc>
        <w:tc>
          <w:tcPr>
            <w:tcW w:w="1116" w:type="dxa"/>
          </w:tcPr>
          <w:p w14:paraId="2FDC5F6D">
            <w:pPr>
              <w:autoSpaceDE w:val="0"/>
              <w:autoSpaceDN w:val="0"/>
              <w:adjustRightInd w:val="0"/>
              <w:spacing w:line="420" w:lineRule="exact"/>
              <w:rPr>
                <w:rFonts w:ascii="宋体" w:hAnsi="宋体" w:eastAsia="宋体" w:cs="宋体"/>
                <w:color w:val="auto"/>
                <w:sz w:val="24"/>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rPr>
            </w:pPr>
          </w:p>
        </w:tc>
        <w:tc>
          <w:tcPr>
            <w:tcW w:w="1115" w:type="dxa"/>
          </w:tcPr>
          <w:p w14:paraId="6A12043A">
            <w:pPr>
              <w:autoSpaceDE w:val="0"/>
              <w:autoSpaceDN w:val="0"/>
              <w:adjustRightInd w:val="0"/>
              <w:spacing w:line="420" w:lineRule="exact"/>
              <w:rPr>
                <w:rFonts w:ascii="宋体" w:hAnsi="宋体" w:cs="宋体"/>
                <w:color w:val="auto"/>
                <w:sz w:val="24"/>
              </w:rPr>
            </w:pPr>
          </w:p>
        </w:tc>
        <w:tc>
          <w:tcPr>
            <w:tcW w:w="1115" w:type="dxa"/>
          </w:tcPr>
          <w:p w14:paraId="50390B32">
            <w:pPr>
              <w:autoSpaceDE w:val="0"/>
              <w:autoSpaceDN w:val="0"/>
              <w:adjustRightInd w:val="0"/>
              <w:spacing w:line="420" w:lineRule="exact"/>
              <w:rPr>
                <w:rFonts w:ascii="宋体" w:hAnsi="宋体" w:cs="宋体"/>
                <w:color w:val="auto"/>
                <w:sz w:val="24"/>
              </w:rPr>
            </w:pPr>
          </w:p>
        </w:tc>
        <w:tc>
          <w:tcPr>
            <w:tcW w:w="1115" w:type="dxa"/>
          </w:tcPr>
          <w:p w14:paraId="376F6D1C">
            <w:pPr>
              <w:autoSpaceDE w:val="0"/>
              <w:autoSpaceDN w:val="0"/>
              <w:adjustRightInd w:val="0"/>
              <w:spacing w:line="420" w:lineRule="exact"/>
              <w:rPr>
                <w:rFonts w:ascii="宋体" w:hAnsi="宋体" w:cs="宋体"/>
                <w:color w:val="auto"/>
                <w:sz w:val="24"/>
              </w:rPr>
            </w:pPr>
          </w:p>
        </w:tc>
        <w:tc>
          <w:tcPr>
            <w:tcW w:w="1115" w:type="dxa"/>
          </w:tcPr>
          <w:p w14:paraId="48B98CE2">
            <w:pPr>
              <w:autoSpaceDE w:val="0"/>
              <w:autoSpaceDN w:val="0"/>
              <w:adjustRightInd w:val="0"/>
              <w:spacing w:line="420" w:lineRule="exact"/>
              <w:rPr>
                <w:rFonts w:ascii="宋体" w:hAnsi="宋体" w:cs="宋体"/>
                <w:color w:val="auto"/>
                <w:sz w:val="24"/>
              </w:rPr>
            </w:pPr>
          </w:p>
        </w:tc>
        <w:tc>
          <w:tcPr>
            <w:tcW w:w="1115" w:type="dxa"/>
          </w:tcPr>
          <w:p w14:paraId="115E9F68">
            <w:pPr>
              <w:autoSpaceDE w:val="0"/>
              <w:autoSpaceDN w:val="0"/>
              <w:adjustRightInd w:val="0"/>
              <w:spacing w:line="420" w:lineRule="exact"/>
              <w:rPr>
                <w:rFonts w:ascii="宋体" w:hAnsi="宋体" w:cs="宋体"/>
                <w:color w:val="auto"/>
                <w:sz w:val="24"/>
              </w:rPr>
            </w:pPr>
          </w:p>
        </w:tc>
        <w:tc>
          <w:tcPr>
            <w:tcW w:w="1115" w:type="dxa"/>
          </w:tcPr>
          <w:p w14:paraId="7616226F">
            <w:pPr>
              <w:autoSpaceDE w:val="0"/>
              <w:autoSpaceDN w:val="0"/>
              <w:adjustRightInd w:val="0"/>
              <w:spacing w:line="420" w:lineRule="exact"/>
              <w:rPr>
                <w:rFonts w:ascii="宋体" w:hAnsi="宋体" w:cs="宋体"/>
                <w:color w:val="auto"/>
                <w:sz w:val="24"/>
              </w:rPr>
            </w:pPr>
          </w:p>
        </w:tc>
        <w:tc>
          <w:tcPr>
            <w:tcW w:w="1116" w:type="dxa"/>
          </w:tcPr>
          <w:p w14:paraId="4A33EB5E">
            <w:pPr>
              <w:autoSpaceDE w:val="0"/>
              <w:autoSpaceDN w:val="0"/>
              <w:adjustRightInd w:val="0"/>
              <w:spacing w:line="420" w:lineRule="exact"/>
              <w:rPr>
                <w:rFonts w:ascii="宋体" w:hAnsi="宋体" w:cs="宋体"/>
                <w:color w:val="auto"/>
                <w:sz w:val="24"/>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rPr>
            </w:pPr>
          </w:p>
        </w:tc>
        <w:tc>
          <w:tcPr>
            <w:tcW w:w="1115" w:type="dxa"/>
          </w:tcPr>
          <w:p w14:paraId="4708B796">
            <w:pPr>
              <w:autoSpaceDE w:val="0"/>
              <w:autoSpaceDN w:val="0"/>
              <w:adjustRightInd w:val="0"/>
              <w:spacing w:line="420" w:lineRule="exact"/>
              <w:rPr>
                <w:rFonts w:ascii="宋体" w:hAnsi="宋体" w:cs="宋体"/>
                <w:color w:val="auto"/>
                <w:sz w:val="24"/>
              </w:rPr>
            </w:pPr>
          </w:p>
        </w:tc>
        <w:tc>
          <w:tcPr>
            <w:tcW w:w="1115" w:type="dxa"/>
          </w:tcPr>
          <w:p w14:paraId="3477C2D2">
            <w:pPr>
              <w:autoSpaceDE w:val="0"/>
              <w:autoSpaceDN w:val="0"/>
              <w:adjustRightInd w:val="0"/>
              <w:spacing w:line="420" w:lineRule="exact"/>
              <w:rPr>
                <w:rFonts w:ascii="宋体" w:hAnsi="宋体" w:cs="宋体"/>
                <w:color w:val="auto"/>
                <w:sz w:val="24"/>
              </w:rPr>
            </w:pPr>
          </w:p>
        </w:tc>
        <w:tc>
          <w:tcPr>
            <w:tcW w:w="1115" w:type="dxa"/>
          </w:tcPr>
          <w:p w14:paraId="7179B725">
            <w:pPr>
              <w:autoSpaceDE w:val="0"/>
              <w:autoSpaceDN w:val="0"/>
              <w:adjustRightInd w:val="0"/>
              <w:spacing w:line="420" w:lineRule="exact"/>
              <w:rPr>
                <w:rFonts w:ascii="宋体" w:hAnsi="宋体" w:cs="宋体"/>
                <w:color w:val="auto"/>
                <w:sz w:val="24"/>
              </w:rPr>
            </w:pPr>
          </w:p>
        </w:tc>
        <w:tc>
          <w:tcPr>
            <w:tcW w:w="1115" w:type="dxa"/>
          </w:tcPr>
          <w:p w14:paraId="657403DF">
            <w:pPr>
              <w:autoSpaceDE w:val="0"/>
              <w:autoSpaceDN w:val="0"/>
              <w:adjustRightInd w:val="0"/>
              <w:spacing w:line="420" w:lineRule="exact"/>
              <w:rPr>
                <w:rFonts w:ascii="宋体" w:hAnsi="宋体" w:cs="宋体"/>
                <w:color w:val="auto"/>
                <w:sz w:val="24"/>
              </w:rPr>
            </w:pPr>
          </w:p>
        </w:tc>
        <w:tc>
          <w:tcPr>
            <w:tcW w:w="1115" w:type="dxa"/>
          </w:tcPr>
          <w:p w14:paraId="2EC55E8D">
            <w:pPr>
              <w:autoSpaceDE w:val="0"/>
              <w:autoSpaceDN w:val="0"/>
              <w:adjustRightInd w:val="0"/>
              <w:spacing w:line="420" w:lineRule="exact"/>
              <w:rPr>
                <w:rFonts w:ascii="宋体" w:hAnsi="宋体" w:cs="宋体"/>
                <w:color w:val="auto"/>
                <w:sz w:val="24"/>
              </w:rPr>
            </w:pPr>
          </w:p>
        </w:tc>
        <w:tc>
          <w:tcPr>
            <w:tcW w:w="1115" w:type="dxa"/>
          </w:tcPr>
          <w:p w14:paraId="64C90736">
            <w:pPr>
              <w:autoSpaceDE w:val="0"/>
              <w:autoSpaceDN w:val="0"/>
              <w:adjustRightInd w:val="0"/>
              <w:spacing w:line="420" w:lineRule="exact"/>
              <w:rPr>
                <w:rFonts w:ascii="宋体" w:hAnsi="宋体" w:cs="宋体"/>
                <w:color w:val="auto"/>
                <w:sz w:val="24"/>
              </w:rPr>
            </w:pPr>
          </w:p>
        </w:tc>
        <w:tc>
          <w:tcPr>
            <w:tcW w:w="1116" w:type="dxa"/>
          </w:tcPr>
          <w:p w14:paraId="0F26811B">
            <w:pPr>
              <w:autoSpaceDE w:val="0"/>
              <w:autoSpaceDN w:val="0"/>
              <w:adjustRightInd w:val="0"/>
              <w:spacing w:line="420" w:lineRule="exact"/>
              <w:rPr>
                <w:rFonts w:ascii="宋体" w:hAnsi="宋体" w:cs="宋体"/>
                <w:color w:val="auto"/>
                <w:sz w:val="24"/>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rPr>
            </w:pPr>
          </w:p>
        </w:tc>
        <w:tc>
          <w:tcPr>
            <w:tcW w:w="1115" w:type="dxa"/>
          </w:tcPr>
          <w:p w14:paraId="10137E76">
            <w:pPr>
              <w:autoSpaceDE w:val="0"/>
              <w:autoSpaceDN w:val="0"/>
              <w:adjustRightInd w:val="0"/>
              <w:spacing w:line="420" w:lineRule="exact"/>
              <w:rPr>
                <w:rFonts w:ascii="宋体" w:hAnsi="宋体" w:cs="宋体"/>
                <w:color w:val="auto"/>
                <w:sz w:val="24"/>
              </w:rPr>
            </w:pPr>
          </w:p>
        </w:tc>
        <w:tc>
          <w:tcPr>
            <w:tcW w:w="1115" w:type="dxa"/>
          </w:tcPr>
          <w:p w14:paraId="56E7263E">
            <w:pPr>
              <w:autoSpaceDE w:val="0"/>
              <w:autoSpaceDN w:val="0"/>
              <w:adjustRightInd w:val="0"/>
              <w:spacing w:line="420" w:lineRule="exact"/>
              <w:rPr>
                <w:rFonts w:ascii="宋体" w:hAnsi="宋体" w:cs="宋体"/>
                <w:color w:val="auto"/>
                <w:sz w:val="24"/>
              </w:rPr>
            </w:pPr>
          </w:p>
        </w:tc>
        <w:tc>
          <w:tcPr>
            <w:tcW w:w="1115" w:type="dxa"/>
          </w:tcPr>
          <w:p w14:paraId="7CB30D42">
            <w:pPr>
              <w:autoSpaceDE w:val="0"/>
              <w:autoSpaceDN w:val="0"/>
              <w:adjustRightInd w:val="0"/>
              <w:spacing w:line="420" w:lineRule="exact"/>
              <w:rPr>
                <w:rFonts w:ascii="宋体" w:hAnsi="宋体" w:cs="宋体"/>
                <w:color w:val="auto"/>
                <w:sz w:val="24"/>
              </w:rPr>
            </w:pPr>
          </w:p>
        </w:tc>
        <w:tc>
          <w:tcPr>
            <w:tcW w:w="1115" w:type="dxa"/>
          </w:tcPr>
          <w:p w14:paraId="7C109D07">
            <w:pPr>
              <w:autoSpaceDE w:val="0"/>
              <w:autoSpaceDN w:val="0"/>
              <w:adjustRightInd w:val="0"/>
              <w:spacing w:line="420" w:lineRule="exact"/>
              <w:rPr>
                <w:rFonts w:ascii="宋体" w:hAnsi="宋体" w:cs="宋体"/>
                <w:color w:val="auto"/>
                <w:sz w:val="24"/>
              </w:rPr>
            </w:pPr>
          </w:p>
        </w:tc>
        <w:tc>
          <w:tcPr>
            <w:tcW w:w="1115" w:type="dxa"/>
          </w:tcPr>
          <w:p w14:paraId="2464FFB8">
            <w:pPr>
              <w:autoSpaceDE w:val="0"/>
              <w:autoSpaceDN w:val="0"/>
              <w:adjustRightInd w:val="0"/>
              <w:spacing w:line="420" w:lineRule="exact"/>
              <w:rPr>
                <w:rFonts w:ascii="宋体" w:hAnsi="宋体" w:cs="宋体"/>
                <w:color w:val="auto"/>
                <w:sz w:val="24"/>
              </w:rPr>
            </w:pPr>
          </w:p>
        </w:tc>
        <w:tc>
          <w:tcPr>
            <w:tcW w:w="1115" w:type="dxa"/>
          </w:tcPr>
          <w:p w14:paraId="51B2F828">
            <w:pPr>
              <w:autoSpaceDE w:val="0"/>
              <w:autoSpaceDN w:val="0"/>
              <w:adjustRightInd w:val="0"/>
              <w:spacing w:line="420" w:lineRule="exact"/>
              <w:rPr>
                <w:rFonts w:ascii="宋体" w:hAnsi="宋体" w:cs="宋体"/>
                <w:color w:val="auto"/>
                <w:sz w:val="24"/>
              </w:rPr>
            </w:pPr>
          </w:p>
        </w:tc>
        <w:tc>
          <w:tcPr>
            <w:tcW w:w="1116" w:type="dxa"/>
          </w:tcPr>
          <w:p w14:paraId="59E6E6DA">
            <w:pPr>
              <w:autoSpaceDE w:val="0"/>
              <w:autoSpaceDN w:val="0"/>
              <w:adjustRightInd w:val="0"/>
              <w:spacing w:line="420" w:lineRule="exact"/>
              <w:rPr>
                <w:rFonts w:ascii="宋体" w:hAnsi="宋体" w:cs="宋体"/>
                <w:color w:val="auto"/>
                <w:sz w:val="24"/>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rPr>
            </w:pPr>
          </w:p>
        </w:tc>
        <w:tc>
          <w:tcPr>
            <w:tcW w:w="1115" w:type="dxa"/>
          </w:tcPr>
          <w:p w14:paraId="72EB5BB4">
            <w:pPr>
              <w:autoSpaceDE w:val="0"/>
              <w:autoSpaceDN w:val="0"/>
              <w:adjustRightInd w:val="0"/>
              <w:spacing w:line="420" w:lineRule="exact"/>
              <w:rPr>
                <w:rFonts w:ascii="宋体" w:hAnsi="宋体" w:cs="宋体"/>
                <w:color w:val="auto"/>
                <w:sz w:val="24"/>
              </w:rPr>
            </w:pPr>
          </w:p>
        </w:tc>
        <w:tc>
          <w:tcPr>
            <w:tcW w:w="1115" w:type="dxa"/>
          </w:tcPr>
          <w:p w14:paraId="4A29ED65">
            <w:pPr>
              <w:autoSpaceDE w:val="0"/>
              <w:autoSpaceDN w:val="0"/>
              <w:adjustRightInd w:val="0"/>
              <w:spacing w:line="420" w:lineRule="exact"/>
              <w:rPr>
                <w:rFonts w:ascii="宋体" w:hAnsi="宋体" w:cs="宋体"/>
                <w:color w:val="auto"/>
                <w:sz w:val="24"/>
              </w:rPr>
            </w:pPr>
          </w:p>
        </w:tc>
        <w:tc>
          <w:tcPr>
            <w:tcW w:w="1115" w:type="dxa"/>
          </w:tcPr>
          <w:p w14:paraId="45850FD6">
            <w:pPr>
              <w:autoSpaceDE w:val="0"/>
              <w:autoSpaceDN w:val="0"/>
              <w:adjustRightInd w:val="0"/>
              <w:spacing w:line="420" w:lineRule="exact"/>
              <w:rPr>
                <w:rFonts w:ascii="宋体" w:hAnsi="宋体" w:cs="宋体"/>
                <w:color w:val="auto"/>
                <w:sz w:val="24"/>
              </w:rPr>
            </w:pPr>
          </w:p>
        </w:tc>
        <w:tc>
          <w:tcPr>
            <w:tcW w:w="1115" w:type="dxa"/>
          </w:tcPr>
          <w:p w14:paraId="1CBD5DE9">
            <w:pPr>
              <w:autoSpaceDE w:val="0"/>
              <w:autoSpaceDN w:val="0"/>
              <w:adjustRightInd w:val="0"/>
              <w:spacing w:line="420" w:lineRule="exact"/>
              <w:rPr>
                <w:rFonts w:ascii="宋体" w:hAnsi="宋体" w:cs="宋体"/>
                <w:color w:val="auto"/>
                <w:sz w:val="24"/>
              </w:rPr>
            </w:pPr>
          </w:p>
        </w:tc>
        <w:tc>
          <w:tcPr>
            <w:tcW w:w="1115" w:type="dxa"/>
          </w:tcPr>
          <w:p w14:paraId="27C86CF7">
            <w:pPr>
              <w:autoSpaceDE w:val="0"/>
              <w:autoSpaceDN w:val="0"/>
              <w:adjustRightInd w:val="0"/>
              <w:spacing w:line="420" w:lineRule="exact"/>
              <w:rPr>
                <w:rFonts w:ascii="宋体" w:hAnsi="宋体" w:cs="宋体"/>
                <w:color w:val="auto"/>
                <w:sz w:val="24"/>
              </w:rPr>
            </w:pPr>
          </w:p>
        </w:tc>
        <w:tc>
          <w:tcPr>
            <w:tcW w:w="1115" w:type="dxa"/>
          </w:tcPr>
          <w:p w14:paraId="4F0917D8">
            <w:pPr>
              <w:autoSpaceDE w:val="0"/>
              <w:autoSpaceDN w:val="0"/>
              <w:adjustRightInd w:val="0"/>
              <w:spacing w:line="420" w:lineRule="exact"/>
              <w:rPr>
                <w:rFonts w:ascii="宋体" w:hAnsi="宋体" w:cs="宋体"/>
                <w:color w:val="auto"/>
                <w:sz w:val="24"/>
              </w:rPr>
            </w:pPr>
          </w:p>
        </w:tc>
        <w:tc>
          <w:tcPr>
            <w:tcW w:w="1116" w:type="dxa"/>
          </w:tcPr>
          <w:p w14:paraId="2AE4AAB0">
            <w:pPr>
              <w:autoSpaceDE w:val="0"/>
              <w:autoSpaceDN w:val="0"/>
              <w:adjustRightInd w:val="0"/>
              <w:spacing w:line="420" w:lineRule="exact"/>
              <w:rPr>
                <w:rFonts w:ascii="宋体" w:hAnsi="宋体" w:cs="宋体"/>
                <w:color w:val="auto"/>
                <w:sz w:val="24"/>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rPr>
            </w:pPr>
          </w:p>
        </w:tc>
        <w:tc>
          <w:tcPr>
            <w:tcW w:w="1115" w:type="dxa"/>
          </w:tcPr>
          <w:p w14:paraId="62D89368">
            <w:pPr>
              <w:autoSpaceDE w:val="0"/>
              <w:autoSpaceDN w:val="0"/>
              <w:adjustRightInd w:val="0"/>
              <w:spacing w:line="420" w:lineRule="exact"/>
              <w:rPr>
                <w:rFonts w:ascii="宋体" w:hAnsi="宋体" w:cs="宋体"/>
                <w:color w:val="auto"/>
                <w:sz w:val="24"/>
              </w:rPr>
            </w:pPr>
          </w:p>
        </w:tc>
        <w:tc>
          <w:tcPr>
            <w:tcW w:w="1115" w:type="dxa"/>
          </w:tcPr>
          <w:p w14:paraId="299BD652">
            <w:pPr>
              <w:autoSpaceDE w:val="0"/>
              <w:autoSpaceDN w:val="0"/>
              <w:adjustRightInd w:val="0"/>
              <w:spacing w:line="420" w:lineRule="exact"/>
              <w:rPr>
                <w:rFonts w:ascii="宋体" w:hAnsi="宋体" w:cs="宋体"/>
                <w:color w:val="auto"/>
                <w:sz w:val="24"/>
              </w:rPr>
            </w:pPr>
          </w:p>
        </w:tc>
        <w:tc>
          <w:tcPr>
            <w:tcW w:w="1115" w:type="dxa"/>
          </w:tcPr>
          <w:p w14:paraId="5A79E3F3">
            <w:pPr>
              <w:autoSpaceDE w:val="0"/>
              <w:autoSpaceDN w:val="0"/>
              <w:adjustRightInd w:val="0"/>
              <w:spacing w:line="420" w:lineRule="exact"/>
              <w:rPr>
                <w:rFonts w:ascii="宋体" w:hAnsi="宋体" w:cs="宋体"/>
                <w:color w:val="auto"/>
                <w:sz w:val="24"/>
              </w:rPr>
            </w:pPr>
          </w:p>
        </w:tc>
        <w:tc>
          <w:tcPr>
            <w:tcW w:w="1115" w:type="dxa"/>
          </w:tcPr>
          <w:p w14:paraId="112ACB27">
            <w:pPr>
              <w:autoSpaceDE w:val="0"/>
              <w:autoSpaceDN w:val="0"/>
              <w:adjustRightInd w:val="0"/>
              <w:spacing w:line="420" w:lineRule="exact"/>
              <w:rPr>
                <w:rFonts w:ascii="宋体" w:hAnsi="宋体" w:cs="宋体"/>
                <w:color w:val="auto"/>
                <w:sz w:val="24"/>
              </w:rPr>
            </w:pPr>
          </w:p>
        </w:tc>
        <w:tc>
          <w:tcPr>
            <w:tcW w:w="1115" w:type="dxa"/>
          </w:tcPr>
          <w:p w14:paraId="31C063E5">
            <w:pPr>
              <w:autoSpaceDE w:val="0"/>
              <w:autoSpaceDN w:val="0"/>
              <w:adjustRightInd w:val="0"/>
              <w:spacing w:line="420" w:lineRule="exact"/>
              <w:rPr>
                <w:rFonts w:ascii="宋体" w:hAnsi="宋体" w:cs="宋体"/>
                <w:color w:val="auto"/>
                <w:sz w:val="24"/>
              </w:rPr>
            </w:pPr>
          </w:p>
        </w:tc>
        <w:tc>
          <w:tcPr>
            <w:tcW w:w="1115" w:type="dxa"/>
          </w:tcPr>
          <w:p w14:paraId="3CC52208">
            <w:pPr>
              <w:autoSpaceDE w:val="0"/>
              <w:autoSpaceDN w:val="0"/>
              <w:adjustRightInd w:val="0"/>
              <w:spacing w:line="420" w:lineRule="exact"/>
              <w:rPr>
                <w:rFonts w:ascii="宋体" w:hAnsi="宋体" w:cs="宋体"/>
                <w:color w:val="auto"/>
                <w:sz w:val="24"/>
              </w:rPr>
            </w:pPr>
          </w:p>
        </w:tc>
        <w:tc>
          <w:tcPr>
            <w:tcW w:w="1116" w:type="dxa"/>
          </w:tcPr>
          <w:p w14:paraId="71B75E93">
            <w:pPr>
              <w:autoSpaceDE w:val="0"/>
              <w:autoSpaceDN w:val="0"/>
              <w:adjustRightInd w:val="0"/>
              <w:spacing w:line="420" w:lineRule="exact"/>
              <w:rPr>
                <w:rFonts w:ascii="宋体" w:hAnsi="宋体" w:cs="宋体"/>
                <w:color w:val="auto"/>
                <w:sz w:val="24"/>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rPr>
            </w:pPr>
          </w:p>
        </w:tc>
        <w:tc>
          <w:tcPr>
            <w:tcW w:w="1115" w:type="dxa"/>
          </w:tcPr>
          <w:p w14:paraId="12F92F1A">
            <w:pPr>
              <w:autoSpaceDE w:val="0"/>
              <w:autoSpaceDN w:val="0"/>
              <w:adjustRightInd w:val="0"/>
              <w:spacing w:line="420" w:lineRule="exact"/>
              <w:rPr>
                <w:rFonts w:ascii="宋体" w:hAnsi="宋体" w:cs="宋体"/>
                <w:color w:val="auto"/>
                <w:sz w:val="24"/>
              </w:rPr>
            </w:pPr>
          </w:p>
        </w:tc>
        <w:tc>
          <w:tcPr>
            <w:tcW w:w="1115" w:type="dxa"/>
          </w:tcPr>
          <w:p w14:paraId="7C90C04C">
            <w:pPr>
              <w:autoSpaceDE w:val="0"/>
              <w:autoSpaceDN w:val="0"/>
              <w:adjustRightInd w:val="0"/>
              <w:spacing w:line="420" w:lineRule="exact"/>
              <w:rPr>
                <w:rFonts w:ascii="宋体" w:hAnsi="宋体" w:cs="宋体"/>
                <w:color w:val="auto"/>
                <w:sz w:val="24"/>
              </w:rPr>
            </w:pPr>
          </w:p>
        </w:tc>
        <w:tc>
          <w:tcPr>
            <w:tcW w:w="1115" w:type="dxa"/>
          </w:tcPr>
          <w:p w14:paraId="582E2B3A">
            <w:pPr>
              <w:autoSpaceDE w:val="0"/>
              <w:autoSpaceDN w:val="0"/>
              <w:adjustRightInd w:val="0"/>
              <w:spacing w:line="420" w:lineRule="exact"/>
              <w:rPr>
                <w:rFonts w:ascii="宋体" w:hAnsi="宋体" w:cs="宋体"/>
                <w:color w:val="auto"/>
                <w:sz w:val="24"/>
              </w:rPr>
            </w:pPr>
          </w:p>
        </w:tc>
        <w:tc>
          <w:tcPr>
            <w:tcW w:w="1115" w:type="dxa"/>
          </w:tcPr>
          <w:p w14:paraId="7E3D4794">
            <w:pPr>
              <w:autoSpaceDE w:val="0"/>
              <w:autoSpaceDN w:val="0"/>
              <w:adjustRightInd w:val="0"/>
              <w:spacing w:line="420" w:lineRule="exact"/>
              <w:rPr>
                <w:rFonts w:ascii="宋体" w:hAnsi="宋体" w:cs="宋体"/>
                <w:color w:val="auto"/>
                <w:sz w:val="24"/>
              </w:rPr>
            </w:pPr>
          </w:p>
        </w:tc>
        <w:tc>
          <w:tcPr>
            <w:tcW w:w="1115" w:type="dxa"/>
          </w:tcPr>
          <w:p w14:paraId="0FEFEE1B">
            <w:pPr>
              <w:autoSpaceDE w:val="0"/>
              <w:autoSpaceDN w:val="0"/>
              <w:adjustRightInd w:val="0"/>
              <w:spacing w:line="420" w:lineRule="exact"/>
              <w:rPr>
                <w:rFonts w:ascii="宋体" w:hAnsi="宋体" w:cs="宋体"/>
                <w:color w:val="auto"/>
                <w:sz w:val="24"/>
              </w:rPr>
            </w:pPr>
          </w:p>
        </w:tc>
        <w:tc>
          <w:tcPr>
            <w:tcW w:w="1115" w:type="dxa"/>
          </w:tcPr>
          <w:p w14:paraId="028E46AC">
            <w:pPr>
              <w:autoSpaceDE w:val="0"/>
              <w:autoSpaceDN w:val="0"/>
              <w:adjustRightInd w:val="0"/>
              <w:spacing w:line="420" w:lineRule="exact"/>
              <w:rPr>
                <w:rFonts w:ascii="宋体" w:hAnsi="宋体" w:cs="宋体"/>
                <w:color w:val="auto"/>
                <w:sz w:val="24"/>
              </w:rPr>
            </w:pPr>
          </w:p>
        </w:tc>
        <w:tc>
          <w:tcPr>
            <w:tcW w:w="1116" w:type="dxa"/>
          </w:tcPr>
          <w:p w14:paraId="2739E531">
            <w:pPr>
              <w:autoSpaceDE w:val="0"/>
              <w:autoSpaceDN w:val="0"/>
              <w:adjustRightInd w:val="0"/>
              <w:spacing w:line="420" w:lineRule="exact"/>
              <w:rPr>
                <w:rFonts w:ascii="宋体" w:hAnsi="宋体" w:cs="宋体"/>
                <w:color w:val="auto"/>
                <w:sz w:val="24"/>
              </w:rPr>
            </w:pPr>
          </w:p>
        </w:tc>
      </w:tr>
    </w:tbl>
    <w:p w14:paraId="50E91412">
      <w:pPr>
        <w:spacing w:line="300" w:lineRule="auto"/>
        <w:rPr>
          <w:rFonts w:ascii="宋体" w:hAnsi="宋体" w:cs="宋体"/>
          <w:b/>
          <w:color w:val="auto"/>
          <w:spacing w:val="20"/>
          <w:kern w:val="0"/>
          <w:sz w:val="24"/>
        </w:rPr>
      </w:pPr>
    </w:p>
    <w:p w14:paraId="18B3D447">
      <w:pPr>
        <w:autoSpaceDE w:val="0"/>
        <w:autoSpaceDN w:val="0"/>
        <w:adjustRightInd w:val="0"/>
        <w:spacing w:line="420" w:lineRule="exact"/>
        <w:rPr>
          <w:rFonts w:ascii="黑体" w:hAnsi="黑体" w:eastAsia="黑体" w:cs="黑体"/>
          <w:b/>
          <w:bCs/>
          <w:color w:val="auto"/>
          <w:sz w:val="28"/>
          <w:szCs w:val="28"/>
        </w:rPr>
      </w:pPr>
    </w:p>
    <w:p w14:paraId="45E3642F">
      <w:pPr>
        <w:autoSpaceDE w:val="0"/>
        <w:autoSpaceDN w:val="0"/>
        <w:adjustRightInd w:val="0"/>
        <w:spacing w:line="420" w:lineRule="exact"/>
        <w:rPr>
          <w:rFonts w:ascii="黑体" w:hAnsi="黑体" w:eastAsia="黑体" w:cs="黑体"/>
          <w:b/>
          <w:bCs/>
          <w:color w:val="auto"/>
          <w:sz w:val="28"/>
          <w:szCs w:val="28"/>
        </w:rPr>
      </w:pPr>
    </w:p>
    <w:p w14:paraId="3F874859">
      <w:pPr>
        <w:autoSpaceDE w:val="0"/>
        <w:autoSpaceDN w:val="0"/>
        <w:adjustRightInd w:val="0"/>
        <w:spacing w:line="420" w:lineRule="exact"/>
        <w:rPr>
          <w:rFonts w:ascii="黑体" w:hAnsi="黑体" w:eastAsia="黑体" w:cs="黑体"/>
          <w:b/>
          <w:bCs/>
          <w:color w:val="auto"/>
          <w:sz w:val="28"/>
          <w:szCs w:val="28"/>
        </w:rPr>
      </w:pPr>
    </w:p>
    <w:p w14:paraId="43EF600A">
      <w:pPr>
        <w:autoSpaceDE w:val="0"/>
        <w:autoSpaceDN w:val="0"/>
        <w:adjustRightInd w:val="0"/>
        <w:spacing w:line="420" w:lineRule="exact"/>
        <w:rPr>
          <w:rFonts w:ascii="黑体" w:hAnsi="黑体" w:eastAsia="黑体" w:cs="黑体"/>
          <w:b/>
          <w:bCs/>
          <w:color w:val="auto"/>
          <w:sz w:val="28"/>
          <w:szCs w:val="28"/>
        </w:rPr>
      </w:pPr>
    </w:p>
    <w:p w14:paraId="51443414">
      <w:pPr>
        <w:autoSpaceDE w:val="0"/>
        <w:autoSpaceDN w:val="0"/>
        <w:adjustRightInd w:val="0"/>
        <w:spacing w:line="420" w:lineRule="exact"/>
        <w:rPr>
          <w:rFonts w:ascii="黑体" w:hAnsi="黑体" w:eastAsia="黑体" w:cs="黑体"/>
          <w:b/>
          <w:bCs/>
          <w:color w:val="auto"/>
          <w:sz w:val="28"/>
          <w:szCs w:val="28"/>
        </w:rPr>
      </w:pPr>
    </w:p>
    <w:p w14:paraId="408EB1F1">
      <w:pPr>
        <w:autoSpaceDE w:val="0"/>
        <w:autoSpaceDN w:val="0"/>
        <w:adjustRightInd w:val="0"/>
        <w:spacing w:line="420" w:lineRule="exact"/>
        <w:rPr>
          <w:rFonts w:ascii="黑体" w:hAnsi="黑体" w:eastAsia="黑体" w:cs="黑体"/>
          <w:b/>
          <w:bCs/>
          <w:color w:val="auto"/>
          <w:sz w:val="28"/>
          <w:szCs w:val="28"/>
        </w:rPr>
      </w:pPr>
    </w:p>
    <w:p w14:paraId="3D4D39C0">
      <w:pPr>
        <w:autoSpaceDE w:val="0"/>
        <w:autoSpaceDN w:val="0"/>
        <w:adjustRightInd w:val="0"/>
        <w:spacing w:line="420" w:lineRule="exact"/>
        <w:rPr>
          <w:rFonts w:ascii="黑体" w:hAnsi="黑体" w:eastAsia="黑体" w:cs="黑体"/>
          <w:b/>
          <w:bCs/>
          <w:color w:val="auto"/>
          <w:sz w:val="28"/>
          <w:szCs w:val="28"/>
        </w:rPr>
      </w:pPr>
    </w:p>
    <w:p w14:paraId="56AD545D">
      <w:pPr>
        <w:autoSpaceDE w:val="0"/>
        <w:autoSpaceDN w:val="0"/>
        <w:adjustRightInd w:val="0"/>
        <w:spacing w:line="420" w:lineRule="exact"/>
        <w:rPr>
          <w:rFonts w:ascii="黑体" w:hAnsi="黑体" w:eastAsia="黑体" w:cs="黑体"/>
          <w:b/>
          <w:bCs/>
          <w:color w:val="auto"/>
          <w:sz w:val="28"/>
          <w:szCs w:val="28"/>
        </w:rPr>
      </w:pPr>
    </w:p>
    <w:p w14:paraId="528A56EA">
      <w:pPr>
        <w:autoSpaceDE w:val="0"/>
        <w:autoSpaceDN w:val="0"/>
        <w:adjustRightInd w:val="0"/>
        <w:spacing w:line="420" w:lineRule="exact"/>
        <w:rPr>
          <w:rFonts w:ascii="黑体" w:hAnsi="黑体" w:eastAsia="黑体" w:cs="黑体"/>
          <w:b/>
          <w:bCs/>
          <w:color w:val="auto"/>
          <w:sz w:val="28"/>
          <w:szCs w:val="28"/>
        </w:rPr>
      </w:pPr>
    </w:p>
    <w:p w14:paraId="203534C3">
      <w:pPr>
        <w:autoSpaceDE w:val="0"/>
        <w:autoSpaceDN w:val="0"/>
        <w:adjustRightInd w:val="0"/>
        <w:spacing w:line="420" w:lineRule="exact"/>
        <w:rPr>
          <w:rFonts w:ascii="黑体" w:hAnsi="黑体" w:eastAsia="黑体" w:cs="黑体"/>
          <w:b/>
          <w:bCs/>
          <w:color w:val="auto"/>
          <w:sz w:val="28"/>
          <w:szCs w:val="28"/>
        </w:rPr>
      </w:pPr>
    </w:p>
    <w:p w14:paraId="3435E9F1">
      <w:pPr>
        <w:autoSpaceDE w:val="0"/>
        <w:autoSpaceDN w:val="0"/>
        <w:adjustRightInd w:val="0"/>
        <w:spacing w:line="420" w:lineRule="exact"/>
        <w:rPr>
          <w:rFonts w:ascii="黑体" w:hAnsi="黑体" w:eastAsia="黑体" w:cs="黑体"/>
          <w:b/>
          <w:bCs/>
          <w:color w:val="auto"/>
          <w:sz w:val="28"/>
          <w:szCs w:val="28"/>
        </w:rPr>
      </w:pPr>
    </w:p>
    <w:p w14:paraId="135C98DF">
      <w:pPr>
        <w:autoSpaceDE w:val="0"/>
        <w:autoSpaceDN w:val="0"/>
        <w:adjustRightInd w:val="0"/>
        <w:spacing w:line="420" w:lineRule="exact"/>
        <w:rPr>
          <w:rFonts w:ascii="黑体" w:hAnsi="黑体" w:eastAsia="黑体" w:cs="黑体"/>
          <w:b/>
          <w:bCs/>
          <w:color w:val="auto"/>
          <w:sz w:val="28"/>
          <w:szCs w:val="28"/>
        </w:rPr>
      </w:pPr>
    </w:p>
    <w:p w14:paraId="62616014">
      <w:pPr>
        <w:autoSpaceDE w:val="0"/>
        <w:autoSpaceDN w:val="0"/>
        <w:adjustRightInd w:val="0"/>
        <w:spacing w:line="420" w:lineRule="exact"/>
        <w:rPr>
          <w:rFonts w:ascii="黑体" w:hAnsi="黑体" w:eastAsia="黑体" w:cs="黑体"/>
          <w:b/>
          <w:bCs/>
          <w:color w:val="auto"/>
          <w:sz w:val="28"/>
          <w:szCs w:val="28"/>
        </w:rPr>
      </w:pPr>
    </w:p>
    <w:p w14:paraId="4CAFBA87">
      <w:pPr>
        <w:autoSpaceDE w:val="0"/>
        <w:autoSpaceDN w:val="0"/>
        <w:adjustRightInd w:val="0"/>
        <w:spacing w:line="420" w:lineRule="exact"/>
        <w:rPr>
          <w:rFonts w:ascii="黑体" w:hAnsi="黑体" w:eastAsia="黑体" w:cs="黑体"/>
          <w:b/>
          <w:bCs/>
          <w:color w:val="auto"/>
          <w:sz w:val="28"/>
          <w:szCs w:val="28"/>
        </w:rPr>
      </w:pPr>
    </w:p>
    <w:p w14:paraId="0C93B007">
      <w:pPr>
        <w:autoSpaceDE w:val="0"/>
        <w:autoSpaceDN w:val="0"/>
        <w:adjustRightInd w:val="0"/>
        <w:spacing w:line="420" w:lineRule="exact"/>
        <w:rPr>
          <w:rFonts w:ascii="黑体" w:hAnsi="黑体" w:eastAsia="黑体" w:cs="黑体"/>
          <w:b/>
          <w:bCs/>
          <w:color w:val="auto"/>
          <w:sz w:val="28"/>
          <w:szCs w:val="28"/>
        </w:rPr>
      </w:pPr>
    </w:p>
    <w:p w14:paraId="18D4AE00">
      <w:pPr>
        <w:autoSpaceDE w:val="0"/>
        <w:autoSpaceDN w:val="0"/>
        <w:adjustRightInd w:val="0"/>
        <w:spacing w:line="420" w:lineRule="exact"/>
        <w:rPr>
          <w:rFonts w:ascii="黑体" w:hAnsi="黑体" w:eastAsia="黑体" w:cs="黑体"/>
          <w:b/>
          <w:bCs/>
          <w:color w:val="auto"/>
          <w:sz w:val="28"/>
          <w:szCs w:val="28"/>
        </w:rPr>
      </w:pPr>
    </w:p>
    <w:p w14:paraId="3223E4FB">
      <w:pPr>
        <w:autoSpaceDE w:val="0"/>
        <w:autoSpaceDN w:val="0"/>
        <w:adjustRightInd w:val="0"/>
        <w:spacing w:line="420" w:lineRule="exact"/>
        <w:rPr>
          <w:rFonts w:ascii="黑体" w:hAnsi="黑体" w:eastAsia="黑体" w:cs="黑体"/>
          <w:b/>
          <w:bCs/>
          <w:color w:val="auto"/>
          <w:sz w:val="28"/>
          <w:szCs w:val="28"/>
        </w:rPr>
      </w:pPr>
    </w:p>
    <w:p w14:paraId="261446C1">
      <w:pPr>
        <w:autoSpaceDE w:val="0"/>
        <w:autoSpaceDN w:val="0"/>
        <w:adjustRightInd w:val="0"/>
        <w:spacing w:line="420" w:lineRule="exact"/>
        <w:rPr>
          <w:rFonts w:ascii="黑体" w:hAnsi="黑体" w:eastAsia="黑体" w:cs="黑体"/>
          <w:b/>
          <w:bCs/>
          <w:color w:val="auto"/>
          <w:sz w:val="28"/>
          <w:szCs w:val="28"/>
        </w:rPr>
      </w:pPr>
    </w:p>
    <w:p w14:paraId="72EB1E38">
      <w:pPr>
        <w:autoSpaceDE w:val="0"/>
        <w:autoSpaceDN w:val="0"/>
        <w:adjustRightInd w:val="0"/>
        <w:spacing w:line="420" w:lineRule="exact"/>
        <w:rPr>
          <w:rFonts w:ascii="黑体" w:hAnsi="黑体" w:eastAsia="黑体" w:cs="黑体"/>
          <w:b/>
          <w:bCs/>
          <w:color w:val="auto"/>
          <w:sz w:val="28"/>
          <w:szCs w:val="28"/>
        </w:rPr>
      </w:pPr>
    </w:p>
    <w:p w14:paraId="40F34ED1">
      <w:pPr>
        <w:autoSpaceDE w:val="0"/>
        <w:autoSpaceDN w:val="0"/>
        <w:adjustRightInd w:val="0"/>
        <w:spacing w:line="420" w:lineRule="exact"/>
        <w:rPr>
          <w:rFonts w:ascii="黑体" w:hAnsi="黑体" w:eastAsia="黑体" w:cs="黑体"/>
          <w:b/>
          <w:bCs/>
          <w:color w:val="auto"/>
          <w:sz w:val="28"/>
          <w:szCs w:val="28"/>
        </w:rPr>
      </w:pPr>
    </w:p>
    <w:p w14:paraId="51238729">
      <w:pPr>
        <w:autoSpaceDE w:val="0"/>
        <w:autoSpaceDN w:val="0"/>
        <w:adjustRightInd w:val="0"/>
        <w:spacing w:line="420" w:lineRule="exact"/>
        <w:rPr>
          <w:rFonts w:ascii="宋体" w:hAnsi="宋体" w:cs="宋体"/>
          <w:color w:val="auto"/>
          <w:sz w:val="28"/>
          <w:szCs w:val="28"/>
        </w:rPr>
      </w:pPr>
      <w:r>
        <w:rPr>
          <w:rFonts w:hint="eastAsia" w:ascii="宋体" w:hAnsi="宋体" w:cs="宋体"/>
          <w:color w:val="auto"/>
          <w:spacing w:val="20"/>
          <w:sz w:val="24"/>
        </w:rPr>
        <w:t xml:space="preserve">附表3          </w:t>
      </w:r>
      <w:r>
        <w:rPr>
          <w:rFonts w:hint="eastAsia" w:ascii="宋体" w:hAnsi="宋体" w:cs="宋体"/>
          <w:color w:val="auto"/>
          <w:sz w:val="28"/>
          <w:szCs w:val="28"/>
        </w:rPr>
        <w:t xml:space="preserve">  </w:t>
      </w:r>
    </w:p>
    <w:p w14:paraId="5B050490">
      <w:pPr>
        <w:autoSpaceDE w:val="0"/>
        <w:autoSpaceDN w:val="0"/>
        <w:adjustRightInd w:val="0"/>
        <w:spacing w:line="420" w:lineRule="exact"/>
        <w:rPr>
          <w:rFonts w:ascii="宋体" w:hAnsi="宋体" w:cs="宋体"/>
          <w:color w:val="auto"/>
          <w:sz w:val="28"/>
          <w:szCs w:val="28"/>
        </w:rPr>
      </w:pPr>
    </w:p>
    <w:p w14:paraId="6A8CEBE4">
      <w:pPr>
        <w:autoSpaceDE w:val="0"/>
        <w:autoSpaceDN w:val="0"/>
        <w:adjustRightInd w:val="0"/>
        <w:spacing w:line="420" w:lineRule="exact"/>
        <w:jc w:val="center"/>
        <w:rPr>
          <w:rFonts w:ascii="宋体" w:hAnsi="宋体" w:cs="宋体"/>
          <w:b/>
          <w:bCs/>
          <w:color w:val="auto"/>
          <w:spacing w:val="20"/>
          <w:sz w:val="28"/>
          <w:szCs w:val="28"/>
        </w:rPr>
      </w:pPr>
      <w:r>
        <w:rPr>
          <w:rFonts w:hint="eastAsia" w:ascii="宋体" w:hAnsi="宋体" w:cs="宋体"/>
          <w:b/>
          <w:bCs/>
          <w:color w:val="auto"/>
          <w:sz w:val="28"/>
          <w:szCs w:val="28"/>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rPr>
      </w:pPr>
    </w:p>
    <w:p w14:paraId="7F43AE47">
      <w:pPr>
        <w:autoSpaceDE w:val="0"/>
        <w:autoSpaceDN w:val="0"/>
        <w:adjustRightInd w:val="0"/>
        <w:spacing w:line="420" w:lineRule="exact"/>
        <w:rPr>
          <w:rFonts w:ascii="宋体" w:hAnsi="宋体" w:cs="宋体"/>
          <w:color w:val="auto"/>
          <w:spacing w:val="20"/>
          <w:kern w:val="0"/>
          <w:sz w:val="24"/>
        </w:rPr>
      </w:pPr>
      <w:r>
        <w:rPr>
          <w:rFonts w:hint="eastAsia" w:ascii="黑体" w:hAnsi="黑体" w:eastAsia="黑体" w:cs="黑体"/>
          <w:color w:val="auto"/>
          <w:spacing w:val="20"/>
          <w:kern w:val="0"/>
          <w:sz w:val="24"/>
          <w:u w:val="single"/>
        </w:rPr>
        <w:t xml:space="preserve"> </w:t>
      </w: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机械或</w:t>
            </w:r>
          </w:p>
          <w:p w14:paraId="5953B0B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2587455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143F1D1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额定</w:t>
            </w:r>
          </w:p>
          <w:p w14:paraId="6B89714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用于施</w:t>
            </w:r>
          </w:p>
          <w:p w14:paraId="5D63855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rPr>
            </w:pPr>
          </w:p>
        </w:tc>
      </w:tr>
    </w:tbl>
    <w:p w14:paraId="411EBD08">
      <w:pPr>
        <w:spacing w:line="300" w:lineRule="auto"/>
        <w:rPr>
          <w:rFonts w:ascii="黑体" w:hAnsi="黑体" w:eastAsia="黑体" w:cs="黑体"/>
          <w:b/>
          <w:color w:val="auto"/>
          <w:spacing w:val="20"/>
          <w:sz w:val="24"/>
        </w:rPr>
      </w:pPr>
    </w:p>
    <w:p w14:paraId="5346AB08">
      <w:pPr>
        <w:spacing w:line="300" w:lineRule="auto"/>
        <w:rPr>
          <w:rFonts w:ascii="黑体" w:hAnsi="黑体" w:eastAsia="黑体" w:cs="黑体"/>
          <w:color w:val="auto"/>
          <w:sz w:val="24"/>
        </w:rPr>
      </w:pPr>
    </w:p>
    <w:p w14:paraId="591C248D">
      <w:pPr>
        <w:spacing w:line="300" w:lineRule="auto"/>
        <w:rPr>
          <w:rFonts w:ascii="黑体" w:hAnsi="黑体" w:eastAsia="黑体" w:cs="黑体"/>
          <w:b/>
          <w:bCs/>
          <w:color w:val="auto"/>
          <w:sz w:val="28"/>
          <w:szCs w:val="28"/>
        </w:rPr>
      </w:pPr>
    </w:p>
    <w:p w14:paraId="27B31C7A">
      <w:pPr>
        <w:spacing w:line="300" w:lineRule="auto"/>
        <w:rPr>
          <w:rFonts w:ascii="黑体" w:hAnsi="黑体" w:eastAsia="黑体" w:cs="黑体"/>
          <w:b/>
          <w:bCs/>
          <w:color w:val="auto"/>
          <w:sz w:val="28"/>
          <w:szCs w:val="28"/>
        </w:rPr>
      </w:pPr>
    </w:p>
    <w:p w14:paraId="1D583356">
      <w:pPr>
        <w:spacing w:line="300" w:lineRule="auto"/>
        <w:rPr>
          <w:rFonts w:ascii="黑体" w:hAnsi="黑体" w:eastAsia="黑体" w:cs="黑体"/>
          <w:b/>
          <w:bCs/>
          <w:color w:val="auto"/>
          <w:sz w:val="28"/>
          <w:szCs w:val="28"/>
        </w:rPr>
      </w:pPr>
    </w:p>
    <w:p w14:paraId="5BB63ADD">
      <w:pPr>
        <w:spacing w:line="300" w:lineRule="auto"/>
        <w:rPr>
          <w:rFonts w:ascii="黑体" w:hAnsi="黑体" w:eastAsia="黑体" w:cs="黑体"/>
          <w:b/>
          <w:bCs/>
          <w:color w:val="auto"/>
          <w:sz w:val="28"/>
          <w:szCs w:val="28"/>
        </w:rPr>
      </w:pPr>
    </w:p>
    <w:p w14:paraId="78FD1B34">
      <w:pPr>
        <w:spacing w:line="300" w:lineRule="auto"/>
        <w:rPr>
          <w:rFonts w:ascii="黑体" w:hAnsi="黑体" w:eastAsia="黑体" w:cs="黑体"/>
          <w:b/>
          <w:bCs/>
          <w:color w:val="auto"/>
          <w:sz w:val="28"/>
          <w:szCs w:val="28"/>
        </w:rPr>
      </w:pPr>
    </w:p>
    <w:p w14:paraId="2109A1D0">
      <w:pPr>
        <w:spacing w:line="300" w:lineRule="auto"/>
        <w:rPr>
          <w:rFonts w:ascii="黑体" w:hAnsi="黑体" w:eastAsia="黑体" w:cs="黑体"/>
          <w:b/>
          <w:bCs/>
          <w:color w:val="auto"/>
          <w:sz w:val="28"/>
          <w:szCs w:val="28"/>
        </w:rPr>
      </w:pPr>
    </w:p>
    <w:p w14:paraId="09916F39">
      <w:pPr>
        <w:spacing w:line="300" w:lineRule="auto"/>
        <w:rPr>
          <w:rFonts w:ascii="黑体" w:hAnsi="黑体" w:eastAsia="黑体" w:cs="黑体"/>
          <w:b/>
          <w:bCs/>
          <w:color w:val="auto"/>
          <w:sz w:val="28"/>
          <w:szCs w:val="28"/>
        </w:rPr>
      </w:pPr>
    </w:p>
    <w:p w14:paraId="2B649C33">
      <w:pPr>
        <w:spacing w:line="300" w:lineRule="auto"/>
        <w:rPr>
          <w:rFonts w:ascii="黑体" w:hAnsi="黑体" w:eastAsia="黑体" w:cs="黑体"/>
          <w:b/>
          <w:bCs/>
          <w:color w:val="auto"/>
          <w:sz w:val="28"/>
          <w:szCs w:val="28"/>
        </w:rPr>
      </w:pPr>
    </w:p>
    <w:p w14:paraId="4DC916BC">
      <w:pPr>
        <w:spacing w:line="300" w:lineRule="auto"/>
        <w:rPr>
          <w:rFonts w:ascii="宋体" w:hAnsi="宋体" w:cs="宋体"/>
          <w:b/>
          <w:bCs/>
          <w:color w:val="auto"/>
          <w:sz w:val="24"/>
        </w:rPr>
      </w:pPr>
    </w:p>
    <w:p w14:paraId="367A0BB4">
      <w:pPr>
        <w:spacing w:line="300" w:lineRule="auto"/>
        <w:rPr>
          <w:rFonts w:ascii="宋体" w:hAnsi="宋体" w:cs="宋体"/>
          <w:color w:val="auto"/>
          <w:sz w:val="24"/>
        </w:rPr>
      </w:pPr>
      <w:r>
        <w:rPr>
          <w:rFonts w:hint="eastAsia" w:ascii="宋体" w:hAnsi="宋体" w:cs="宋体"/>
          <w:color w:val="auto"/>
          <w:spacing w:val="20"/>
          <w:sz w:val="24"/>
        </w:rPr>
        <w:t xml:space="preserve">附表4            </w:t>
      </w:r>
      <w:r>
        <w:rPr>
          <w:rFonts w:hint="eastAsia" w:ascii="宋体" w:hAnsi="宋体" w:cs="宋体"/>
          <w:color w:val="auto"/>
          <w:sz w:val="24"/>
        </w:rPr>
        <w:t xml:space="preserve"> </w:t>
      </w:r>
    </w:p>
    <w:p w14:paraId="031FD754">
      <w:pPr>
        <w:spacing w:line="300" w:lineRule="auto"/>
        <w:jc w:val="center"/>
        <w:rPr>
          <w:rFonts w:ascii="宋体" w:hAnsi="宋体" w:cs="宋体"/>
          <w:b/>
          <w:bCs/>
          <w:color w:val="auto"/>
          <w:spacing w:val="20"/>
          <w:sz w:val="24"/>
        </w:rPr>
      </w:pPr>
      <w:r>
        <w:rPr>
          <w:rFonts w:hint="eastAsia" w:ascii="宋体" w:hAnsi="宋体" w:cs="宋体"/>
          <w:b/>
          <w:bCs/>
          <w:color w:val="auto"/>
          <w:spacing w:val="20"/>
          <w:sz w:val="24"/>
        </w:rPr>
        <w:t>拟配备的试验和检测仪器设备表</w:t>
      </w:r>
    </w:p>
    <w:p w14:paraId="77946A4F">
      <w:pPr>
        <w:pStyle w:val="16"/>
        <w:rPr>
          <w:rFonts w:ascii="宋体" w:hAnsi="宋体" w:cs="宋体"/>
          <w:color w:val="auto"/>
          <w:sz w:val="24"/>
          <w:szCs w:val="24"/>
        </w:rPr>
      </w:pPr>
    </w:p>
    <w:p w14:paraId="13BF4CC5">
      <w:pPr>
        <w:autoSpaceDE w:val="0"/>
        <w:autoSpaceDN w:val="0"/>
        <w:adjustRightInd w:val="0"/>
        <w:spacing w:line="420" w:lineRule="exact"/>
        <w:rPr>
          <w:rFonts w:ascii="宋体" w:hAnsi="宋体" w:cs="宋体"/>
          <w:color w:val="auto"/>
          <w:spacing w:val="20"/>
          <w:kern w:val="0"/>
          <w:sz w:val="24"/>
        </w:rPr>
      </w:pP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仪器</w:t>
            </w:r>
          </w:p>
          <w:p w14:paraId="78E9ABB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1188C33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63D3146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rPr>
            </w:pPr>
          </w:p>
        </w:tc>
      </w:tr>
    </w:tbl>
    <w:p w14:paraId="74FE82B4">
      <w:pPr>
        <w:spacing w:line="300" w:lineRule="auto"/>
        <w:rPr>
          <w:rFonts w:ascii="黑体" w:hAnsi="黑体" w:eastAsia="黑体" w:cs="黑体"/>
          <w:b/>
          <w:bCs/>
          <w:color w:val="auto"/>
          <w:sz w:val="28"/>
          <w:szCs w:val="28"/>
        </w:rPr>
      </w:pPr>
    </w:p>
    <w:p w14:paraId="62E91EFC">
      <w:pPr>
        <w:spacing w:line="300" w:lineRule="auto"/>
        <w:rPr>
          <w:rFonts w:ascii="黑体" w:hAnsi="黑体" w:eastAsia="黑体" w:cs="黑体"/>
          <w:b/>
          <w:bCs/>
          <w:color w:val="auto"/>
          <w:sz w:val="28"/>
          <w:szCs w:val="28"/>
        </w:rPr>
      </w:pPr>
    </w:p>
    <w:p w14:paraId="2456A375">
      <w:pPr>
        <w:spacing w:line="300" w:lineRule="auto"/>
        <w:rPr>
          <w:rFonts w:ascii="黑体" w:hAnsi="黑体" w:eastAsia="黑体" w:cs="黑体"/>
          <w:b/>
          <w:bCs/>
          <w:color w:val="auto"/>
          <w:sz w:val="28"/>
          <w:szCs w:val="28"/>
        </w:rPr>
      </w:pPr>
    </w:p>
    <w:p w14:paraId="2AC98749">
      <w:pPr>
        <w:spacing w:line="300" w:lineRule="auto"/>
        <w:rPr>
          <w:rFonts w:ascii="黑体" w:hAnsi="黑体" w:eastAsia="黑体" w:cs="黑体"/>
          <w:b/>
          <w:bCs/>
          <w:color w:val="auto"/>
          <w:sz w:val="28"/>
          <w:szCs w:val="28"/>
        </w:rPr>
      </w:pPr>
    </w:p>
    <w:p w14:paraId="1057D5D0">
      <w:pPr>
        <w:spacing w:line="300" w:lineRule="auto"/>
        <w:rPr>
          <w:rFonts w:ascii="黑体" w:hAnsi="黑体" w:eastAsia="黑体" w:cs="黑体"/>
          <w:b/>
          <w:bCs/>
          <w:color w:val="auto"/>
          <w:sz w:val="28"/>
          <w:szCs w:val="28"/>
        </w:rPr>
      </w:pPr>
    </w:p>
    <w:p w14:paraId="14B23B52">
      <w:pPr>
        <w:spacing w:line="300" w:lineRule="auto"/>
        <w:rPr>
          <w:rFonts w:ascii="黑体" w:hAnsi="黑体" w:eastAsia="黑体" w:cs="黑体"/>
          <w:b/>
          <w:bCs/>
          <w:color w:val="auto"/>
          <w:sz w:val="28"/>
          <w:szCs w:val="28"/>
        </w:rPr>
      </w:pPr>
    </w:p>
    <w:p w14:paraId="149A7975">
      <w:pPr>
        <w:spacing w:line="300" w:lineRule="auto"/>
        <w:rPr>
          <w:rFonts w:ascii="黑体" w:hAnsi="黑体" w:eastAsia="黑体" w:cs="黑体"/>
          <w:b/>
          <w:bCs/>
          <w:color w:val="auto"/>
          <w:sz w:val="28"/>
          <w:szCs w:val="28"/>
        </w:rPr>
      </w:pPr>
    </w:p>
    <w:p w14:paraId="0532279E">
      <w:pPr>
        <w:spacing w:line="300" w:lineRule="auto"/>
        <w:rPr>
          <w:rFonts w:ascii="黑体" w:hAnsi="黑体" w:eastAsia="黑体" w:cs="黑体"/>
          <w:b/>
          <w:bCs/>
          <w:color w:val="auto"/>
          <w:sz w:val="28"/>
          <w:szCs w:val="28"/>
        </w:rPr>
      </w:pPr>
    </w:p>
    <w:p w14:paraId="70268F05">
      <w:pPr>
        <w:spacing w:line="300" w:lineRule="auto"/>
        <w:rPr>
          <w:rFonts w:ascii="黑体" w:hAnsi="黑体" w:eastAsia="黑体" w:cs="黑体"/>
          <w:b/>
          <w:bCs/>
          <w:color w:val="auto"/>
          <w:sz w:val="28"/>
          <w:szCs w:val="28"/>
        </w:rPr>
      </w:pPr>
    </w:p>
    <w:p w14:paraId="12499C9E">
      <w:pPr>
        <w:spacing w:line="300" w:lineRule="auto"/>
        <w:rPr>
          <w:rFonts w:ascii="黑体" w:hAnsi="黑体" w:eastAsia="黑体" w:cs="黑体"/>
          <w:b/>
          <w:bCs/>
          <w:color w:val="auto"/>
          <w:sz w:val="28"/>
          <w:szCs w:val="28"/>
        </w:rPr>
      </w:pPr>
    </w:p>
    <w:p w14:paraId="2D0A1F28">
      <w:pPr>
        <w:spacing w:line="300" w:lineRule="auto"/>
        <w:rPr>
          <w:rFonts w:ascii="黑体" w:hAnsi="黑体" w:eastAsia="黑体" w:cs="黑体"/>
          <w:b/>
          <w:bCs/>
          <w:color w:val="auto"/>
          <w:sz w:val="28"/>
          <w:szCs w:val="28"/>
        </w:rPr>
      </w:pPr>
    </w:p>
    <w:p w14:paraId="785A1F7D">
      <w:pPr>
        <w:spacing w:line="300" w:lineRule="auto"/>
        <w:rPr>
          <w:rFonts w:ascii="黑体" w:hAnsi="黑体" w:eastAsia="黑体" w:cs="黑体"/>
          <w:b/>
          <w:bCs/>
          <w:color w:val="auto"/>
          <w:sz w:val="28"/>
          <w:szCs w:val="28"/>
        </w:rPr>
      </w:pPr>
    </w:p>
    <w:p w14:paraId="3476F612">
      <w:pPr>
        <w:spacing w:line="300" w:lineRule="auto"/>
        <w:rPr>
          <w:rFonts w:ascii="宋体" w:hAnsi="宋体" w:cs="宋体"/>
          <w:color w:val="auto"/>
          <w:spacing w:val="20"/>
          <w:sz w:val="24"/>
        </w:rPr>
      </w:pPr>
      <w:r>
        <w:rPr>
          <w:rFonts w:hint="eastAsia" w:ascii="宋体" w:hAnsi="宋体" w:cs="宋体"/>
          <w:color w:val="auto"/>
          <w:spacing w:val="20"/>
          <w:sz w:val="24"/>
        </w:rPr>
        <w:t xml:space="preserve">附表5  </w:t>
      </w:r>
    </w:p>
    <w:p w14:paraId="52CAED86">
      <w:pPr>
        <w:spacing w:line="300" w:lineRule="auto"/>
        <w:jc w:val="center"/>
        <w:rPr>
          <w:rFonts w:ascii="宋体" w:hAnsi="宋体" w:cs="宋体"/>
          <w:b/>
          <w:bCs/>
          <w:color w:val="auto"/>
          <w:spacing w:val="20"/>
          <w:kern w:val="0"/>
          <w:sz w:val="28"/>
          <w:szCs w:val="28"/>
        </w:rPr>
      </w:pPr>
      <w:r>
        <w:rPr>
          <w:rFonts w:hint="eastAsia" w:ascii="宋体" w:hAnsi="宋体" w:cs="宋体"/>
          <w:b/>
          <w:bCs/>
          <w:color w:val="auto"/>
          <w:spacing w:val="20"/>
          <w:kern w:val="0"/>
          <w:sz w:val="28"/>
          <w:szCs w:val="28"/>
        </w:rPr>
        <w:t>计划开、竣工日期和施工进度网络图</w:t>
      </w:r>
    </w:p>
    <w:p w14:paraId="4E07177A">
      <w:pPr>
        <w:pStyle w:val="16"/>
        <w:rPr>
          <w:color w:val="auto"/>
        </w:rPr>
      </w:pPr>
    </w:p>
    <w:p w14:paraId="011C8F72">
      <w:pPr>
        <w:spacing w:line="420" w:lineRule="exact"/>
        <w:ind w:right="-2" w:firstLine="480" w:firstLineChars="200"/>
        <w:rPr>
          <w:rFonts w:ascii="宋体" w:hAnsi="宋体" w:cs="宋体"/>
          <w:color w:val="auto"/>
          <w:sz w:val="24"/>
        </w:rPr>
      </w:pPr>
      <w:r>
        <w:rPr>
          <w:rFonts w:hint="eastAsia" w:ascii="宋体" w:hAnsi="宋体" w:cs="宋体"/>
          <w:color w:val="auto"/>
          <w:sz w:val="24"/>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rPr>
      </w:pPr>
      <w:r>
        <w:rPr>
          <w:rFonts w:hint="eastAsia" w:ascii="宋体" w:hAnsi="宋体" w:cs="宋体"/>
          <w:color w:val="auto"/>
          <w:sz w:val="24"/>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rPr>
      </w:pPr>
      <w:r>
        <w:rPr>
          <w:rFonts w:hint="eastAsia" w:ascii="宋体" w:hAnsi="宋体" w:cs="宋体"/>
          <w:color w:val="auto"/>
          <w:sz w:val="24"/>
        </w:rPr>
        <w:t>3.施工进度计划应与施工组织设计相适应。</w:t>
      </w:r>
    </w:p>
    <w:p w14:paraId="570B3257">
      <w:pPr>
        <w:snapToGrid w:val="0"/>
        <w:spacing w:line="440" w:lineRule="exact"/>
        <w:ind w:firstLine="420"/>
        <w:jc w:val="left"/>
        <w:rPr>
          <w:rFonts w:ascii="宋体" w:hAnsi="宋体" w:cs="宋体"/>
          <w:color w:val="auto"/>
          <w:sz w:val="24"/>
        </w:rPr>
      </w:pPr>
    </w:p>
    <w:p w14:paraId="63970E6B">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3510FE68">
      <w:pPr>
        <w:snapToGrid w:val="0"/>
        <w:spacing w:line="440" w:lineRule="exact"/>
        <w:ind w:firstLine="420"/>
        <w:jc w:val="left"/>
        <w:rPr>
          <w:rFonts w:ascii="宋体" w:hAnsi="宋体" w:cs="宋体"/>
          <w:color w:val="auto"/>
          <w:sz w:val="24"/>
        </w:rPr>
      </w:pPr>
    </w:p>
    <w:p w14:paraId="67FCA5F5">
      <w:pPr>
        <w:snapToGrid w:val="0"/>
        <w:spacing w:line="44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p>
    <w:p w14:paraId="6277A176">
      <w:pPr>
        <w:snapToGrid w:val="0"/>
        <w:spacing w:line="440" w:lineRule="exact"/>
        <w:ind w:firstLine="1440" w:firstLineChars="600"/>
        <w:jc w:val="left"/>
        <w:rPr>
          <w:rFonts w:ascii="宋体" w:hAnsi="宋体" w:cs="宋体"/>
          <w:color w:val="auto"/>
          <w:sz w:val="24"/>
        </w:rPr>
      </w:pPr>
    </w:p>
    <w:p w14:paraId="227A1691">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40C08554">
      <w:pPr>
        <w:pStyle w:val="13"/>
        <w:spacing w:line="440" w:lineRule="exact"/>
        <w:jc w:val="center"/>
        <w:rPr>
          <w:rFonts w:hAnsi="宋体" w:cs="宋体"/>
          <w:b/>
          <w:bCs/>
          <w:color w:val="auto"/>
          <w:sz w:val="24"/>
          <w:szCs w:val="24"/>
        </w:rPr>
      </w:pPr>
    </w:p>
    <w:p w14:paraId="34C7BA63">
      <w:pPr>
        <w:tabs>
          <w:tab w:val="left" w:pos="1249"/>
        </w:tabs>
        <w:jc w:val="left"/>
        <w:rPr>
          <w:rFonts w:ascii="宋体" w:hAnsi="宋体" w:cs="宋体"/>
          <w:color w:val="auto"/>
          <w:sz w:val="24"/>
        </w:rPr>
      </w:pPr>
    </w:p>
    <w:p w14:paraId="6D463DC1">
      <w:pPr>
        <w:rPr>
          <w:color w:val="auto"/>
        </w:rPr>
      </w:pPr>
    </w:p>
    <w:p w14:paraId="3ABC147E">
      <w:pPr>
        <w:pStyle w:val="5"/>
        <w:rPr>
          <w:color w:val="auto"/>
        </w:rPr>
      </w:pPr>
    </w:p>
    <w:p w14:paraId="5C6AF785">
      <w:pPr>
        <w:rPr>
          <w:color w:val="auto"/>
        </w:rPr>
      </w:pPr>
    </w:p>
    <w:p w14:paraId="0EA689AD">
      <w:pPr>
        <w:pStyle w:val="11"/>
        <w:ind w:left="1260"/>
        <w:rPr>
          <w:color w:val="auto"/>
        </w:rPr>
      </w:pPr>
    </w:p>
    <w:p w14:paraId="25FC7BF4">
      <w:pPr>
        <w:rPr>
          <w:color w:val="auto"/>
        </w:rPr>
      </w:pPr>
    </w:p>
    <w:p w14:paraId="622C0BC4">
      <w:pPr>
        <w:pStyle w:val="11"/>
        <w:ind w:left="1260"/>
        <w:rPr>
          <w:color w:val="auto"/>
        </w:rPr>
      </w:pPr>
    </w:p>
    <w:p w14:paraId="4ECC4D06">
      <w:pPr>
        <w:rPr>
          <w:color w:val="auto"/>
        </w:rPr>
      </w:pPr>
    </w:p>
    <w:p w14:paraId="0EB3AB76">
      <w:pPr>
        <w:pStyle w:val="11"/>
        <w:ind w:left="1260"/>
        <w:rPr>
          <w:color w:val="auto"/>
        </w:rPr>
      </w:pPr>
    </w:p>
    <w:p w14:paraId="1DC57DE6">
      <w:pPr>
        <w:rPr>
          <w:color w:val="auto"/>
        </w:rPr>
      </w:pPr>
    </w:p>
    <w:p w14:paraId="3C7BA497">
      <w:pPr>
        <w:pStyle w:val="11"/>
        <w:ind w:left="1260"/>
        <w:rPr>
          <w:color w:val="auto"/>
        </w:rPr>
      </w:pPr>
    </w:p>
    <w:p w14:paraId="6E660BFF">
      <w:pPr>
        <w:rPr>
          <w:color w:val="auto"/>
        </w:rPr>
      </w:pPr>
    </w:p>
    <w:p w14:paraId="5BE718FE">
      <w:pPr>
        <w:pStyle w:val="11"/>
        <w:ind w:left="1260"/>
        <w:rPr>
          <w:color w:val="auto"/>
        </w:rPr>
      </w:pPr>
    </w:p>
    <w:p w14:paraId="4BB69CB8">
      <w:pPr>
        <w:rPr>
          <w:color w:val="auto"/>
        </w:rPr>
      </w:pPr>
    </w:p>
    <w:p w14:paraId="37A70D85">
      <w:pPr>
        <w:pStyle w:val="11"/>
        <w:ind w:left="1260"/>
        <w:rPr>
          <w:color w:val="auto"/>
        </w:rPr>
      </w:pPr>
    </w:p>
    <w:p w14:paraId="1EBE7685">
      <w:pPr>
        <w:rPr>
          <w:color w:val="auto"/>
        </w:rPr>
      </w:pPr>
    </w:p>
    <w:p w14:paraId="0BD57F92">
      <w:pPr>
        <w:pStyle w:val="11"/>
        <w:ind w:left="1260"/>
        <w:rPr>
          <w:color w:val="auto"/>
        </w:rPr>
      </w:pPr>
    </w:p>
    <w:p w14:paraId="188BC0CF">
      <w:pPr>
        <w:rPr>
          <w:color w:val="auto"/>
        </w:rPr>
      </w:pPr>
    </w:p>
    <w:p w14:paraId="44708497">
      <w:pPr>
        <w:pStyle w:val="11"/>
        <w:ind w:left="1260"/>
        <w:rPr>
          <w:color w:val="auto"/>
        </w:rPr>
      </w:pPr>
    </w:p>
    <w:p w14:paraId="2B9B61F5">
      <w:pPr>
        <w:rPr>
          <w:color w:val="auto"/>
        </w:rPr>
      </w:pPr>
    </w:p>
    <w:p w14:paraId="0309CA53">
      <w:pPr>
        <w:pStyle w:val="11"/>
        <w:ind w:left="1260"/>
        <w:rPr>
          <w:color w:val="auto"/>
        </w:rPr>
      </w:pPr>
    </w:p>
    <w:p w14:paraId="29A38F38">
      <w:pPr>
        <w:rPr>
          <w:color w:val="auto"/>
        </w:rPr>
      </w:pPr>
    </w:p>
    <w:p w14:paraId="02BA329D">
      <w:pPr>
        <w:pStyle w:val="11"/>
        <w:numPr>
          <w:ilvl w:val="255"/>
          <w:numId w:val="0"/>
        </w:numPr>
        <w:jc w:val="center"/>
        <w:rPr>
          <w:rFonts w:ascii="宋体" w:hAnsi="宋体" w:cs="宋体"/>
          <w:b/>
          <w:bCs/>
          <w:color w:val="auto"/>
          <w:sz w:val="28"/>
          <w:szCs w:val="28"/>
        </w:rPr>
      </w:pPr>
      <w:r>
        <w:rPr>
          <w:rFonts w:hint="eastAsia" w:ascii="宋体" w:hAnsi="宋体" w:cs="宋体"/>
          <w:b/>
          <w:bCs/>
          <w:color w:val="auto"/>
          <w:sz w:val="28"/>
          <w:szCs w:val="28"/>
        </w:rPr>
        <w:t>第五章  工程量清单说明</w:t>
      </w:r>
    </w:p>
    <w:p w14:paraId="5D2BC5DF">
      <w:pPr>
        <w:pStyle w:val="28"/>
        <w:outlineLvl w:val="0"/>
        <w:rPr>
          <w:rFonts w:hint="eastAsia" w:ascii="宋体" w:hAnsi="宋体"/>
          <w:b/>
          <w:color w:val="auto"/>
          <w:sz w:val="24"/>
          <w:szCs w:val="24"/>
        </w:rPr>
      </w:pPr>
      <w:bookmarkStart w:id="13" w:name="_Toc418751878"/>
      <w:bookmarkStart w:id="14" w:name="_Toc483317200"/>
      <w:bookmarkStart w:id="15" w:name="_Toc488043469"/>
      <w:bookmarkStart w:id="16" w:name="_Toc26040"/>
      <w:bookmarkStart w:id="17" w:name="_Toc418752324"/>
    </w:p>
    <w:p w14:paraId="3C345E4B">
      <w:pPr>
        <w:pStyle w:val="28"/>
        <w:outlineLvl w:val="0"/>
        <w:rPr>
          <w:rFonts w:ascii="宋体" w:hAnsi="宋体"/>
          <w:b/>
          <w:color w:val="auto"/>
          <w:sz w:val="24"/>
          <w:szCs w:val="24"/>
        </w:rPr>
      </w:pPr>
      <w:r>
        <w:rPr>
          <w:rFonts w:hint="eastAsia" w:ascii="宋体" w:hAnsi="宋体"/>
          <w:b/>
          <w:color w:val="auto"/>
          <w:sz w:val="24"/>
          <w:szCs w:val="24"/>
        </w:rPr>
        <w:t>1编制工程量清单的参考说明</w:t>
      </w:r>
      <w:bookmarkEnd w:id="13"/>
      <w:bookmarkEnd w:id="14"/>
      <w:bookmarkEnd w:id="15"/>
      <w:bookmarkEnd w:id="16"/>
      <w:bookmarkEnd w:id="17"/>
    </w:p>
    <w:p w14:paraId="40123200">
      <w:pPr>
        <w:spacing w:line="460" w:lineRule="exact"/>
        <w:ind w:firstLine="480" w:firstLineChars="200"/>
        <w:rPr>
          <w:rFonts w:ascii="宋体" w:hAnsi="宋体"/>
          <w:color w:val="auto"/>
          <w:sz w:val="24"/>
        </w:rPr>
      </w:pPr>
      <w:r>
        <w:rPr>
          <w:rFonts w:hint="eastAsia" w:ascii="宋体" w:hAnsi="宋体"/>
          <w:color w:val="auto"/>
          <w:sz w:val="24"/>
        </w:rPr>
        <w:t>1.1 本工程采用工程量清单计价。</w:t>
      </w:r>
    </w:p>
    <w:p w14:paraId="1514F0CF">
      <w:pPr>
        <w:spacing w:line="460" w:lineRule="exact"/>
        <w:ind w:firstLine="480" w:firstLineChars="200"/>
        <w:rPr>
          <w:rFonts w:ascii="宋体" w:hAnsi="宋体"/>
          <w:color w:val="auto"/>
          <w:sz w:val="24"/>
        </w:rPr>
      </w:pPr>
      <w:r>
        <w:rPr>
          <w:rFonts w:hint="eastAsia" w:ascii="宋体" w:hAnsi="宋体"/>
          <w:color w:val="auto"/>
          <w:sz w:val="24"/>
        </w:rPr>
        <w:t>计价和工程量计算规则按我区现行《建设工程工程量清单计价规范》及计价定额等有关规定执行。</w:t>
      </w:r>
    </w:p>
    <w:p w14:paraId="5F6701A0">
      <w:pPr>
        <w:spacing w:line="460" w:lineRule="exact"/>
        <w:ind w:firstLine="480" w:firstLineChars="200"/>
        <w:rPr>
          <w:rFonts w:ascii="宋体" w:hAnsi="宋体"/>
          <w:color w:val="auto"/>
          <w:sz w:val="24"/>
        </w:rPr>
      </w:pPr>
      <w:r>
        <w:rPr>
          <w:rFonts w:hint="eastAsia" w:ascii="宋体" w:hAnsi="宋体"/>
          <w:color w:val="auto"/>
          <w:sz w:val="24"/>
        </w:rPr>
        <w:t>1.2 工程量清单应与投标须知、合同协议条款、合同的通用条款、合同专用条款、技术规范及图纸等文件一起结合使用。</w:t>
      </w:r>
    </w:p>
    <w:p w14:paraId="0DB63B75">
      <w:pPr>
        <w:spacing w:line="460" w:lineRule="exact"/>
        <w:ind w:firstLine="480" w:firstLineChars="200"/>
        <w:rPr>
          <w:rFonts w:ascii="宋体" w:hAnsi="宋体"/>
          <w:color w:val="auto"/>
          <w:sz w:val="24"/>
        </w:rPr>
      </w:pPr>
      <w:r>
        <w:rPr>
          <w:rFonts w:hint="eastAsia" w:ascii="宋体" w:hAnsi="宋体"/>
          <w:color w:val="auto"/>
          <w:sz w:val="24"/>
        </w:rPr>
        <w:t>1.3 工程量清单中所列工程量系发包人按照现有图纸及有关资料依据建设行政主管部门所颁布的计量规则计算的，它是招标文件的组成部分，作为投标报价的共同基础。中标后结算支付，以经  审图公司  审定的设计图纸和设计变更实际工程量为依据，按中标单位投标所报的工程量清单的单价支付费用。</w:t>
      </w:r>
    </w:p>
    <w:p w14:paraId="2313B34C">
      <w:pPr>
        <w:spacing w:line="460" w:lineRule="exact"/>
        <w:ind w:firstLine="480" w:firstLineChars="200"/>
        <w:rPr>
          <w:rFonts w:ascii="宋体" w:hAnsi="宋体"/>
          <w:color w:val="auto"/>
          <w:sz w:val="24"/>
        </w:rPr>
      </w:pPr>
      <w:r>
        <w:rPr>
          <w:rFonts w:hint="eastAsia" w:ascii="宋体" w:hAnsi="宋体"/>
          <w:color w:val="auto"/>
          <w:sz w:val="24"/>
        </w:rPr>
        <w:t>1.4 对工程和材料的一般指示或说明已写于合同文件、图纸和技术规范内。给工程量清单各细目标价前，须参阅合同文件和技术规范的有关部分。</w:t>
      </w:r>
    </w:p>
    <w:p w14:paraId="45D24280">
      <w:pPr>
        <w:spacing w:line="460" w:lineRule="exact"/>
        <w:ind w:firstLine="480" w:firstLineChars="200"/>
        <w:rPr>
          <w:rFonts w:ascii="宋体" w:hAnsi="宋体"/>
          <w:color w:val="auto"/>
          <w:sz w:val="24"/>
        </w:rPr>
      </w:pPr>
      <w:r>
        <w:rPr>
          <w:rFonts w:hint="eastAsia" w:ascii="宋体" w:hAnsi="宋体"/>
          <w:color w:val="auto"/>
          <w:sz w:val="24"/>
        </w:rPr>
        <w:t>1.5 所有报价应以人民币表示。</w:t>
      </w:r>
    </w:p>
    <w:p w14:paraId="2E4E04D0">
      <w:pPr>
        <w:spacing w:line="460" w:lineRule="exact"/>
        <w:ind w:firstLine="480" w:firstLineChars="200"/>
        <w:rPr>
          <w:rFonts w:ascii="宋体" w:hAnsi="宋体"/>
          <w:color w:val="auto"/>
          <w:sz w:val="24"/>
        </w:rPr>
      </w:pPr>
      <w:r>
        <w:rPr>
          <w:rFonts w:hint="eastAsia" w:ascii="宋体" w:hAnsi="宋体"/>
          <w:color w:val="auto"/>
          <w:sz w:val="24"/>
        </w:rPr>
        <w:t>1.6 工程量清单另册发放</w:t>
      </w:r>
    </w:p>
    <w:p w14:paraId="021B7103">
      <w:pPr>
        <w:pStyle w:val="28"/>
        <w:outlineLvl w:val="0"/>
        <w:rPr>
          <w:rFonts w:ascii="宋体" w:hAnsi="宋体"/>
          <w:b/>
          <w:color w:val="auto"/>
          <w:sz w:val="24"/>
          <w:szCs w:val="24"/>
        </w:rPr>
      </w:pPr>
      <w:bookmarkStart w:id="18" w:name="_Toc23092"/>
      <w:r>
        <w:rPr>
          <w:rFonts w:hint="eastAsia" w:ascii="宋体" w:hAnsi="宋体"/>
          <w:b/>
          <w:color w:val="auto"/>
          <w:sz w:val="24"/>
          <w:szCs w:val="24"/>
        </w:rPr>
        <w:t>2招标控制价（最高投标限价）计算说明</w:t>
      </w:r>
      <w:bookmarkEnd w:id="18"/>
    </w:p>
    <w:p w14:paraId="71CB4492">
      <w:pPr>
        <w:spacing w:line="460" w:lineRule="exact"/>
        <w:ind w:firstLine="480" w:firstLineChars="200"/>
        <w:rPr>
          <w:rFonts w:ascii="宋体" w:hAnsi="宋体"/>
          <w:color w:val="auto"/>
          <w:sz w:val="24"/>
        </w:rPr>
      </w:pPr>
      <w:r>
        <w:rPr>
          <w:rFonts w:hint="eastAsia" w:ascii="宋体" w:hAnsi="宋体"/>
          <w:color w:val="auto"/>
          <w:sz w:val="24"/>
        </w:rPr>
        <w:t>2.1 业主提供的电子版施工图；</w:t>
      </w:r>
    </w:p>
    <w:p w14:paraId="1E1295FF">
      <w:pPr>
        <w:spacing w:line="460" w:lineRule="exact"/>
        <w:ind w:firstLine="480" w:firstLineChars="200"/>
        <w:rPr>
          <w:rFonts w:ascii="宋体" w:hAnsi="宋体"/>
          <w:color w:val="auto"/>
          <w:sz w:val="24"/>
        </w:rPr>
      </w:pPr>
      <w:r>
        <w:rPr>
          <w:rFonts w:hint="eastAsia" w:ascii="宋体" w:hAnsi="宋体"/>
          <w:color w:val="auto"/>
          <w:sz w:val="24"/>
        </w:rPr>
        <w:t>2.2 《建设工程工程量清单计算规范》（GB50854～50862-2013）及广西壮族自治区实施细则（修订本）；</w:t>
      </w:r>
    </w:p>
    <w:p w14:paraId="4A1112E8">
      <w:pPr>
        <w:spacing w:line="460" w:lineRule="exact"/>
        <w:ind w:firstLine="480" w:firstLineChars="200"/>
        <w:rPr>
          <w:rFonts w:ascii="宋体" w:hAnsi="宋体"/>
          <w:color w:val="auto"/>
          <w:sz w:val="24"/>
        </w:rPr>
      </w:pPr>
      <w:r>
        <w:rPr>
          <w:rFonts w:hint="eastAsia" w:ascii="宋体" w:hAnsi="宋体"/>
          <w:color w:val="auto"/>
          <w:sz w:val="24"/>
        </w:rPr>
        <w:t>2.3 《建设工程工程量清单计价规范》（GB50500-2013）及广西壮族自治区实施细则；</w:t>
      </w:r>
    </w:p>
    <w:p w14:paraId="0C0F1BC3">
      <w:pPr>
        <w:spacing w:line="460" w:lineRule="exact"/>
        <w:ind w:firstLine="480" w:firstLineChars="200"/>
        <w:rPr>
          <w:rFonts w:ascii="宋体" w:hAnsi="宋体"/>
          <w:color w:val="auto"/>
          <w:sz w:val="24"/>
        </w:rPr>
      </w:pPr>
      <w:r>
        <w:rPr>
          <w:rFonts w:hint="eastAsia" w:ascii="宋体" w:hAnsi="宋体"/>
          <w:color w:val="auto"/>
          <w:sz w:val="24"/>
        </w:rPr>
        <w:t>2.4 2013年《广西壮族自治区建筑装修工程消耗量定额》；</w:t>
      </w:r>
    </w:p>
    <w:p w14:paraId="3AA8B446">
      <w:pPr>
        <w:spacing w:line="460" w:lineRule="exact"/>
        <w:ind w:firstLine="480" w:firstLineChars="200"/>
        <w:rPr>
          <w:rFonts w:ascii="宋体" w:hAnsi="宋体"/>
          <w:color w:val="auto"/>
          <w:sz w:val="24"/>
        </w:rPr>
      </w:pPr>
      <w:r>
        <w:rPr>
          <w:rFonts w:hint="eastAsia" w:ascii="宋体" w:hAnsi="宋体"/>
          <w:color w:val="auto"/>
          <w:sz w:val="24"/>
        </w:rPr>
        <w:t>2.5 2015年《广西壮族自治区安装工程消耗量定额》；</w:t>
      </w:r>
    </w:p>
    <w:p w14:paraId="7518B040">
      <w:pPr>
        <w:spacing w:line="460" w:lineRule="exact"/>
        <w:ind w:firstLine="480" w:firstLineChars="200"/>
        <w:rPr>
          <w:rFonts w:ascii="宋体" w:hAnsi="宋体"/>
          <w:color w:val="auto"/>
          <w:sz w:val="24"/>
        </w:rPr>
      </w:pPr>
      <w:r>
        <w:rPr>
          <w:rFonts w:hint="eastAsia" w:ascii="宋体" w:hAnsi="宋体"/>
          <w:color w:val="auto"/>
          <w:sz w:val="24"/>
        </w:rPr>
        <w:t>2.6 2011年《广西壮族自治区建筑工程拆除消耗量定额》；</w:t>
      </w:r>
    </w:p>
    <w:p w14:paraId="4F2E8AC0">
      <w:pPr>
        <w:spacing w:line="460" w:lineRule="exact"/>
        <w:ind w:firstLine="480" w:firstLineChars="200"/>
        <w:rPr>
          <w:rFonts w:ascii="宋体" w:hAnsi="宋体"/>
          <w:color w:val="auto"/>
          <w:sz w:val="24"/>
        </w:rPr>
      </w:pPr>
      <w:r>
        <w:rPr>
          <w:rFonts w:hint="eastAsia" w:ascii="宋体" w:hAnsi="宋体"/>
          <w:color w:val="auto"/>
          <w:sz w:val="24"/>
        </w:rPr>
        <w:t>2.7 2013年《广西壮族自治区安装拆除工程消耗量定额》；</w:t>
      </w:r>
    </w:p>
    <w:p w14:paraId="478DB932">
      <w:pPr>
        <w:spacing w:line="460" w:lineRule="exact"/>
        <w:ind w:firstLine="480" w:firstLineChars="200"/>
        <w:rPr>
          <w:rFonts w:ascii="宋体" w:hAnsi="宋体"/>
          <w:color w:val="auto"/>
          <w:sz w:val="24"/>
        </w:rPr>
      </w:pPr>
      <w:r>
        <w:rPr>
          <w:rFonts w:hint="eastAsia" w:ascii="宋体" w:hAnsi="宋体"/>
          <w:color w:val="auto"/>
          <w:sz w:val="24"/>
        </w:rPr>
        <w:t>2.8 《关于调整建设工程定额人工费及有关费率的通知》(桂建标[2023]7号）；</w:t>
      </w:r>
    </w:p>
    <w:p w14:paraId="23069E04">
      <w:pPr>
        <w:spacing w:line="460" w:lineRule="exact"/>
        <w:ind w:firstLine="480" w:firstLineChars="200"/>
        <w:rPr>
          <w:rFonts w:ascii="宋体" w:hAnsi="宋体"/>
          <w:color w:val="auto"/>
          <w:sz w:val="24"/>
        </w:rPr>
      </w:pPr>
      <w:r>
        <w:rPr>
          <w:rFonts w:hint="eastAsia" w:ascii="宋体" w:hAnsi="宋体"/>
          <w:color w:val="auto"/>
          <w:sz w:val="24"/>
        </w:rPr>
        <w:t>2.9 自治区住房城乡建设厅关于颁发2016年《广西壮族自治区建设工程费用定额》的通知（桂建标[2016]16号）；</w:t>
      </w:r>
    </w:p>
    <w:p w14:paraId="4FE8B3AD">
      <w:pPr>
        <w:spacing w:line="460" w:lineRule="exact"/>
        <w:ind w:firstLine="480" w:firstLineChars="200"/>
        <w:rPr>
          <w:rFonts w:ascii="宋体" w:hAnsi="宋体"/>
          <w:color w:val="auto"/>
          <w:sz w:val="24"/>
        </w:rPr>
      </w:pPr>
      <w:r>
        <w:rPr>
          <w:rFonts w:hint="eastAsia" w:ascii="宋体" w:hAnsi="宋体"/>
          <w:color w:val="auto"/>
          <w:sz w:val="24"/>
        </w:rPr>
        <w:t>2.10 《自治区住房城乡建设厅关于建筑业实施营业税改征增值税后广西壮族自治区建设工程计价依据调整的通知》（桂建标[2016]17号）；</w:t>
      </w:r>
    </w:p>
    <w:p w14:paraId="2D41E4D7">
      <w:pPr>
        <w:spacing w:line="460" w:lineRule="exact"/>
        <w:ind w:firstLine="480" w:firstLineChars="200"/>
        <w:rPr>
          <w:rFonts w:ascii="宋体" w:hAnsi="宋体"/>
          <w:color w:val="auto"/>
          <w:sz w:val="24"/>
        </w:rPr>
      </w:pPr>
      <w:r>
        <w:rPr>
          <w:rFonts w:hint="eastAsia" w:ascii="宋体" w:hAnsi="宋体"/>
          <w:color w:val="auto"/>
          <w:sz w:val="24"/>
        </w:rPr>
        <w:t>2.11 《关于调整除税价计算适用增值税税率的通知》桂造价〔2019〕10号；</w:t>
      </w:r>
    </w:p>
    <w:p w14:paraId="53F4E2A6">
      <w:pPr>
        <w:spacing w:line="460" w:lineRule="exact"/>
        <w:ind w:firstLine="480" w:firstLineChars="200"/>
        <w:rPr>
          <w:rFonts w:ascii="宋体" w:hAnsi="宋体"/>
          <w:color w:val="auto"/>
          <w:sz w:val="24"/>
        </w:rPr>
      </w:pPr>
      <w:r>
        <w:rPr>
          <w:rFonts w:hint="eastAsia" w:ascii="宋体" w:hAnsi="宋体"/>
          <w:color w:val="auto"/>
          <w:sz w:val="24"/>
        </w:rPr>
        <w:t>2.12 材料价格按202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2</w:t>
      </w:r>
      <w:r>
        <w:rPr>
          <w:rFonts w:hint="eastAsia" w:ascii="宋体" w:hAnsi="宋体"/>
          <w:color w:val="auto"/>
          <w:sz w:val="24"/>
        </w:rPr>
        <w:t>期《桂林市建设工程造价信息》中的桂林市信息价，无信息价的按市场询价确定。</w:t>
      </w:r>
    </w:p>
    <w:p w14:paraId="74A7CC46">
      <w:pPr>
        <w:spacing w:line="460" w:lineRule="exact"/>
        <w:ind w:firstLine="480" w:firstLineChars="200"/>
        <w:rPr>
          <w:rFonts w:ascii="宋体" w:hAnsi="宋体"/>
          <w:color w:val="auto"/>
          <w:sz w:val="24"/>
        </w:rPr>
      </w:pPr>
      <w:r>
        <w:rPr>
          <w:rFonts w:hint="eastAsia" w:ascii="宋体" w:hAnsi="宋体"/>
          <w:color w:val="auto"/>
          <w:sz w:val="24"/>
        </w:rPr>
        <w:t>2.13 其他说明问题：本工程根据相关要求分部分项工程和措施费的10%作为暂列金额。</w:t>
      </w:r>
    </w:p>
    <w:p w14:paraId="64548EB1">
      <w:pPr>
        <w:pStyle w:val="28"/>
        <w:outlineLvl w:val="0"/>
        <w:rPr>
          <w:rFonts w:ascii="宋体" w:hAnsi="宋体"/>
          <w:b/>
          <w:color w:val="auto"/>
          <w:sz w:val="24"/>
          <w:szCs w:val="24"/>
        </w:rPr>
      </w:pPr>
      <w:bookmarkStart w:id="19" w:name="_Toc418751879"/>
      <w:bookmarkStart w:id="20" w:name="_Toc24739"/>
      <w:bookmarkStart w:id="21" w:name="_Toc483317201"/>
      <w:bookmarkStart w:id="22" w:name="_Toc488043470"/>
      <w:bookmarkStart w:id="23" w:name="_Toc418752325"/>
      <w:r>
        <w:rPr>
          <w:rFonts w:hint="eastAsia" w:ascii="宋体" w:hAnsi="宋体"/>
          <w:b/>
          <w:color w:val="auto"/>
          <w:sz w:val="24"/>
          <w:szCs w:val="24"/>
        </w:rPr>
        <w:t>3投标报价计算说明</w:t>
      </w:r>
      <w:bookmarkEnd w:id="19"/>
      <w:bookmarkEnd w:id="20"/>
      <w:bookmarkEnd w:id="21"/>
      <w:bookmarkEnd w:id="22"/>
      <w:bookmarkEnd w:id="23"/>
    </w:p>
    <w:p w14:paraId="1AF3007C">
      <w:pPr>
        <w:spacing w:line="440" w:lineRule="exact"/>
        <w:ind w:firstLine="480" w:firstLineChars="200"/>
        <w:rPr>
          <w:rFonts w:ascii="宋体" w:hAnsi="宋体"/>
          <w:color w:val="auto"/>
          <w:sz w:val="24"/>
        </w:rPr>
      </w:pPr>
      <w:r>
        <w:rPr>
          <w:rFonts w:hint="eastAsia" w:ascii="宋体" w:hAnsi="宋体"/>
          <w:color w:val="auto"/>
          <w:sz w:val="24"/>
        </w:rPr>
        <w:t>3.1 投标人应依据招标文件及其招标工程量清单自主确定报价成本，投标报价不应低于工程成本。</w:t>
      </w:r>
    </w:p>
    <w:p w14:paraId="776642E6">
      <w:pPr>
        <w:spacing w:line="440" w:lineRule="exact"/>
        <w:ind w:firstLine="480" w:firstLineChars="200"/>
        <w:rPr>
          <w:rFonts w:ascii="宋体" w:hAnsi="宋体"/>
          <w:color w:val="auto"/>
          <w:sz w:val="24"/>
        </w:rPr>
      </w:pPr>
      <w:r>
        <w:rPr>
          <w:rFonts w:hint="eastAsia" w:ascii="宋体" w:hAnsi="宋体"/>
          <w:color w:val="auto"/>
          <w:sz w:val="24"/>
        </w:rPr>
        <w:t>3.2 投标人应按招标工程量清单填报价格。项目编码、项目名称、项目特征、计量单位、工程量必须与招标工程量清单一致。不得采用总价让利或以百分比让利等形式进行报价。</w:t>
      </w:r>
    </w:p>
    <w:p w14:paraId="2921780D">
      <w:pPr>
        <w:spacing w:line="440" w:lineRule="exact"/>
        <w:ind w:firstLine="480" w:firstLineChars="200"/>
        <w:rPr>
          <w:rFonts w:ascii="宋体" w:hAnsi="宋体"/>
          <w:color w:val="auto"/>
          <w:sz w:val="24"/>
        </w:rPr>
      </w:pPr>
      <w:r>
        <w:rPr>
          <w:rFonts w:hint="eastAsia" w:ascii="宋体" w:hAnsi="宋体"/>
          <w:color w:val="auto"/>
          <w:sz w:val="24"/>
        </w:rPr>
        <w:t>3.3 综合单价中应包含招标文件中划分的应有投标人承担的风险范围及其费用。</w:t>
      </w:r>
    </w:p>
    <w:p w14:paraId="0407665D">
      <w:pPr>
        <w:pStyle w:val="28"/>
        <w:spacing w:line="440" w:lineRule="exact"/>
        <w:ind w:firstLine="480" w:firstLineChars="200"/>
        <w:outlineLvl w:val="0"/>
        <w:rPr>
          <w:rFonts w:ascii="宋体" w:hAnsi="宋体"/>
          <w:color w:val="auto"/>
          <w:sz w:val="24"/>
          <w:szCs w:val="24"/>
        </w:rPr>
      </w:pPr>
      <w:bookmarkStart w:id="24" w:name="_Toc488043471"/>
      <w:bookmarkStart w:id="25" w:name="_Toc418752326"/>
      <w:bookmarkStart w:id="26" w:name="_Toc418751880"/>
      <w:bookmarkStart w:id="27" w:name="_Toc483317202"/>
      <w:bookmarkStart w:id="28" w:name="_Toc669"/>
      <w:r>
        <w:rPr>
          <w:rFonts w:hint="eastAsia" w:ascii="宋体" w:hAnsi="宋体"/>
          <w:color w:val="auto"/>
          <w:sz w:val="24"/>
          <w:szCs w:val="24"/>
        </w:rPr>
        <w:t>3.4</w:t>
      </w:r>
      <w:bookmarkEnd w:id="24"/>
      <w:bookmarkEnd w:id="25"/>
      <w:bookmarkEnd w:id="26"/>
      <w:bookmarkEnd w:id="27"/>
      <w:bookmarkStart w:id="29" w:name="_Toc483317203"/>
      <w:bookmarkStart w:id="30" w:name="_Toc488043472"/>
      <w:bookmarkStart w:id="31" w:name="_Toc418752327"/>
      <w:bookmarkStart w:id="32" w:name="_Toc418751881"/>
      <w:r>
        <w:rPr>
          <w:rFonts w:hint="eastAsia" w:ascii="宋体" w:hAnsi="宋体"/>
          <w:color w:val="auto"/>
          <w:sz w:val="24"/>
          <w:szCs w:val="24"/>
        </w:rPr>
        <w:t xml:space="preserve"> 投标人可根据工程实际情况结合施工组织设计，对招标人所列的措施项目进行增补。</w:t>
      </w:r>
      <w:bookmarkEnd w:id="28"/>
      <w:bookmarkEnd w:id="29"/>
      <w:bookmarkEnd w:id="30"/>
      <w:bookmarkEnd w:id="31"/>
      <w:bookmarkEnd w:id="32"/>
    </w:p>
    <w:p w14:paraId="2AEEB6E2">
      <w:pPr>
        <w:spacing w:line="44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5</w:t>
      </w:r>
      <w:r>
        <w:rPr>
          <w:rFonts w:hint="eastAsia" w:ascii="宋体" w:hAnsi="宋体"/>
          <w:color w:val="auto"/>
          <w:sz w:val="24"/>
        </w:rPr>
        <w:t xml:space="preserve"> 安全文明施工费、规费和增值税应按规定确定，作为不竞争费用单列。</w:t>
      </w:r>
    </w:p>
    <w:p w14:paraId="22EABF50">
      <w:pPr>
        <w:spacing w:line="44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6</w:t>
      </w:r>
      <w:r>
        <w:rPr>
          <w:rFonts w:hint="eastAsia" w:ascii="宋体" w:hAnsi="宋体"/>
          <w:color w:val="auto"/>
          <w:sz w:val="24"/>
        </w:rPr>
        <w:t xml:space="preserve"> 其他项目费应按下列规定报价： </w:t>
      </w:r>
    </w:p>
    <w:p w14:paraId="22BA3748">
      <w:pPr>
        <w:spacing w:line="440" w:lineRule="exact"/>
        <w:ind w:firstLine="480" w:firstLineChars="200"/>
        <w:rPr>
          <w:rFonts w:ascii="宋体" w:hAnsi="宋体"/>
          <w:color w:val="auto"/>
          <w:sz w:val="24"/>
        </w:rPr>
      </w:pPr>
      <w:r>
        <w:rPr>
          <w:rFonts w:hint="eastAsia" w:ascii="宋体" w:hAnsi="宋体"/>
          <w:color w:val="auto"/>
          <w:sz w:val="24"/>
        </w:rPr>
        <w:t xml:space="preserve">（1）暂列金额应按招标工程量清单中列出的金额填写； </w:t>
      </w:r>
    </w:p>
    <w:p w14:paraId="5CE7891D">
      <w:pPr>
        <w:pStyle w:val="28"/>
        <w:spacing w:line="440" w:lineRule="exact"/>
        <w:ind w:firstLine="480" w:firstLineChars="200"/>
        <w:rPr>
          <w:rFonts w:ascii="宋体" w:hAnsi="宋体"/>
          <w:color w:val="auto"/>
          <w:sz w:val="24"/>
          <w:szCs w:val="24"/>
        </w:rPr>
      </w:pPr>
      <w:r>
        <w:rPr>
          <w:rFonts w:hint="eastAsia" w:ascii="宋体" w:hAnsi="宋体"/>
          <w:color w:val="auto"/>
          <w:sz w:val="24"/>
          <w:szCs w:val="24"/>
        </w:rPr>
        <w:t xml:space="preserve">（2）材料、工程设备暂估价应按招标工程量清单中列出的单价计入综合单价； </w:t>
      </w:r>
    </w:p>
    <w:p w14:paraId="39841413">
      <w:pPr>
        <w:spacing w:line="440" w:lineRule="exact"/>
        <w:ind w:firstLine="480" w:firstLineChars="200"/>
        <w:rPr>
          <w:rFonts w:ascii="宋体" w:hAnsi="宋体"/>
          <w:color w:val="auto"/>
          <w:sz w:val="24"/>
        </w:rPr>
      </w:pPr>
      <w:r>
        <w:rPr>
          <w:rFonts w:hint="eastAsia" w:ascii="宋体" w:hAnsi="宋体"/>
          <w:color w:val="auto"/>
          <w:sz w:val="24"/>
        </w:rPr>
        <w:t xml:space="preserve">（3）专业工程暂估价应按招标工程量清单中列出的金额填写； </w:t>
      </w:r>
    </w:p>
    <w:p w14:paraId="1B02DE05">
      <w:pPr>
        <w:spacing w:line="440" w:lineRule="exact"/>
        <w:ind w:firstLine="480" w:firstLineChars="200"/>
        <w:rPr>
          <w:rFonts w:ascii="宋体" w:hAnsi="宋体"/>
          <w:color w:val="auto"/>
          <w:sz w:val="24"/>
        </w:rPr>
      </w:pPr>
      <w:r>
        <w:rPr>
          <w:rFonts w:hint="eastAsia" w:ascii="宋体" w:hAnsi="宋体"/>
          <w:color w:val="auto"/>
          <w:sz w:val="24"/>
        </w:rPr>
        <w:t xml:space="preserve">（4）计日工应按招标工程量清单中列出的项目和数量，自主确定综合单价并计算计日工总额； </w:t>
      </w:r>
    </w:p>
    <w:p w14:paraId="580C135F">
      <w:pPr>
        <w:spacing w:line="440" w:lineRule="exact"/>
        <w:ind w:firstLine="480" w:firstLineChars="200"/>
        <w:rPr>
          <w:rFonts w:ascii="宋体" w:hAnsi="宋体"/>
          <w:color w:val="auto"/>
          <w:sz w:val="24"/>
        </w:rPr>
      </w:pPr>
      <w:r>
        <w:rPr>
          <w:rFonts w:hint="eastAsia" w:ascii="宋体" w:hAnsi="宋体"/>
          <w:color w:val="auto"/>
          <w:sz w:val="24"/>
        </w:rPr>
        <w:t xml:space="preserve">（5）总承包服务费应根据招标工程量清单中列出的内容和提出的要求自主确定。 </w:t>
      </w:r>
    </w:p>
    <w:p w14:paraId="62500E22">
      <w:pPr>
        <w:spacing w:line="440" w:lineRule="exact"/>
        <w:ind w:firstLine="480" w:firstLineChars="200"/>
        <w:rPr>
          <w:rFonts w:ascii="宋体" w:hAnsi="宋体"/>
          <w:color w:val="auto"/>
          <w:sz w:val="24"/>
        </w:rPr>
      </w:pPr>
      <w:r>
        <w:rPr>
          <w:rFonts w:hint="eastAsia" w:ascii="宋体" w:hAnsi="宋体"/>
          <w:color w:val="auto"/>
          <w:sz w:val="24"/>
        </w:rPr>
        <w:t>3.8 招标工程量清单与计价表中列明的所有需要填写的单价和合价的项目， 投标人均应填写且只允许有一个报价。未填写单价和合价的项目，视为此项费用已包含在已标价工程量清单中其他项目的单价和合价之中。竣工结算时，此项目不得重新组价予以调整。</w:t>
      </w:r>
    </w:p>
    <w:p w14:paraId="343B1A66">
      <w:pPr>
        <w:spacing w:line="440" w:lineRule="exact"/>
        <w:ind w:firstLine="480" w:firstLineChars="200"/>
        <w:rPr>
          <w:rFonts w:ascii="宋体" w:hAnsi="宋体"/>
          <w:color w:val="auto"/>
          <w:sz w:val="24"/>
        </w:rPr>
      </w:pPr>
      <w:r>
        <w:rPr>
          <w:rFonts w:hint="eastAsia" w:ascii="宋体" w:hAnsi="宋体"/>
          <w:color w:val="auto"/>
          <w:sz w:val="24"/>
        </w:rPr>
        <w:t>3.9 投标总价应当与分部分项工程费、措施项目费、其他项目费和规费、增值税的合计金额一致。</w:t>
      </w:r>
    </w:p>
    <w:p w14:paraId="5A70920C">
      <w:pPr>
        <w:pStyle w:val="13"/>
        <w:spacing w:line="440" w:lineRule="exact"/>
        <w:ind w:firstLine="480" w:firstLineChars="200"/>
        <w:rPr>
          <w:rFonts w:hAnsi="宋体"/>
          <w:color w:val="auto"/>
          <w:sz w:val="24"/>
          <w:szCs w:val="24"/>
        </w:rPr>
      </w:pPr>
      <w:r>
        <w:rPr>
          <w:rFonts w:hint="eastAsia" w:hAnsi="宋体"/>
          <w:color w:val="auto"/>
          <w:sz w:val="24"/>
          <w:szCs w:val="24"/>
        </w:rPr>
        <w:t>3.10 因分部分项工程量清单漏项、设计变更、相关签证引起工程项目、工程量任何变化的，变更合同价款按专用合同条款中变更估价原则处理。</w:t>
      </w:r>
    </w:p>
    <w:p w14:paraId="2B9FABC7">
      <w:pPr>
        <w:pStyle w:val="13"/>
        <w:spacing w:line="440" w:lineRule="exact"/>
        <w:ind w:firstLine="480" w:firstLineChars="200"/>
        <w:rPr>
          <w:rFonts w:hAnsi="宋体"/>
          <w:color w:val="auto"/>
          <w:sz w:val="24"/>
          <w:szCs w:val="24"/>
        </w:rPr>
      </w:pPr>
      <w:r>
        <w:rPr>
          <w:rFonts w:hint="eastAsia" w:hAnsi="宋体"/>
          <w:color w:val="auto"/>
          <w:sz w:val="24"/>
          <w:szCs w:val="24"/>
        </w:rPr>
        <w:t>以下材料和设备：合同实施期间主要材料钢筋、水泥、砂以《桂林市建设工程造价信息》</w:t>
      </w:r>
      <w:r>
        <w:rPr>
          <w:rFonts w:hint="eastAsia" w:hAnsi="宋体"/>
          <w:color w:val="auto"/>
          <w:sz w:val="24"/>
          <w:szCs w:val="24"/>
          <w:u w:val="single"/>
        </w:rPr>
        <w:t>202</w:t>
      </w:r>
      <w:r>
        <w:rPr>
          <w:rFonts w:hint="eastAsia" w:hAnsi="宋体"/>
          <w:color w:val="auto"/>
          <w:sz w:val="24"/>
          <w:szCs w:val="24"/>
          <w:u w:val="single"/>
          <w:lang w:val="en-US" w:eastAsia="zh-CN"/>
        </w:rPr>
        <w:t>5</w:t>
      </w:r>
      <w:r>
        <w:rPr>
          <w:rFonts w:hint="eastAsia" w:hAnsi="宋体"/>
          <w:color w:val="auto"/>
          <w:sz w:val="24"/>
          <w:szCs w:val="24"/>
        </w:rPr>
        <w:t>年第</w:t>
      </w:r>
      <w:r>
        <w:rPr>
          <w:rFonts w:hint="eastAsia" w:hAnsi="宋体"/>
          <w:color w:val="auto"/>
          <w:sz w:val="24"/>
          <w:szCs w:val="24"/>
          <w:u w:val="single"/>
          <w:lang w:val="en-US" w:eastAsia="zh-CN"/>
        </w:rPr>
        <w:t>2</w:t>
      </w:r>
      <w:r>
        <w:rPr>
          <w:rFonts w:hint="eastAsia" w:hAnsi="宋体"/>
          <w:color w:val="auto"/>
          <w:sz w:val="24"/>
          <w:szCs w:val="24"/>
        </w:rPr>
        <w:t>期发布信息价格为基准价格；土地平整工程主要材料钢筋、水泥、砂以《桂林市建设工程造价信息》</w:t>
      </w:r>
      <w:r>
        <w:rPr>
          <w:rFonts w:hint="eastAsia" w:hAnsi="宋体"/>
          <w:color w:val="auto"/>
          <w:sz w:val="24"/>
          <w:szCs w:val="24"/>
          <w:u w:val="single"/>
        </w:rPr>
        <w:t>202</w:t>
      </w:r>
      <w:r>
        <w:rPr>
          <w:rFonts w:hint="eastAsia" w:hAnsi="宋体"/>
          <w:color w:val="auto"/>
          <w:sz w:val="24"/>
          <w:szCs w:val="24"/>
          <w:u w:val="single"/>
          <w:lang w:val="en-US" w:eastAsia="zh-CN"/>
        </w:rPr>
        <w:t>5</w:t>
      </w:r>
      <w:r>
        <w:rPr>
          <w:rFonts w:hint="eastAsia" w:hAnsi="宋体"/>
          <w:color w:val="auto"/>
          <w:sz w:val="24"/>
          <w:szCs w:val="24"/>
        </w:rPr>
        <w:t>年第</w:t>
      </w:r>
      <w:r>
        <w:rPr>
          <w:rFonts w:hint="eastAsia" w:hAnsi="宋体"/>
          <w:color w:val="auto"/>
          <w:sz w:val="24"/>
          <w:szCs w:val="24"/>
          <w:u w:val="single"/>
          <w:lang w:val="en-US" w:eastAsia="zh-CN"/>
        </w:rPr>
        <w:t>2</w:t>
      </w:r>
      <w:r>
        <w:rPr>
          <w:rFonts w:hint="eastAsia" w:hAnsi="宋体"/>
          <w:color w:val="auto"/>
          <w:sz w:val="24"/>
          <w:szCs w:val="24"/>
          <w:u w:val="single"/>
        </w:rPr>
        <w:t xml:space="preserve"> </w:t>
      </w:r>
      <w:r>
        <w:rPr>
          <w:rFonts w:hint="eastAsia" w:hAnsi="宋体"/>
          <w:color w:val="auto"/>
          <w:sz w:val="24"/>
          <w:szCs w:val="24"/>
        </w:rPr>
        <w:t>期发布信息价格为基准价格。</w:t>
      </w:r>
    </w:p>
    <w:p w14:paraId="278DCDD5">
      <w:pPr>
        <w:pStyle w:val="28"/>
        <w:spacing w:line="440" w:lineRule="exact"/>
        <w:ind w:firstLine="480" w:firstLineChars="200"/>
        <w:rPr>
          <w:rFonts w:ascii="宋体" w:hAnsi="宋体"/>
          <w:color w:val="auto"/>
          <w:sz w:val="24"/>
          <w:szCs w:val="24"/>
        </w:rPr>
      </w:pPr>
      <w:r>
        <w:rPr>
          <w:rFonts w:hint="eastAsia" w:ascii="宋体" w:hAnsi="宋体"/>
          <w:color w:val="auto"/>
          <w:sz w:val="24"/>
          <w:szCs w:val="24"/>
        </w:rPr>
        <w:t>3.11 投标人应认真填写工程量清单中所列的所有各细目的单价和合价，填写时应注意：</w:t>
      </w:r>
    </w:p>
    <w:p w14:paraId="061E245F">
      <w:pPr>
        <w:spacing w:line="440" w:lineRule="exact"/>
        <w:ind w:firstLine="480" w:firstLineChars="200"/>
        <w:rPr>
          <w:rFonts w:ascii="宋体" w:hAnsi="宋体"/>
          <w:color w:val="auto"/>
          <w:sz w:val="24"/>
        </w:rPr>
      </w:pPr>
      <w:r>
        <w:rPr>
          <w:rFonts w:hint="eastAsia" w:ascii="宋体" w:hAnsi="宋体"/>
          <w:color w:val="auto"/>
          <w:sz w:val="24"/>
        </w:rPr>
        <w:t>（1）有工程数量的项目应报单价和合价；</w:t>
      </w:r>
    </w:p>
    <w:p w14:paraId="4D6608A2">
      <w:pPr>
        <w:spacing w:line="44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pacing w:val="-2"/>
          <w:sz w:val="24"/>
        </w:rPr>
        <w:t>除非招标人对招标文件予以修改，投标人应按招标人提供的工程量清单中列出的工程项目和工程量填报单价和合价。每一项目只允许有一个报价。任何有选择的报价将不予接受。投标人未填单价和合价的工程项目，在实施后，招标人将不予以支付，并视为该项费用已包括在其他有价款的单价或合价内，承包人必须按监理工程师的指令完成工程量清单中未填入单价或总额价的工程细目，但不能得到支付与结算。</w:t>
      </w:r>
    </w:p>
    <w:p w14:paraId="5E660A90">
      <w:pPr>
        <w:spacing w:line="440" w:lineRule="exact"/>
        <w:ind w:firstLine="482" w:firstLineChars="200"/>
        <w:rPr>
          <w:rFonts w:ascii="宋体" w:hAnsi="宋体"/>
          <w:b/>
          <w:color w:val="auto"/>
          <w:kern w:val="0"/>
          <w:sz w:val="24"/>
        </w:rPr>
      </w:pPr>
      <w:r>
        <w:rPr>
          <w:rFonts w:hint="eastAsia" w:ascii="宋体" w:hAnsi="宋体"/>
          <w:b/>
          <w:color w:val="auto"/>
          <w:sz w:val="24"/>
        </w:rPr>
        <w:t>未尽事宜详见本工程招标工程量清单（另册后附）、招标控制价（招标控制价）编制说明以及现行《建设工程工程量清单计价规范》等有关规定执行。</w:t>
      </w:r>
    </w:p>
    <w:p w14:paraId="0BB01CBE">
      <w:pPr>
        <w:numPr>
          <w:ilvl w:val="255"/>
          <w:numId w:val="0"/>
        </w:numPr>
        <w:rPr>
          <w:color w:val="auto"/>
        </w:rPr>
      </w:pPr>
    </w:p>
    <w:p w14:paraId="7E4B641C">
      <w:pPr>
        <w:numPr>
          <w:ilvl w:val="255"/>
          <w:numId w:val="0"/>
        </w:numPr>
        <w:rPr>
          <w:color w:val="auto"/>
        </w:rPr>
      </w:pPr>
    </w:p>
    <w:p w14:paraId="2D4C8421">
      <w:pPr>
        <w:numPr>
          <w:ilvl w:val="255"/>
          <w:numId w:val="0"/>
        </w:numPr>
        <w:rPr>
          <w:color w:val="auto"/>
        </w:rPr>
      </w:pPr>
    </w:p>
    <w:p w14:paraId="6B75A680">
      <w:pPr>
        <w:numPr>
          <w:ilvl w:val="255"/>
          <w:numId w:val="0"/>
        </w:numPr>
        <w:rPr>
          <w:color w:val="auto"/>
        </w:rPr>
      </w:pPr>
    </w:p>
    <w:p w14:paraId="1B816567">
      <w:pPr>
        <w:numPr>
          <w:ilvl w:val="255"/>
          <w:numId w:val="0"/>
        </w:numPr>
        <w:rPr>
          <w:color w:val="auto"/>
        </w:rPr>
      </w:pPr>
    </w:p>
    <w:p w14:paraId="4E1BDF48">
      <w:pPr>
        <w:numPr>
          <w:ilvl w:val="255"/>
          <w:numId w:val="0"/>
        </w:numPr>
        <w:rPr>
          <w:color w:val="auto"/>
        </w:rPr>
      </w:pPr>
    </w:p>
    <w:p w14:paraId="1E51B635">
      <w:pPr>
        <w:numPr>
          <w:ilvl w:val="255"/>
          <w:numId w:val="0"/>
        </w:numPr>
        <w:rPr>
          <w:color w:val="auto"/>
        </w:rPr>
      </w:pPr>
    </w:p>
    <w:p w14:paraId="3FC7DC0E">
      <w:pPr>
        <w:numPr>
          <w:ilvl w:val="255"/>
          <w:numId w:val="0"/>
        </w:numPr>
        <w:rPr>
          <w:color w:val="auto"/>
        </w:rPr>
      </w:pPr>
    </w:p>
    <w:p w14:paraId="7151E5E4">
      <w:pPr>
        <w:numPr>
          <w:ilvl w:val="255"/>
          <w:numId w:val="0"/>
        </w:numPr>
        <w:rPr>
          <w:color w:val="auto"/>
        </w:rPr>
      </w:pPr>
    </w:p>
    <w:p w14:paraId="6DED4FBD">
      <w:pPr>
        <w:numPr>
          <w:ilvl w:val="255"/>
          <w:numId w:val="0"/>
        </w:numPr>
        <w:rPr>
          <w:color w:val="auto"/>
        </w:rPr>
      </w:pPr>
    </w:p>
    <w:p w14:paraId="441905DD">
      <w:pPr>
        <w:numPr>
          <w:ilvl w:val="255"/>
          <w:numId w:val="0"/>
        </w:numPr>
        <w:rPr>
          <w:color w:val="auto"/>
        </w:rPr>
      </w:pPr>
    </w:p>
    <w:p w14:paraId="0F02C109">
      <w:pPr>
        <w:numPr>
          <w:ilvl w:val="255"/>
          <w:numId w:val="0"/>
        </w:numPr>
        <w:rPr>
          <w:color w:val="auto"/>
        </w:rPr>
      </w:pPr>
    </w:p>
    <w:p w14:paraId="77B43043">
      <w:pPr>
        <w:numPr>
          <w:ilvl w:val="255"/>
          <w:numId w:val="0"/>
        </w:numPr>
        <w:rPr>
          <w:color w:val="auto"/>
        </w:rPr>
      </w:pPr>
    </w:p>
    <w:p w14:paraId="56AC6ACE">
      <w:pPr>
        <w:numPr>
          <w:ilvl w:val="255"/>
          <w:numId w:val="0"/>
        </w:numPr>
        <w:rPr>
          <w:color w:val="auto"/>
        </w:rPr>
      </w:pPr>
    </w:p>
    <w:p w14:paraId="2F8A5367">
      <w:pPr>
        <w:numPr>
          <w:ilvl w:val="255"/>
          <w:numId w:val="0"/>
        </w:numPr>
        <w:rPr>
          <w:color w:val="auto"/>
        </w:rPr>
      </w:pPr>
    </w:p>
    <w:p w14:paraId="68AE65D7">
      <w:pPr>
        <w:numPr>
          <w:ilvl w:val="255"/>
          <w:numId w:val="0"/>
        </w:numPr>
        <w:rPr>
          <w:color w:val="auto"/>
        </w:rPr>
      </w:pPr>
    </w:p>
    <w:p w14:paraId="0585D7A1">
      <w:pPr>
        <w:numPr>
          <w:ilvl w:val="255"/>
          <w:numId w:val="0"/>
        </w:numPr>
        <w:rPr>
          <w:color w:val="auto"/>
        </w:rPr>
      </w:pPr>
    </w:p>
    <w:p w14:paraId="7AADEBE4">
      <w:pPr>
        <w:numPr>
          <w:ilvl w:val="255"/>
          <w:numId w:val="0"/>
        </w:numPr>
        <w:rPr>
          <w:color w:val="auto"/>
        </w:rPr>
      </w:pPr>
    </w:p>
    <w:p w14:paraId="7D3F70B4">
      <w:pPr>
        <w:numPr>
          <w:ilvl w:val="255"/>
          <w:numId w:val="0"/>
        </w:numPr>
        <w:rPr>
          <w:color w:val="auto"/>
        </w:rPr>
      </w:pPr>
    </w:p>
    <w:p w14:paraId="05D3925E">
      <w:pPr>
        <w:numPr>
          <w:ilvl w:val="255"/>
          <w:numId w:val="0"/>
        </w:numPr>
        <w:rPr>
          <w:color w:val="auto"/>
        </w:rPr>
      </w:pPr>
    </w:p>
    <w:p w14:paraId="20A2E60F">
      <w:pPr>
        <w:numPr>
          <w:ilvl w:val="255"/>
          <w:numId w:val="0"/>
        </w:numPr>
        <w:rPr>
          <w:color w:val="auto"/>
        </w:rPr>
      </w:pPr>
    </w:p>
    <w:p w14:paraId="246092FC">
      <w:pPr>
        <w:numPr>
          <w:ilvl w:val="255"/>
          <w:numId w:val="0"/>
        </w:numPr>
        <w:rPr>
          <w:color w:val="auto"/>
        </w:rPr>
      </w:pPr>
    </w:p>
    <w:p w14:paraId="27F3969B">
      <w:pPr>
        <w:numPr>
          <w:ilvl w:val="255"/>
          <w:numId w:val="0"/>
        </w:numPr>
        <w:rPr>
          <w:color w:val="auto"/>
        </w:rPr>
      </w:pPr>
    </w:p>
    <w:p w14:paraId="46E56F9B">
      <w:pPr>
        <w:numPr>
          <w:ilvl w:val="255"/>
          <w:numId w:val="0"/>
        </w:numPr>
        <w:rPr>
          <w:color w:val="auto"/>
        </w:rPr>
      </w:pPr>
    </w:p>
    <w:p w14:paraId="6AF76918">
      <w:pPr>
        <w:numPr>
          <w:ilvl w:val="255"/>
          <w:numId w:val="0"/>
        </w:numPr>
        <w:rPr>
          <w:color w:val="auto"/>
        </w:rPr>
      </w:pPr>
    </w:p>
    <w:p w14:paraId="3087AB1E">
      <w:pPr>
        <w:numPr>
          <w:ilvl w:val="255"/>
          <w:numId w:val="0"/>
        </w:numPr>
        <w:rPr>
          <w:color w:val="auto"/>
        </w:rPr>
      </w:pPr>
    </w:p>
    <w:p w14:paraId="5FBC58DE">
      <w:pPr>
        <w:numPr>
          <w:ilvl w:val="255"/>
          <w:numId w:val="0"/>
        </w:numPr>
        <w:rPr>
          <w:color w:val="auto"/>
        </w:rPr>
      </w:pPr>
    </w:p>
    <w:p w14:paraId="57AA149D">
      <w:pPr>
        <w:numPr>
          <w:ilvl w:val="255"/>
          <w:numId w:val="0"/>
        </w:numPr>
        <w:rPr>
          <w:color w:val="auto"/>
        </w:rPr>
      </w:pPr>
    </w:p>
    <w:p w14:paraId="32E5AE51">
      <w:pPr>
        <w:numPr>
          <w:ilvl w:val="255"/>
          <w:numId w:val="0"/>
        </w:numPr>
        <w:rPr>
          <w:color w:val="auto"/>
        </w:rPr>
      </w:pPr>
    </w:p>
    <w:p w14:paraId="305D26C1">
      <w:pPr>
        <w:numPr>
          <w:ilvl w:val="255"/>
          <w:numId w:val="0"/>
        </w:numPr>
        <w:rPr>
          <w:color w:val="auto"/>
        </w:rPr>
      </w:pPr>
    </w:p>
    <w:p w14:paraId="41A7ED86">
      <w:pPr>
        <w:numPr>
          <w:ilvl w:val="255"/>
          <w:numId w:val="0"/>
        </w:numPr>
        <w:rPr>
          <w:color w:val="auto"/>
        </w:rPr>
      </w:pPr>
    </w:p>
    <w:p w14:paraId="62500A11">
      <w:pPr>
        <w:pStyle w:val="3"/>
        <w:spacing w:line="0" w:lineRule="atLeast"/>
        <w:jc w:val="center"/>
        <w:rPr>
          <w:rFonts w:ascii="宋体" w:hAnsi="宋体" w:eastAsia="宋体" w:cs="宋体"/>
          <w:color w:val="auto"/>
        </w:rPr>
      </w:pPr>
      <w:bookmarkStart w:id="33" w:name="_Toc6671"/>
      <w:bookmarkStart w:id="34" w:name="_Toc429488166"/>
      <w:r>
        <w:rPr>
          <w:rFonts w:hint="eastAsia" w:ascii="宋体" w:hAnsi="宋体" w:eastAsia="宋体" w:cs="宋体"/>
          <w:color w:val="auto"/>
        </w:rPr>
        <w:t>第六章  图纸（另附）</w:t>
      </w:r>
      <w:bookmarkEnd w:id="33"/>
      <w:bookmarkEnd w:id="34"/>
    </w:p>
    <w:p w14:paraId="339F120E">
      <w:pPr>
        <w:numPr>
          <w:ilvl w:val="255"/>
          <w:numId w:val="0"/>
        </w:numPr>
        <w:rPr>
          <w:color w:val="auto"/>
        </w:rPr>
      </w:pPr>
    </w:p>
    <w:p w14:paraId="0CF91552"/>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7B16EC9"/>
    <w:rsid w:val="1956703D"/>
    <w:rsid w:val="1C8670CE"/>
    <w:rsid w:val="1D3728BF"/>
    <w:rsid w:val="44F04EC5"/>
    <w:rsid w:val="79E7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460" w:lineRule="exact"/>
      <w:ind w:firstLine="560"/>
    </w:pPr>
    <w:rPr>
      <w:sz w:val="28"/>
      <w:szCs w:val="20"/>
    </w:rPr>
  </w:style>
  <w:style w:type="paragraph" w:customStyle="1" w:styleId="10">
    <w:name w:val="样式 正文文本缩进 + 首行缩进:  2 字符 行距: 1.5 倍行距"/>
    <w:basedOn w:val="9"/>
    <w:qFormat/>
    <w:uiPriority w:val="0"/>
    <w:rPr>
      <w:rFonts w:cs="宋体"/>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7"/>
    <w:qFormat/>
    <w:uiPriority w:val="99"/>
    <w:pPr>
      <w:ind w:firstLine="420"/>
    </w:pPr>
  </w:style>
  <w:style w:type="paragraph" w:customStyle="1" w:styleId="17">
    <w:name w:val="**正文"/>
    <w:basedOn w:val="1"/>
    <w:qFormat/>
    <w:uiPriority w:val="0"/>
    <w:pPr>
      <w:ind w:firstLine="482"/>
    </w:pPr>
    <w:rPr>
      <w:rFonts w:ascii="宋体" w:hAnsi="宋体"/>
      <w:sz w:val="24"/>
    </w:rPr>
  </w:style>
  <w:style w:type="character" w:styleId="20">
    <w:name w:val="Hyperlink"/>
    <w:basedOn w:val="19"/>
    <w:qFormat/>
    <w:uiPriority w:val="0"/>
    <w:rPr>
      <w:color w:val="0000FF"/>
      <w:u w:val="single"/>
    </w:rPr>
  </w:style>
  <w:style w:type="character" w:styleId="21">
    <w:name w:val="annotation reference"/>
    <w:unhideWhenUsed/>
    <w:qFormat/>
    <w:uiPriority w:val="99"/>
    <w:rPr>
      <w:sz w:val="21"/>
      <w:szCs w:val="21"/>
    </w:rPr>
  </w:style>
  <w:style w:type="paragraph" w:customStyle="1" w:styleId="22">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3">
    <w:name w:val="Table Text"/>
    <w:basedOn w:val="1"/>
    <w:semiHidden/>
    <w:qFormat/>
    <w:uiPriority w:val="0"/>
    <w:rPr>
      <w:rFonts w:ascii="宋体" w:hAnsi="宋体" w:cs="宋体"/>
      <w:sz w:val="20"/>
      <w:szCs w:val="20"/>
      <w:lang w:eastAsia="en-US"/>
    </w:rPr>
  </w:style>
  <w:style w:type="paragraph" w:styleId="24">
    <w:name w:val="List Paragraph"/>
    <w:basedOn w:val="1"/>
    <w:qFormat/>
    <w:uiPriority w:val="1"/>
    <w:pPr>
      <w:ind w:left="218" w:firstLine="424"/>
    </w:pPr>
    <w:rPr>
      <w:rFonts w:ascii="宋体" w:hAnsi="宋体" w:cs="宋体"/>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首行缩进"/>
    <w:basedOn w:val="1"/>
    <w:qFormat/>
    <w:uiPriority w:val="0"/>
    <w:pPr>
      <w:ind w:firstLine="480" w:firstLineChars="200"/>
    </w:p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8712</Words>
  <Characters>9283</Characters>
  <Lines>0</Lines>
  <Paragraphs>0</Paragraphs>
  <TotalTime>46</TotalTime>
  <ScaleCrop>false</ScaleCrop>
  <LinksUpToDate>false</LinksUpToDate>
  <CharactersWithSpaces>10427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H.小薇</cp:lastModifiedBy>
  <dcterms:modified xsi:type="dcterms:W3CDTF">2025-06-09T01:38:02Z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2CDC1F7724DB4217B9DA1CBA5C2EFF19_11</vt:lpwstr>
  </property>
  <property fmtid="{D5CDD505-2E9C-101B-9397-08002B2CF9AE}" pid="4" name="KSOTemplateDocerSaveRecord">
    <vt:lpwstr>eyJoZGlkIjoiZDBlYzBkYTEwODIwYzhjZjA1MTAxNTFkOTI0NzUzNjkiLCJ1c2VySWQiOiIyMjgyNjQ3NTgifQ==</vt:lpwstr>
  </property>
</Properties>
</file>