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527BF">
      <w:pPr>
        <w:pStyle w:val="11"/>
        <w:spacing w:line="460" w:lineRule="exact"/>
        <w:jc w:val="center"/>
        <w:rPr>
          <w:rFonts w:ascii="Arial" w:hAnsi="Arial" w:eastAsia="楷体_GB2312" w:cs="Arial"/>
          <w:b/>
          <w:bCs/>
          <w:sz w:val="56"/>
          <w:szCs w:val="72"/>
        </w:rPr>
      </w:pPr>
    </w:p>
    <w:p w14:paraId="72CFEC68">
      <w:pPr>
        <w:pStyle w:val="11"/>
        <w:spacing w:line="460" w:lineRule="exact"/>
        <w:jc w:val="center"/>
        <w:rPr>
          <w:rFonts w:ascii="Arial" w:hAnsi="Arial" w:eastAsia="楷体_GB2312" w:cs="Arial"/>
          <w:b/>
          <w:bCs/>
          <w:sz w:val="56"/>
          <w:szCs w:val="72"/>
        </w:rPr>
      </w:pPr>
    </w:p>
    <w:p w14:paraId="08960239">
      <w:pPr>
        <w:pStyle w:val="11"/>
        <w:spacing w:line="460" w:lineRule="exact"/>
        <w:jc w:val="center"/>
        <w:rPr>
          <w:rFonts w:ascii="Arial" w:hAnsi="Arial" w:eastAsia="楷体_GB2312" w:cs="Arial"/>
          <w:b/>
          <w:bCs/>
          <w:sz w:val="56"/>
          <w:szCs w:val="72"/>
        </w:rPr>
      </w:pPr>
    </w:p>
    <w:p w14:paraId="26D84F62">
      <w:pPr>
        <w:pStyle w:val="11"/>
        <w:spacing w:line="460" w:lineRule="exact"/>
        <w:jc w:val="center"/>
        <w:rPr>
          <w:rFonts w:ascii="Arial" w:hAnsi="Arial" w:eastAsia="楷体_GB2312" w:cs="Arial"/>
          <w:b/>
          <w:bCs/>
          <w:sz w:val="56"/>
          <w:szCs w:val="72"/>
        </w:rPr>
      </w:pPr>
    </w:p>
    <w:p w14:paraId="5B9F3A5C">
      <w:pPr>
        <w:pStyle w:val="11"/>
        <w:spacing w:line="460" w:lineRule="exact"/>
        <w:jc w:val="center"/>
        <w:rPr>
          <w:rFonts w:ascii="Arial" w:hAnsi="Arial" w:eastAsia="楷体_GB2312" w:cs="Arial"/>
          <w:b/>
          <w:bCs/>
          <w:sz w:val="56"/>
          <w:szCs w:val="72"/>
        </w:rPr>
      </w:pPr>
    </w:p>
    <w:p w14:paraId="3019D20A">
      <w:pPr>
        <w:pStyle w:val="11"/>
        <w:spacing w:line="460" w:lineRule="exact"/>
        <w:jc w:val="center"/>
        <w:rPr>
          <w:rFonts w:ascii="Arial" w:hAnsi="Arial" w:eastAsia="楷体_GB2312" w:cs="Arial"/>
          <w:b/>
          <w:bCs/>
          <w:sz w:val="56"/>
          <w:szCs w:val="72"/>
        </w:rPr>
      </w:pPr>
    </w:p>
    <w:p w14:paraId="2B49A6FF">
      <w:pPr>
        <w:pStyle w:val="11"/>
        <w:spacing w:line="700" w:lineRule="exact"/>
        <w:jc w:val="center"/>
        <w:rPr>
          <w:rFonts w:hAnsi="宋体" w:cs="宋体"/>
          <w:b/>
          <w:bCs/>
          <w:sz w:val="48"/>
          <w:szCs w:val="48"/>
        </w:rPr>
      </w:pPr>
      <w:r>
        <w:rPr>
          <w:rFonts w:hint="eastAsia" w:hAnsi="宋体" w:cs="宋体"/>
          <w:b/>
          <w:bCs/>
          <w:sz w:val="48"/>
          <w:szCs w:val="48"/>
        </w:rPr>
        <w:t>桂林市人民医院</w:t>
      </w:r>
    </w:p>
    <w:p w14:paraId="2F38D18B">
      <w:pPr>
        <w:pStyle w:val="11"/>
        <w:spacing w:line="700" w:lineRule="exact"/>
        <w:jc w:val="center"/>
        <w:rPr>
          <w:rFonts w:hAnsi="宋体" w:cs="宋体"/>
          <w:b/>
          <w:bCs/>
          <w:sz w:val="48"/>
          <w:szCs w:val="48"/>
        </w:rPr>
      </w:pPr>
      <w:r>
        <w:rPr>
          <w:rFonts w:hint="eastAsia" w:hAnsi="宋体" w:cs="宋体"/>
          <w:b/>
          <w:bCs/>
          <w:sz w:val="48"/>
          <w:szCs w:val="48"/>
        </w:rPr>
        <w:t>等保测评及商用密码评估</w:t>
      </w:r>
      <w:r>
        <w:rPr>
          <w:rFonts w:hint="eastAsia" w:hAnsi="宋体" w:cs="宋体"/>
          <w:b/>
          <w:bCs/>
          <w:sz w:val="48"/>
          <w:szCs w:val="48"/>
          <w:lang w:val="en-US" w:eastAsia="zh-CN"/>
        </w:rPr>
        <w:t>采购</w:t>
      </w:r>
      <w:r>
        <w:rPr>
          <w:rFonts w:hint="eastAsia" w:hAnsi="宋体" w:cs="宋体"/>
          <w:b/>
          <w:bCs/>
          <w:sz w:val="48"/>
          <w:szCs w:val="48"/>
        </w:rPr>
        <w:t>招标文件</w:t>
      </w:r>
    </w:p>
    <w:p w14:paraId="1F17FBDA">
      <w:pPr>
        <w:pStyle w:val="11"/>
        <w:spacing w:line="560" w:lineRule="exact"/>
        <w:jc w:val="center"/>
        <w:rPr>
          <w:rFonts w:ascii="Arial" w:hAnsi="Arial" w:eastAsia="楷体_GB2312" w:cs="Arial"/>
          <w:b/>
          <w:bCs/>
          <w:sz w:val="24"/>
          <w:szCs w:val="24"/>
        </w:rPr>
      </w:pPr>
    </w:p>
    <w:p w14:paraId="7B6438DF">
      <w:pPr>
        <w:pStyle w:val="11"/>
        <w:spacing w:line="460" w:lineRule="exact"/>
        <w:ind w:firstLine="2695"/>
        <w:rPr>
          <w:rFonts w:ascii="Arial" w:hAnsi="Arial" w:cs="Arial"/>
          <w:sz w:val="24"/>
          <w:szCs w:val="24"/>
        </w:rPr>
      </w:pPr>
    </w:p>
    <w:p w14:paraId="1E71C9BD">
      <w:pPr>
        <w:pStyle w:val="11"/>
        <w:spacing w:line="460" w:lineRule="exact"/>
        <w:ind w:firstLine="2695"/>
        <w:rPr>
          <w:rFonts w:ascii="Arial" w:hAnsi="Arial" w:cs="Arial"/>
          <w:sz w:val="28"/>
        </w:rPr>
      </w:pPr>
      <w:r>
        <w:rPr>
          <w:rFonts w:ascii="Arial" w:hAnsi="Arial" w:cs="Arial"/>
          <w:sz w:val="28"/>
        </w:rPr>
        <w:cr/>
      </w:r>
    </w:p>
    <w:p w14:paraId="23D778B8">
      <w:pPr>
        <w:pStyle w:val="11"/>
        <w:spacing w:line="460" w:lineRule="exact"/>
        <w:ind w:firstLine="2695"/>
        <w:rPr>
          <w:rFonts w:ascii="Arial" w:hAnsi="Arial" w:cs="Arial"/>
          <w:sz w:val="28"/>
        </w:rPr>
      </w:pPr>
    </w:p>
    <w:p w14:paraId="5A4CB765">
      <w:pPr>
        <w:pStyle w:val="11"/>
        <w:spacing w:line="460" w:lineRule="exact"/>
        <w:ind w:firstLine="2695"/>
        <w:rPr>
          <w:rFonts w:ascii="Arial" w:hAnsi="Arial" w:cs="Arial"/>
          <w:sz w:val="28"/>
        </w:rPr>
      </w:pPr>
    </w:p>
    <w:p w14:paraId="296F2715">
      <w:pPr>
        <w:pStyle w:val="11"/>
        <w:spacing w:line="460" w:lineRule="exact"/>
        <w:ind w:firstLine="2695"/>
        <w:rPr>
          <w:rFonts w:ascii="Arial" w:hAnsi="Arial" w:cs="Arial"/>
          <w:sz w:val="28"/>
        </w:rPr>
      </w:pPr>
    </w:p>
    <w:p w14:paraId="118B02A6">
      <w:pPr>
        <w:pStyle w:val="11"/>
        <w:spacing w:line="460" w:lineRule="exact"/>
        <w:ind w:firstLine="2695"/>
        <w:rPr>
          <w:rFonts w:ascii="Arial" w:hAnsi="Arial" w:cs="Arial"/>
          <w:sz w:val="28"/>
        </w:rPr>
      </w:pPr>
    </w:p>
    <w:p w14:paraId="27AD3588">
      <w:pPr>
        <w:pStyle w:val="11"/>
        <w:spacing w:line="460" w:lineRule="exact"/>
        <w:ind w:firstLine="2695"/>
        <w:rPr>
          <w:rFonts w:ascii="Arial" w:hAnsi="Arial" w:cs="Arial"/>
          <w:sz w:val="28"/>
        </w:rPr>
      </w:pPr>
    </w:p>
    <w:p w14:paraId="3239C3D1">
      <w:pPr>
        <w:pStyle w:val="11"/>
        <w:spacing w:line="460" w:lineRule="exact"/>
        <w:rPr>
          <w:rFonts w:ascii="Arial" w:hAnsi="Arial" w:cs="Arial"/>
          <w:sz w:val="28"/>
        </w:rPr>
      </w:pPr>
    </w:p>
    <w:p w14:paraId="287592DF">
      <w:pPr>
        <w:pStyle w:val="11"/>
        <w:spacing w:line="460" w:lineRule="exact"/>
        <w:rPr>
          <w:rFonts w:ascii="Arial" w:hAnsi="Arial" w:cs="Arial"/>
          <w:sz w:val="28"/>
        </w:rPr>
      </w:pPr>
    </w:p>
    <w:p w14:paraId="2C9A863D">
      <w:pPr>
        <w:pStyle w:val="7"/>
        <w:spacing w:line="460" w:lineRule="exact"/>
        <w:rPr>
          <w:rFonts w:ascii="Arial" w:hAnsi="Arial" w:cs="Arial"/>
          <w:sz w:val="28"/>
        </w:rPr>
      </w:pPr>
    </w:p>
    <w:p w14:paraId="6A270EE2">
      <w:pPr>
        <w:spacing w:line="460" w:lineRule="exact"/>
        <w:rPr>
          <w:rFonts w:ascii="Arial" w:hAnsi="Arial" w:cs="Arial"/>
          <w:sz w:val="28"/>
        </w:rPr>
      </w:pPr>
    </w:p>
    <w:p w14:paraId="0E3C5EF6">
      <w:pPr>
        <w:spacing w:line="460" w:lineRule="exact"/>
        <w:rPr>
          <w:rFonts w:ascii="Arial" w:hAnsi="Arial" w:cs="Arial"/>
          <w:sz w:val="28"/>
        </w:rPr>
      </w:pPr>
    </w:p>
    <w:p w14:paraId="5E3437AF">
      <w:pPr>
        <w:spacing w:line="460" w:lineRule="exact"/>
      </w:pPr>
    </w:p>
    <w:p w14:paraId="1DA4AB51">
      <w:pPr>
        <w:spacing w:line="460" w:lineRule="exact"/>
        <w:rPr>
          <w:rFonts w:ascii="Arial" w:hAnsi="Arial" w:cs="Arial"/>
          <w:sz w:val="28"/>
        </w:rPr>
      </w:pPr>
    </w:p>
    <w:p w14:paraId="7DE109CF">
      <w:pPr>
        <w:pStyle w:val="11"/>
        <w:spacing w:line="460" w:lineRule="exact"/>
        <w:rPr>
          <w:rFonts w:ascii="Arial" w:hAnsi="Arial" w:cs="Arial"/>
          <w:sz w:val="28"/>
        </w:rPr>
      </w:pPr>
    </w:p>
    <w:p w14:paraId="7EEE56B1">
      <w:pPr>
        <w:pStyle w:val="11"/>
        <w:spacing w:line="460" w:lineRule="exact"/>
        <w:jc w:val="center"/>
        <w:rPr>
          <w:rFonts w:hAnsi="宋体" w:cs="宋体"/>
          <w:b/>
          <w:bCs/>
          <w:sz w:val="36"/>
          <w:szCs w:val="36"/>
        </w:rPr>
      </w:pPr>
      <w:r>
        <w:rPr>
          <w:rFonts w:hint="eastAsia" w:hAnsi="宋体" w:cs="宋体"/>
          <w:b/>
          <w:bCs/>
          <w:sz w:val="36"/>
          <w:szCs w:val="36"/>
        </w:rPr>
        <w:t>2025年6月  日</w:t>
      </w:r>
    </w:p>
    <w:p w14:paraId="440A7E4A">
      <w:pPr>
        <w:pStyle w:val="11"/>
        <w:spacing w:line="460" w:lineRule="exact"/>
        <w:jc w:val="center"/>
        <w:rPr>
          <w:rFonts w:hAnsi="宋体" w:cs="宋体"/>
          <w:b/>
          <w:bCs/>
          <w:sz w:val="36"/>
          <w:szCs w:val="36"/>
        </w:rPr>
      </w:pPr>
    </w:p>
    <w:p w14:paraId="4E6DDBF2">
      <w:pPr>
        <w:pStyle w:val="11"/>
        <w:spacing w:line="460" w:lineRule="exact"/>
        <w:rPr>
          <w:rFonts w:hAnsi="宋体" w:cs="宋体"/>
          <w:b/>
          <w:bCs/>
          <w:sz w:val="36"/>
          <w:szCs w:val="36"/>
        </w:rPr>
      </w:pPr>
    </w:p>
    <w:p w14:paraId="5A0A03D6">
      <w:pPr>
        <w:pStyle w:val="11"/>
        <w:spacing w:line="460" w:lineRule="exact"/>
        <w:rPr>
          <w:rFonts w:hAnsi="宋体" w:cs="宋体"/>
          <w:b/>
          <w:bCs/>
          <w:sz w:val="36"/>
          <w:szCs w:val="36"/>
        </w:rPr>
      </w:pPr>
    </w:p>
    <w:p w14:paraId="02B76556">
      <w:pPr>
        <w:pStyle w:val="27"/>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rPr>
        <w:t xml:space="preserve">  </w:t>
      </w:r>
      <w:r>
        <w:rPr>
          <w:rFonts w:ascii="Arial" w:hAnsi="宋体" w:eastAsia="宋体" w:cs="Arial"/>
          <w:b/>
          <w:bCs/>
          <w:color w:val="auto"/>
          <w:sz w:val="44"/>
          <w:szCs w:val="44"/>
          <w:lang w:val="zh-CN"/>
        </w:rPr>
        <w:t>录</w:t>
      </w:r>
    </w:p>
    <w:p w14:paraId="7360D2BB">
      <w:pPr>
        <w:spacing w:line="460" w:lineRule="exact"/>
      </w:pPr>
    </w:p>
    <w:p w14:paraId="7A67EABE">
      <w:pPr>
        <w:pStyle w:val="10"/>
        <w:tabs>
          <w:tab w:val="right" w:leader="dot" w:pos="9628"/>
        </w:tabs>
        <w:spacing w:line="46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5"/>
          <w:rFonts w:ascii="Arial" w:cs="Arial"/>
          <w:sz w:val="24"/>
        </w:rPr>
        <w:t>第一章</w:t>
      </w:r>
      <w:r>
        <w:rPr>
          <w:rStyle w:val="25"/>
          <w:rFonts w:hint="eastAsia" w:ascii="Arial" w:cs="Arial"/>
          <w:sz w:val="24"/>
        </w:rPr>
        <w:t xml:space="preserve">  招标</w:t>
      </w:r>
      <w:r>
        <w:rPr>
          <w:rStyle w:val="25"/>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5C170FFC">
      <w:pPr>
        <w:pStyle w:val="10"/>
        <w:tabs>
          <w:tab w:val="right" w:leader="dot" w:pos="9628"/>
        </w:tabs>
        <w:spacing w:line="460" w:lineRule="exact"/>
        <w:ind w:left="0" w:leftChars="0"/>
        <w:rPr>
          <w:color w:val="0000FF"/>
        </w:rPr>
      </w:pPr>
      <w:r>
        <w:fldChar w:fldCharType="begin"/>
      </w:r>
      <w:r>
        <w:instrText xml:space="preserve"> HYPERLINK \l "_Toc33820536" </w:instrText>
      </w:r>
      <w:r>
        <w:fldChar w:fldCharType="separate"/>
      </w:r>
      <w:r>
        <w:rPr>
          <w:rStyle w:val="25"/>
          <w:rFonts w:ascii="Arial" w:cs="Arial"/>
          <w:sz w:val="24"/>
        </w:rPr>
        <w:t>第</w:t>
      </w:r>
      <w:r>
        <w:rPr>
          <w:rStyle w:val="25"/>
          <w:rFonts w:hint="eastAsia" w:ascii="Arial" w:cs="Arial"/>
          <w:sz w:val="24"/>
        </w:rPr>
        <w:t>二</w:t>
      </w:r>
      <w:r>
        <w:rPr>
          <w:rStyle w:val="25"/>
          <w:rFonts w:ascii="Arial" w:cs="Arial"/>
          <w:sz w:val="24"/>
        </w:rPr>
        <w:t>章</w:t>
      </w:r>
      <w:r>
        <w:rPr>
          <w:rStyle w:val="25"/>
          <w:rFonts w:hint="eastAsia" w:ascii="Arial" w:cs="Arial"/>
          <w:sz w:val="24"/>
        </w:rPr>
        <w:t xml:space="preserve">  </w:t>
      </w:r>
      <w:r>
        <w:rPr>
          <w:rStyle w:val="25"/>
          <w:rFonts w:ascii="Arial" w:cs="Arial"/>
          <w:sz w:val="24"/>
        </w:rPr>
        <w:t>项目需求和说明</w:t>
      </w:r>
      <w:r>
        <w:rPr>
          <w:rFonts w:ascii="Arial" w:hAnsi="Arial" w:cs="Arial"/>
          <w:color w:val="0000FF"/>
          <w:sz w:val="24"/>
        </w:rPr>
        <w:tab/>
      </w:r>
      <w:r>
        <w:rPr>
          <w:rFonts w:hint="eastAsia" w:ascii="Arial" w:hAnsi="Arial" w:cs="Arial"/>
          <w:color w:val="0000FF"/>
          <w:sz w:val="24"/>
          <w:lang w:val="en-US" w:eastAsia="zh-CN"/>
        </w:rPr>
        <w:t>6</w:t>
      </w:r>
      <w:r>
        <w:rPr>
          <w:rFonts w:hint="eastAsia" w:ascii="Arial" w:hAnsi="Arial" w:cs="Arial"/>
          <w:color w:val="0000FF"/>
          <w:sz w:val="24"/>
        </w:rPr>
        <w:fldChar w:fldCharType="end"/>
      </w:r>
    </w:p>
    <w:p w14:paraId="2CD82010">
      <w:pPr>
        <w:pStyle w:val="10"/>
        <w:tabs>
          <w:tab w:val="right" w:leader="dot" w:pos="9628"/>
        </w:tabs>
        <w:spacing w:line="46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Style w:val="25"/>
          <w:rFonts w:ascii="Arial" w:cs="Arial"/>
          <w:sz w:val="24"/>
        </w:rPr>
        <w:t>第</w:t>
      </w:r>
      <w:r>
        <w:rPr>
          <w:rStyle w:val="25"/>
          <w:rFonts w:hint="eastAsia" w:ascii="Arial" w:cs="Arial"/>
          <w:sz w:val="24"/>
        </w:rPr>
        <w:t>三</w:t>
      </w:r>
      <w:r>
        <w:rPr>
          <w:rStyle w:val="25"/>
          <w:rFonts w:ascii="Arial" w:cs="Arial"/>
          <w:sz w:val="24"/>
        </w:rPr>
        <w:t>章</w:t>
      </w:r>
      <w:r>
        <w:rPr>
          <w:rStyle w:val="25"/>
          <w:rFonts w:hint="eastAsia" w:ascii="Arial" w:cs="Arial"/>
          <w:sz w:val="24"/>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23</w:t>
      </w:r>
    </w:p>
    <w:p w14:paraId="161B5537">
      <w:pPr>
        <w:pStyle w:val="10"/>
        <w:tabs>
          <w:tab w:val="right" w:leader="dot" w:pos="9628"/>
        </w:tabs>
        <w:spacing w:line="46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26</w:t>
      </w:r>
    </w:p>
    <w:p w14:paraId="46E17C90">
      <w:pPr>
        <w:spacing w:line="460" w:lineRule="exact"/>
      </w:pPr>
    </w:p>
    <w:p w14:paraId="2BAF3073">
      <w:pPr>
        <w:spacing w:line="460" w:lineRule="exact"/>
        <w:jc w:val="center"/>
        <w:rPr>
          <w:rFonts w:ascii="Arial" w:hAnsi="Arial" w:cs="Arial"/>
          <w:b/>
          <w:bCs/>
          <w:lang w:val="zh-CN"/>
        </w:rPr>
      </w:pPr>
      <w:r>
        <w:rPr>
          <w:rFonts w:ascii="Arial" w:hAnsi="Arial" w:cs="Arial"/>
          <w:b/>
          <w:bCs/>
          <w:lang w:val="zh-CN"/>
        </w:rPr>
        <w:fldChar w:fldCharType="end"/>
      </w:r>
    </w:p>
    <w:p w14:paraId="715414D1">
      <w:pPr>
        <w:spacing w:line="46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bookmarkStart w:id="5" w:name="_GoBack"/>
      <w:bookmarkEnd w:id="5"/>
    </w:p>
    <w:p w14:paraId="5E067D20">
      <w:pPr>
        <w:pStyle w:val="4"/>
        <w:spacing w:line="460" w:lineRule="exact"/>
        <w:jc w:val="center"/>
        <w:rPr>
          <w:sz w:val="32"/>
          <w:szCs w:val="32"/>
        </w:rPr>
      </w:pPr>
      <w:r>
        <w:rPr>
          <w:rFonts w:hint="eastAsia"/>
          <w:sz w:val="32"/>
          <w:szCs w:val="32"/>
        </w:rPr>
        <w:t>第一章  招标公告</w:t>
      </w:r>
    </w:p>
    <w:p w14:paraId="708EE867">
      <w:pPr>
        <w:spacing w:line="460" w:lineRule="exact"/>
        <w:ind w:firstLine="480" w:firstLineChars="200"/>
        <w:rPr>
          <w:rFonts w:ascii="宋体" w:hAnsi="宋体" w:cs="宋体"/>
          <w:sz w:val="24"/>
        </w:rPr>
      </w:pPr>
    </w:p>
    <w:p w14:paraId="37D02267">
      <w:pPr>
        <w:spacing w:line="460" w:lineRule="exact"/>
        <w:ind w:firstLine="480" w:firstLineChars="200"/>
        <w:rPr>
          <w:rFonts w:ascii="宋体" w:hAnsi="宋体" w:cs="宋体"/>
          <w:sz w:val="24"/>
        </w:rPr>
      </w:pPr>
      <w:r>
        <w:rPr>
          <w:rFonts w:hint="eastAsia" w:ascii="宋体" w:hAnsi="宋体" w:cs="宋体"/>
          <w:sz w:val="24"/>
        </w:rPr>
        <w:t>现有桂林市人民医院等保测评及商用密码评估采购项目，为确保质优价廉，决定通过院内公开招标确定供应商，现将有关内容公告如下：</w:t>
      </w:r>
    </w:p>
    <w:p w14:paraId="7043EA0F">
      <w:pPr>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143539E">
      <w:pPr>
        <w:spacing w:line="4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桂林市人民医院等保测评及商用密码评估采购</w:t>
      </w:r>
    </w:p>
    <w:p w14:paraId="0A0F188A">
      <w:pPr>
        <w:spacing w:line="46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XXK-2025-01</w:t>
      </w:r>
      <w:r>
        <w:rPr>
          <w:rFonts w:hint="eastAsia" w:ascii="宋体" w:hAnsi="宋体" w:cs="宋体"/>
          <w:sz w:val="24"/>
          <w:lang w:val="en-US" w:eastAsia="zh-CN"/>
        </w:rPr>
        <w:t>3</w:t>
      </w:r>
    </w:p>
    <w:p w14:paraId="4539E086">
      <w:pPr>
        <w:spacing w:line="460" w:lineRule="exact"/>
        <w:ind w:left="480"/>
        <w:rPr>
          <w:rFonts w:ascii="宋体" w:hAnsi="宋体" w:cs="宋体"/>
          <w:b/>
          <w:bCs/>
          <w:sz w:val="24"/>
        </w:rPr>
      </w:pPr>
      <w:r>
        <w:rPr>
          <w:rFonts w:hint="eastAsia" w:ascii="宋体" w:hAnsi="宋体" w:cs="宋体"/>
          <w:b/>
          <w:bCs/>
          <w:sz w:val="24"/>
        </w:rPr>
        <w:t>（三）项目概况：</w:t>
      </w:r>
    </w:p>
    <w:p w14:paraId="3BEB2F9C">
      <w:pPr>
        <w:spacing w:line="460" w:lineRule="exact"/>
        <w:ind w:firstLine="480" w:firstLineChars="200"/>
        <w:rPr>
          <w:rFonts w:ascii="宋体" w:hAnsi="宋体" w:cs="宋体"/>
          <w:sz w:val="24"/>
        </w:rPr>
      </w:pPr>
      <w:r>
        <w:rPr>
          <w:rFonts w:hint="eastAsia" w:ascii="宋体" w:hAnsi="宋体" w:cs="宋体"/>
          <w:sz w:val="24"/>
        </w:rPr>
        <w:t>1.通过院内公开招标确定桂林市人民医院等保测评及商用密码评估采购项目供应商。</w:t>
      </w:r>
    </w:p>
    <w:p w14:paraId="5574B7B5">
      <w:pPr>
        <w:spacing w:line="460" w:lineRule="exact"/>
        <w:ind w:firstLine="480" w:firstLineChars="200"/>
        <w:rPr>
          <w:rFonts w:ascii="宋体" w:hAnsi="宋体" w:cs="宋体"/>
          <w:sz w:val="24"/>
        </w:rPr>
      </w:pPr>
      <w:r>
        <w:rPr>
          <w:rFonts w:hint="eastAsia" w:ascii="宋体" w:hAnsi="宋体" w:cs="宋体"/>
          <w:sz w:val="24"/>
        </w:rPr>
        <w:t>2.服务地点：桂林市人民医院</w:t>
      </w:r>
    </w:p>
    <w:p w14:paraId="29A00587">
      <w:pPr>
        <w:spacing w:line="46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 w:val="0"/>
          <w:bCs/>
          <w:color w:val="auto"/>
          <w:sz w:val="24"/>
          <w:szCs w:val="24"/>
          <w:lang w:val="en-US" w:eastAsia="zh-CN"/>
        </w:rPr>
        <w:t>预算控制价为148000元</w:t>
      </w:r>
      <w:r>
        <w:rPr>
          <w:rFonts w:hint="eastAsia" w:ascii="宋体" w:hAnsi="宋体" w:cs="宋体"/>
          <w:bCs/>
          <w:sz w:val="24"/>
        </w:rPr>
        <w:t>，</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1FBB2DB7">
      <w:pPr>
        <w:spacing w:line="460" w:lineRule="exact"/>
        <w:ind w:firstLine="482" w:firstLineChars="200"/>
        <w:rPr>
          <w:rFonts w:ascii="宋体" w:hAnsi="宋体" w:cs="宋体"/>
          <w:b/>
          <w:bCs/>
          <w:sz w:val="24"/>
        </w:rPr>
      </w:pPr>
      <w:r>
        <w:rPr>
          <w:rFonts w:hint="eastAsia" w:ascii="宋体" w:hAnsi="宋体" w:cs="宋体"/>
          <w:b/>
          <w:bCs/>
          <w:sz w:val="24"/>
        </w:rPr>
        <w:t>二、供应商资质条件要求</w:t>
      </w:r>
    </w:p>
    <w:p w14:paraId="4906F111">
      <w:pPr>
        <w:spacing w:line="4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6F269785">
      <w:pPr>
        <w:spacing w:line="46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5E530610">
      <w:pPr>
        <w:spacing w:line="46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54EA500F">
      <w:pPr>
        <w:spacing w:line="460" w:lineRule="exact"/>
        <w:ind w:firstLine="480" w:firstLineChars="200"/>
        <w:jc w:val="left"/>
        <w:rPr>
          <w:rFonts w:hint="eastAsia" w:ascii="宋体" w:hAnsi="宋体" w:cs="宋体"/>
          <w:kern w:val="0"/>
          <w:sz w:val="24"/>
        </w:rPr>
      </w:pPr>
      <w:r>
        <w:rPr>
          <w:rFonts w:hint="eastAsia" w:ascii="宋体" w:hAnsi="宋体" w:cs="宋体"/>
          <w:kern w:val="0"/>
          <w:sz w:val="24"/>
        </w:rPr>
        <w:t>4.本项目不接受联合体参与报价。</w:t>
      </w:r>
    </w:p>
    <w:p w14:paraId="254241FA">
      <w:pPr>
        <w:spacing w:line="360" w:lineRule="auto"/>
        <w:ind w:firstLine="482" w:firstLineChars="200"/>
        <w:rPr>
          <w:rFonts w:ascii="宋体" w:hAnsi="宋体" w:cs="Arial"/>
          <w:b/>
          <w:sz w:val="24"/>
          <w:szCs w:val="24"/>
        </w:rPr>
      </w:pPr>
      <w:r>
        <w:rPr>
          <w:rFonts w:hint="eastAsia" w:ascii="宋体" w:hAnsi="宋体" w:cs="Arial"/>
          <w:b/>
          <w:sz w:val="24"/>
          <w:szCs w:val="24"/>
        </w:rPr>
        <w:t>特别说明：</w:t>
      </w:r>
    </w:p>
    <w:p w14:paraId="42B6A4C0">
      <w:pPr>
        <w:spacing w:line="360" w:lineRule="auto"/>
        <w:ind w:firstLine="482" w:firstLineChars="200"/>
        <w:rPr>
          <w:rFonts w:ascii="宋体" w:hAnsi="宋体" w:cs="Arial"/>
          <w:b/>
          <w:sz w:val="24"/>
          <w:szCs w:val="24"/>
        </w:rPr>
      </w:pPr>
      <w:r>
        <w:rPr>
          <w:rFonts w:hint="eastAsia" w:ascii="宋体" w:hAnsi="宋体" w:cs="Arial"/>
          <w:b/>
          <w:sz w:val="24"/>
          <w:szCs w:val="24"/>
        </w:rPr>
        <w:t>（1）与招标人存在利害关系可能影响招标公正性的法人、其他组织或者个人，不得参加投标。</w:t>
      </w:r>
    </w:p>
    <w:p w14:paraId="5FEB7B1A">
      <w:pPr>
        <w:spacing w:line="360" w:lineRule="auto"/>
        <w:ind w:firstLine="482" w:firstLineChars="200"/>
        <w:rPr>
          <w:rFonts w:ascii="宋体" w:hAnsi="宋体" w:cs="Arial"/>
          <w:b/>
          <w:sz w:val="24"/>
          <w:szCs w:val="24"/>
        </w:rPr>
      </w:pPr>
      <w:r>
        <w:rPr>
          <w:rFonts w:hint="eastAsia" w:ascii="宋体" w:hAnsi="宋体" w:cs="Arial"/>
          <w:b/>
          <w:sz w:val="24"/>
          <w:szCs w:val="24"/>
        </w:rPr>
        <w:t>（2）单位负责人为同一人或者存在控股、管理关系的不同单位，不得参加同一招标项目投标。</w:t>
      </w:r>
    </w:p>
    <w:p w14:paraId="5609E824">
      <w:pPr>
        <w:pStyle w:val="8"/>
      </w:pPr>
      <w:r>
        <w:rPr>
          <w:rFonts w:hint="eastAsia" w:ascii="宋体" w:hAnsi="宋体" w:cs="Arial"/>
          <w:b/>
          <w:sz w:val="24"/>
          <w:szCs w:val="24"/>
        </w:rPr>
        <w:t>如投标人有违反上述规定的，相关投标按无效投标处理。</w:t>
      </w:r>
    </w:p>
    <w:p w14:paraId="4C0E0D77">
      <w:pPr>
        <w:spacing w:line="46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245CF2C7">
      <w:pPr>
        <w:pStyle w:val="8"/>
        <w:spacing w:line="460" w:lineRule="exact"/>
        <w:ind w:firstLine="480" w:firstLineChars="200"/>
        <w:rPr>
          <w:rFonts w:ascii="宋体" w:hAnsi="宋体" w:cs="宋体"/>
          <w:sz w:val="24"/>
        </w:rPr>
      </w:pPr>
      <w:r>
        <w:rPr>
          <w:rFonts w:hint="eastAsia" w:ascii="宋体" w:hAnsi="宋体" w:cs="宋体"/>
          <w:sz w:val="24"/>
        </w:rPr>
        <w:t>报名时间：2025年6月  日至6月   日17:00时止</w:t>
      </w:r>
      <w:r>
        <w:rPr>
          <w:rFonts w:hint="eastAsia"/>
          <w:sz w:val="24"/>
        </w:rPr>
        <w:t>（北京时间）</w:t>
      </w:r>
      <w:r>
        <w:rPr>
          <w:rFonts w:hint="eastAsia" w:ascii="宋体" w:hAnsi="宋体" w:cs="宋体"/>
          <w:sz w:val="24"/>
        </w:rPr>
        <w:t>，逾期报名无效。</w:t>
      </w:r>
    </w:p>
    <w:p w14:paraId="0FD40827">
      <w:pPr>
        <w:spacing w:line="46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4A58DB92">
      <w:pPr>
        <w:spacing w:line="46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206DA633">
      <w:pPr>
        <w:spacing w:line="460" w:lineRule="exact"/>
        <w:ind w:firstLine="482" w:firstLineChars="200"/>
        <w:rPr>
          <w:rFonts w:ascii="宋体" w:hAnsi="宋体" w:cs="宋体"/>
          <w:b/>
          <w:bCs/>
          <w:sz w:val="24"/>
        </w:rPr>
      </w:pPr>
      <w:r>
        <w:rPr>
          <w:rFonts w:hint="eastAsia" w:ascii="宋体" w:hAnsi="宋体" w:cs="宋体"/>
          <w:b/>
          <w:bCs/>
          <w:sz w:val="24"/>
        </w:rPr>
        <w:t>四、采购活动要求</w:t>
      </w:r>
    </w:p>
    <w:p w14:paraId="606A21FB">
      <w:pPr>
        <w:spacing w:line="46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（开标通告将会通过（</w:t>
      </w:r>
      <w:r>
        <w:fldChar w:fldCharType="begin"/>
      </w:r>
      <w:r>
        <w:instrText xml:space="preserve"> HYPERLINK "mailto:glsrmyyzbb@163.com" </w:instrText>
      </w:r>
      <w:r>
        <w:fldChar w:fldCharType="separate"/>
      </w:r>
      <w:r>
        <w:rPr>
          <w:rStyle w:val="25"/>
          <w:rFonts w:hint="eastAsia" w:ascii="宋体" w:hAnsi="宋体" w:cs="宋体"/>
          <w:b/>
          <w:bCs/>
          <w:color w:val="auto"/>
          <w:sz w:val="24"/>
        </w:rPr>
        <w:t>glsrmyyzbb@163.com</w:t>
      </w:r>
      <w:r>
        <w:rPr>
          <w:rStyle w:val="25"/>
          <w:rFonts w:hint="eastAsia" w:ascii="宋体" w:hAnsi="宋体" w:cs="宋体"/>
          <w:b/>
          <w:bCs/>
          <w:color w:val="auto"/>
          <w:sz w:val="24"/>
        </w:rPr>
        <w:fldChar w:fldCharType="end"/>
      </w:r>
      <w:r>
        <w:rPr>
          <w:rFonts w:hint="eastAsia" w:ascii="宋体" w:hAnsi="宋体" w:cs="宋体"/>
          <w:b/>
          <w:bCs/>
          <w:sz w:val="24"/>
        </w:rPr>
        <w:t>）发至潜在投标人报名邮箱，报名后请及时关注查收，未及时查收后果自负）</w:t>
      </w:r>
      <w:r>
        <w:rPr>
          <w:rFonts w:hint="eastAsia" w:ascii="宋体" w:hAnsi="宋体" w:cs="宋体"/>
          <w:sz w:val="24"/>
        </w:rPr>
        <w:t>，请报名后根据所获取的招标文件要求及时准备正式的投标文件。</w:t>
      </w:r>
    </w:p>
    <w:p w14:paraId="389EA579">
      <w:pPr>
        <w:spacing w:line="46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1B6DAC2A">
      <w:pPr>
        <w:spacing w:line="460" w:lineRule="exact"/>
        <w:ind w:firstLine="480" w:firstLineChars="200"/>
        <w:rPr>
          <w:rFonts w:ascii="宋体" w:hAnsi="宋体" w:cs="宋体"/>
          <w:sz w:val="24"/>
        </w:rPr>
      </w:pPr>
      <w:r>
        <w:rPr>
          <w:rFonts w:hint="eastAsia" w:ascii="宋体" w:hAnsi="宋体" w:cs="宋体"/>
          <w:sz w:val="24"/>
        </w:rPr>
        <w:t>3.投标文件：</w:t>
      </w:r>
    </w:p>
    <w:p w14:paraId="1A248047">
      <w:pPr>
        <w:spacing w:line="460" w:lineRule="exact"/>
        <w:ind w:firstLine="480" w:firstLineChars="200"/>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投标人参加政府采购活动前</w:t>
      </w:r>
      <w:r>
        <w:rPr>
          <w:rFonts w:ascii="宋体" w:hAnsi="宋体" w:cs="宋体"/>
          <w:sz w:val="24"/>
        </w:rPr>
        <w:t>3年内在经营活动中没有重大违法记录的书面声明、</w:t>
      </w:r>
      <w:r>
        <w:rPr>
          <w:rFonts w:hint="eastAsia" w:ascii="宋体" w:hAnsi="宋体" w:cs="宋体"/>
          <w:sz w:val="24"/>
        </w:rPr>
        <w:t>投标人关于政府采购活动中信用信息记录的书面声明、“信用中国(www.creditchina.gov.cn)以及中国政府采购网(www.ccgp.gov.cn)”上打印的信用查询记录相关信息、投标报价、测评服务方案</w:t>
      </w:r>
      <w:r>
        <w:rPr>
          <w:rFonts w:hint="eastAsia" w:ascii="宋体" w:hAnsi="宋体" w:cs="宋体"/>
          <w:color w:val="auto"/>
          <w:sz w:val="24"/>
        </w:rPr>
        <w:t>、售后服务方案、资质、企业业绩</w:t>
      </w:r>
      <w:r>
        <w:rPr>
          <w:rFonts w:hint="eastAsia" w:ascii="宋体" w:hAnsi="宋体" w:cs="宋体"/>
          <w:sz w:val="24"/>
        </w:rPr>
        <w:t>、联系人及电话等资料。投标人应完整准备上述招标文件的材料，否则由此引起的不利后果由供应商承担。</w:t>
      </w:r>
    </w:p>
    <w:p w14:paraId="0D95FE72">
      <w:pPr>
        <w:spacing w:line="46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1C3FB7DC">
      <w:pPr>
        <w:numPr>
          <w:ilvl w:val="0"/>
          <w:numId w:val="1"/>
        </w:numPr>
        <w:spacing w:line="460" w:lineRule="exact"/>
        <w:ind w:firstLine="480" w:firstLineChars="200"/>
        <w:rPr>
          <w:rFonts w:ascii="宋体" w:hAnsi="宋体" w:cs="宋体"/>
          <w:sz w:val="24"/>
        </w:rPr>
      </w:pPr>
      <w:r>
        <w:rPr>
          <w:rFonts w:hint="eastAsia" w:ascii="宋体" w:hAnsi="宋体" w:cs="宋体"/>
          <w:sz w:val="24"/>
        </w:rPr>
        <w:t>投标文件份数：正本一份，副本六份。</w:t>
      </w:r>
    </w:p>
    <w:p w14:paraId="3D96C739">
      <w:pPr>
        <w:spacing w:line="46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24054093">
      <w:pPr>
        <w:spacing w:line="46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627EF557">
      <w:pPr>
        <w:spacing w:line="460" w:lineRule="exact"/>
        <w:ind w:firstLine="482" w:firstLineChars="200"/>
        <w:rPr>
          <w:rFonts w:ascii="宋体" w:hAnsi="宋体" w:cs="宋体"/>
          <w:b/>
          <w:bCs/>
          <w:sz w:val="24"/>
        </w:rPr>
      </w:pPr>
      <w:r>
        <w:rPr>
          <w:rFonts w:hint="eastAsia" w:ascii="宋体" w:hAnsi="宋体" w:cs="宋体"/>
          <w:b/>
          <w:bCs/>
          <w:sz w:val="24"/>
        </w:rPr>
        <w:t>五、信息公告发布媒体</w:t>
      </w:r>
    </w:p>
    <w:p w14:paraId="591FC932">
      <w:pPr>
        <w:spacing w:line="46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3EBDBA00">
      <w:pPr>
        <w:spacing w:line="460" w:lineRule="exact"/>
        <w:ind w:firstLine="482" w:firstLineChars="200"/>
        <w:rPr>
          <w:rFonts w:ascii="宋体" w:hAnsi="宋体" w:cs="宋体"/>
          <w:sz w:val="24"/>
        </w:rPr>
      </w:pPr>
      <w:r>
        <w:rPr>
          <w:rFonts w:hint="eastAsia" w:ascii="宋体" w:hAnsi="宋体" w:cs="宋体"/>
          <w:b/>
          <w:bCs/>
          <w:sz w:val="24"/>
        </w:rPr>
        <w:t>六、联系方式</w:t>
      </w:r>
    </w:p>
    <w:p w14:paraId="1590864E">
      <w:pPr>
        <w:spacing w:line="460" w:lineRule="exact"/>
        <w:ind w:firstLine="480" w:firstLineChars="200"/>
        <w:rPr>
          <w:rFonts w:ascii="宋体" w:hAnsi="宋体" w:cs="宋体"/>
          <w:sz w:val="24"/>
        </w:rPr>
      </w:pPr>
      <w:r>
        <w:rPr>
          <w:rFonts w:hint="eastAsia" w:ascii="宋体" w:hAnsi="宋体" w:cs="宋体"/>
          <w:sz w:val="24"/>
        </w:rPr>
        <w:t>1.联系人：罗老师、戴老师</w:t>
      </w:r>
    </w:p>
    <w:p w14:paraId="712B082F">
      <w:pPr>
        <w:spacing w:line="460" w:lineRule="exact"/>
        <w:ind w:firstLine="480" w:firstLineChars="200"/>
        <w:rPr>
          <w:rFonts w:ascii="宋体" w:hAnsi="宋体" w:cs="宋体"/>
          <w:sz w:val="24"/>
        </w:rPr>
      </w:pPr>
      <w:r>
        <w:rPr>
          <w:rFonts w:hint="eastAsia" w:ascii="宋体" w:hAnsi="宋体" w:cs="宋体"/>
          <w:sz w:val="24"/>
        </w:rPr>
        <w:t>2.联系电话：0773-2803316</w:t>
      </w:r>
    </w:p>
    <w:p w14:paraId="3F509B4D">
      <w:pPr>
        <w:tabs>
          <w:tab w:val="left" w:pos="6583"/>
        </w:tabs>
        <w:spacing w:line="46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1F327466">
      <w:pPr>
        <w:tabs>
          <w:tab w:val="left" w:pos="5623"/>
        </w:tabs>
        <w:spacing w:line="460" w:lineRule="exact"/>
        <w:jc w:val="center"/>
        <w:rPr>
          <w:rFonts w:ascii="宋体" w:hAnsi="宋体" w:cs="宋体"/>
          <w:b/>
          <w:bCs/>
          <w:w w:val="95"/>
          <w:sz w:val="24"/>
        </w:rPr>
      </w:pPr>
      <w:r>
        <w:rPr>
          <w:rFonts w:hint="eastAsia" w:ascii="宋体" w:hAnsi="宋体" w:cs="宋体"/>
          <w:sz w:val="24"/>
        </w:rPr>
        <w:t xml:space="preserve">                                                        2025年6月   日</w:t>
      </w:r>
    </w:p>
    <w:p w14:paraId="2542C9DE">
      <w:pPr>
        <w:spacing w:line="460" w:lineRule="exact"/>
        <w:rPr>
          <w:rFonts w:ascii="宋体" w:hAnsi="宋体" w:cs="宋体"/>
          <w:sz w:val="24"/>
        </w:rPr>
      </w:pPr>
      <w:r>
        <w:rPr>
          <w:rFonts w:hint="eastAsia" w:ascii="宋体" w:hAnsi="宋体" w:cs="宋体"/>
          <w:b/>
          <w:bCs/>
          <w:w w:val="95"/>
          <w:sz w:val="24"/>
        </w:rPr>
        <w:br w:type="page"/>
      </w:r>
    </w:p>
    <w:p w14:paraId="464AD2C0">
      <w:pPr>
        <w:pStyle w:val="4"/>
        <w:spacing w:line="460" w:lineRule="exact"/>
        <w:jc w:val="center"/>
        <w:rPr>
          <w:sz w:val="30"/>
          <w:szCs w:val="30"/>
        </w:rPr>
      </w:pPr>
      <w:r>
        <w:rPr>
          <w:rFonts w:hint="eastAsia"/>
          <w:w w:val="95"/>
          <w:sz w:val="30"/>
          <w:szCs w:val="30"/>
        </w:rPr>
        <w:t xml:space="preserve">第二章  项目需求和说明 </w:t>
      </w:r>
    </w:p>
    <w:p w14:paraId="798F1EC3">
      <w:pPr>
        <w:spacing w:line="4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桂林市人民医院等保测评及商用密码评估采购</w:t>
      </w:r>
    </w:p>
    <w:p w14:paraId="70791ABE">
      <w:pPr>
        <w:spacing w:line="46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XXK-2025-01</w:t>
      </w:r>
      <w:r>
        <w:rPr>
          <w:rFonts w:hint="eastAsia" w:ascii="宋体" w:hAnsi="宋体" w:cs="宋体"/>
          <w:sz w:val="24"/>
          <w:lang w:val="en-US" w:eastAsia="zh-CN"/>
        </w:rPr>
        <w:t>3</w:t>
      </w:r>
    </w:p>
    <w:p w14:paraId="5C61E5A6">
      <w:pPr>
        <w:spacing w:line="460" w:lineRule="exact"/>
        <w:ind w:firstLine="482" w:firstLineChars="200"/>
        <w:rPr>
          <w:rFonts w:hint="default" w:ascii="宋体" w:hAnsi="宋体" w:eastAsia="宋体" w:cs="宋体"/>
          <w:b/>
          <w:sz w:val="24"/>
          <w:lang w:val="en-US" w:eastAsia="zh-CN"/>
        </w:rPr>
      </w:pPr>
      <w:r>
        <w:rPr>
          <w:rFonts w:hint="eastAsia" w:ascii="宋体" w:hAnsi="宋体" w:cs="宋体"/>
          <w:b/>
          <w:sz w:val="24"/>
        </w:rPr>
        <w:t>三、技术要求</w:t>
      </w:r>
      <w:r>
        <w:rPr>
          <w:rFonts w:hint="eastAsia" w:ascii="宋体" w:hAnsi="宋体" w:cs="宋体"/>
          <w:b/>
          <w:sz w:val="24"/>
          <w:lang w:eastAsia="zh-CN"/>
        </w:rPr>
        <w:t>：</w:t>
      </w:r>
      <w:r>
        <w:rPr>
          <w:rFonts w:hint="eastAsia" w:ascii="宋体" w:hAnsi="宋体" w:cs="宋体"/>
          <w:b/>
          <w:sz w:val="24"/>
          <w:lang w:val="en-US" w:eastAsia="zh-CN"/>
        </w:rPr>
        <w:t>(一）</w:t>
      </w:r>
    </w:p>
    <w:tbl>
      <w:tblPr>
        <w:tblStyle w:val="2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40"/>
        <w:gridCol w:w="5381"/>
        <w:gridCol w:w="851"/>
        <w:gridCol w:w="850"/>
      </w:tblGrid>
      <w:tr w14:paraId="747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399263D1">
            <w:pPr>
              <w:spacing w:line="330" w:lineRule="exact"/>
              <w:jc w:val="center"/>
              <w:rPr>
                <w:rFonts w:ascii="宋体" w:hAnsi="宋体" w:cs="宋体"/>
                <w:bCs/>
                <w:szCs w:val="21"/>
              </w:rPr>
            </w:pPr>
            <w:r>
              <w:rPr>
                <w:rFonts w:hint="eastAsia" w:ascii="宋体" w:hAnsi="宋体" w:cs="宋体"/>
                <w:bCs/>
                <w:szCs w:val="21"/>
              </w:rPr>
              <w:t>项号</w:t>
            </w:r>
          </w:p>
        </w:tc>
        <w:tc>
          <w:tcPr>
            <w:tcW w:w="1240" w:type="dxa"/>
            <w:shd w:val="clear" w:color="auto" w:fill="auto"/>
            <w:vAlign w:val="center"/>
          </w:tcPr>
          <w:p w14:paraId="0E26EF5D">
            <w:pPr>
              <w:spacing w:line="330" w:lineRule="exact"/>
              <w:jc w:val="center"/>
              <w:rPr>
                <w:rFonts w:ascii="宋体" w:hAnsi="宋体" w:cs="宋体"/>
                <w:bCs/>
                <w:szCs w:val="21"/>
              </w:rPr>
            </w:pPr>
            <w:r>
              <w:rPr>
                <w:rFonts w:hint="eastAsia" w:ascii="宋体" w:hAnsi="宋体" w:cs="宋体"/>
                <w:bCs/>
                <w:szCs w:val="21"/>
              </w:rPr>
              <w:t>服务名称</w:t>
            </w:r>
          </w:p>
        </w:tc>
        <w:tc>
          <w:tcPr>
            <w:tcW w:w="5381" w:type="dxa"/>
            <w:shd w:val="clear" w:color="auto" w:fill="auto"/>
            <w:vAlign w:val="center"/>
          </w:tcPr>
          <w:p w14:paraId="7F2D6C5E">
            <w:pPr>
              <w:spacing w:line="330" w:lineRule="exact"/>
              <w:jc w:val="center"/>
              <w:rPr>
                <w:rFonts w:ascii="宋体" w:hAnsi="宋体" w:cs="宋体"/>
                <w:bCs/>
                <w:szCs w:val="21"/>
              </w:rPr>
            </w:pPr>
            <w:r>
              <w:rPr>
                <w:rFonts w:hint="eastAsia" w:ascii="宋体" w:hAnsi="宋体"/>
                <w:bCs/>
                <w:szCs w:val="21"/>
              </w:rPr>
              <w:t>技术参数、性能、配置等要求</w:t>
            </w:r>
          </w:p>
        </w:tc>
        <w:tc>
          <w:tcPr>
            <w:tcW w:w="851" w:type="dxa"/>
            <w:shd w:val="clear" w:color="auto" w:fill="auto"/>
            <w:vAlign w:val="center"/>
          </w:tcPr>
          <w:p w14:paraId="5BB7EA92">
            <w:pPr>
              <w:spacing w:line="330" w:lineRule="exact"/>
              <w:jc w:val="center"/>
              <w:rPr>
                <w:rFonts w:ascii="宋体" w:hAnsi="宋体" w:cs="宋体"/>
                <w:bCs/>
                <w:szCs w:val="21"/>
              </w:rPr>
            </w:pPr>
            <w:r>
              <w:rPr>
                <w:rFonts w:hint="eastAsia" w:ascii="宋体" w:hAnsi="宋体" w:cs="宋体"/>
                <w:bCs/>
                <w:szCs w:val="21"/>
              </w:rPr>
              <w:t>数量</w:t>
            </w:r>
          </w:p>
        </w:tc>
        <w:tc>
          <w:tcPr>
            <w:tcW w:w="850" w:type="dxa"/>
            <w:shd w:val="clear" w:color="auto" w:fill="auto"/>
            <w:vAlign w:val="center"/>
          </w:tcPr>
          <w:p w14:paraId="7DA18C9C">
            <w:pPr>
              <w:spacing w:line="330" w:lineRule="exact"/>
              <w:jc w:val="center"/>
              <w:rPr>
                <w:rFonts w:ascii="宋体" w:hAnsi="宋体" w:cs="宋体"/>
                <w:bCs/>
                <w:szCs w:val="21"/>
              </w:rPr>
            </w:pPr>
            <w:r>
              <w:rPr>
                <w:rFonts w:hint="eastAsia" w:ascii="宋体" w:hAnsi="宋体" w:cs="宋体"/>
                <w:bCs/>
                <w:szCs w:val="21"/>
              </w:rPr>
              <w:t>单位</w:t>
            </w:r>
          </w:p>
        </w:tc>
      </w:tr>
      <w:tr w14:paraId="6A10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39957CFA">
            <w:pPr>
              <w:spacing w:line="330" w:lineRule="exact"/>
              <w:jc w:val="center"/>
              <w:rPr>
                <w:rFonts w:ascii="宋体" w:hAnsi="宋体"/>
                <w:bCs/>
                <w:sz w:val="18"/>
                <w:szCs w:val="18"/>
              </w:rPr>
            </w:pPr>
            <w:r>
              <w:rPr>
                <w:rFonts w:hint="eastAsia" w:ascii="宋体" w:hAnsi="宋体"/>
                <w:bCs/>
                <w:sz w:val="18"/>
                <w:szCs w:val="18"/>
              </w:rPr>
              <w:t>1</w:t>
            </w:r>
          </w:p>
        </w:tc>
        <w:tc>
          <w:tcPr>
            <w:tcW w:w="1240" w:type="dxa"/>
            <w:shd w:val="clear" w:color="auto" w:fill="auto"/>
            <w:vAlign w:val="center"/>
          </w:tcPr>
          <w:p w14:paraId="2945B1AC">
            <w:pPr>
              <w:spacing w:line="330" w:lineRule="exact"/>
              <w:jc w:val="center"/>
              <w:rPr>
                <w:rFonts w:ascii="宋体" w:hAnsi="宋体"/>
                <w:bCs/>
                <w:sz w:val="18"/>
                <w:szCs w:val="18"/>
              </w:rPr>
            </w:pPr>
            <w:r>
              <w:rPr>
                <w:rFonts w:hint="eastAsia" w:ascii="宋体" w:hAnsi="宋体" w:cs="宋体"/>
                <w:sz w:val="18"/>
                <w:szCs w:val="18"/>
              </w:rPr>
              <w:t>HIS系统网络安全等级保护测评（三级）</w:t>
            </w:r>
          </w:p>
        </w:tc>
        <w:tc>
          <w:tcPr>
            <w:tcW w:w="5381" w:type="dxa"/>
            <w:shd w:val="clear" w:color="auto" w:fill="auto"/>
          </w:tcPr>
          <w:p w14:paraId="5DA409AA">
            <w:pPr>
              <w:spacing w:line="240" w:lineRule="auto"/>
              <w:jc w:val="both"/>
              <w:rPr>
                <w:rFonts w:ascii="宋体" w:hAnsi="宋体" w:cs="宋体"/>
                <w:b/>
                <w:sz w:val="18"/>
                <w:szCs w:val="18"/>
              </w:rPr>
            </w:pPr>
            <w:r>
              <w:rPr>
                <w:rFonts w:hint="eastAsia" w:ascii="宋体" w:hAnsi="宋体" w:cs="宋体"/>
                <w:b/>
                <w:sz w:val="18"/>
                <w:szCs w:val="18"/>
              </w:rPr>
              <w:t>一、测评服务</w:t>
            </w:r>
          </w:p>
          <w:p w14:paraId="2958F228">
            <w:pPr>
              <w:spacing w:line="240" w:lineRule="auto"/>
              <w:jc w:val="both"/>
              <w:rPr>
                <w:rFonts w:ascii="宋体" w:hAnsi="宋体" w:cs="宋体"/>
                <w:b/>
                <w:bCs/>
                <w:sz w:val="18"/>
                <w:szCs w:val="18"/>
              </w:rPr>
            </w:pPr>
            <w:r>
              <w:rPr>
                <w:rFonts w:hint="eastAsia" w:ascii="宋体" w:hAnsi="宋体" w:cs="宋体"/>
                <w:b/>
                <w:bCs/>
                <w:sz w:val="18"/>
                <w:szCs w:val="18"/>
              </w:rPr>
              <w:t>1、总的要求</w:t>
            </w:r>
          </w:p>
          <w:p w14:paraId="152079E7">
            <w:pPr>
              <w:spacing w:line="240" w:lineRule="auto"/>
              <w:ind w:firstLine="360" w:firstLineChars="200"/>
              <w:jc w:val="both"/>
              <w:rPr>
                <w:rFonts w:ascii="宋体" w:hAnsi="宋体" w:cs="宋体"/>
                <w:sz w:val="18"/>
                <w:szCs w:val="18"/>
              </w:rPr>
            </w:pPr>
            <w:r>
              <w:rPr>
                <w:rFonts w:hint="eastAsia" w:ascii="宋体" w:hAnsi="宋体" w:cs="宋体"/>
                <w:sz w:val="18"/>
                <w:szCs w:val="18"/>
              </w:rPr>
              <w:t>依据《网络安全等级保护基本要求》（GB/T 22239-2019）对</w:t>
            </w:r>
            <w:r>
              <w:rPr>
                <w:rFonts w:hint="eastAsia" w:ascii="宋体" w:hAnsi="宋体" w:cs="宋体"/>
                <w:b/>
                <w:bCs/>
                <w:sz w:val="18"/>
                <w:szCs w:val="18"/>
              </w:rPr>
              <w:t>桂林市人民医院HIS系统（三级）</w:t>
            </w:r>
            <w:r>
              <w:rPr>
                <w:rFonts w:hint="eastAsia" w:ascii="宋体" w:hAnsi="宋体" w:cs="宋体"/>
                <w:sz w:val="18"/>
                <w:szCs w:val="18"/>
              </w:rPr>
              <w:t>开展网络安全等级保护测评工作，并出具网络安全等级保护测评报告。</w:t>
            </w:r>
          </w:p>
          <w:p w14:paraId="40809F66">
            <w:pPr>
              <w:widowControl w:val="0"/>
              <w:spacing w:line="240" w:lineRule="auto"/>
              <w:rPr>
                <w:rFonts w:ascii="宋体" w:hAnsi="宋体" w:cs="宋体"/>
                <w:sz w:val="18"/>
                <w:szCs w:val="18"/>
              </w:rPr>
            </w:pPr>
            <w:r>
              <w:rPr>
                <w:rFonts w:hint="eastAsia" w:ascii="宋体" w:hAnsi="宋体" w:cs="宋体"/>
                <w:b/>
                <w:bCs/>
                <w:sz w:val="18"/>
                <w:szCs w:val="18"/>
              </w:rPr>
              <w:t>2、标准依据</w:t>
            </w:r>
          </w:p>
          <w:p w14:paraId="36DC55CD">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《计算机信息系统安全保护等级划分准则》（GB 17859-1999)</w:t>
            </w:r>
          </w:p>
          <w:p w14:paraId="38E32B8B">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《网络安全等级保护基本要求》（GB/T 22239-2019）</w:t>
            </w:r>
          </w:p>
          <w:p w14:paraId="713A3B03">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《网络安全等级保护测评要求》（GB/T 28448-2019）</w:t>
            </w:r>
          </w:p>
          <w:p w14:paraId="578078D4">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《网络安全等级保护测评过程指南》（GB/T 28449-2018)</w:t>
            </w:r>
          </w:p>
          <w:p w14:paraId="19529982">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《网络安全等级保护设计技术要求》（GB/T 25070-2019）</w:t>
            </w:r>
          </w:p>
          <w:p w14:paraId="03E1AD96">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《网络安全等级保护测试评估技术指南》（GB/T 36627-2018）</w:t>
            </w:r>
          </w:p>
          <w:p w14:paraId="7ED97EFB">
            <w:pPr>
              <w:spacing w:line="240" w:lineRule="auto"/>
              <w:jc w:val="both"/>
              <w:rPr>
                <w:rFonts w:ascii="宋体" w:hAnsi="宋体" w:cs="宋体"/>
                <w:b/>
                <w:bCs/>
                <w:sz w:val="18"/>
                <w:szCs w:val="18"/>
              </w:rPr>
            </w:pPr>
            <w:r>
              <w:rPr>
                <w:rFonts w:hint="eastAsia" w:ascii="宋体" w:hAnsi="宋体" w:cs="宋体"/>
                <w:b/>
                <w:sz w:val="18"/>
                <w:szCs w:val="18"/>
              </w:rPr>
              <w:t>3</w:t>
            </w:r>
            <w:r>
              <w:rPr>
                <w:rFonts w:hint="eastAsia" w:ascii="宋体" w:hAnsi="宋体" w:cs="宋体"/>
                <w:b/>
                <w:bCs/>
                <w:sz w:val="18"/>
                <w:szCs w:val="18"/>
              </w:rPr>
              <w:t>、测评内容</w:t>
            </w:r>
          </w:p>
          <w:p w14:paraId="30F68A7C">
            <w:pPr>
              <w:spacing w:line="240" w:lineRule="auto"/>
              <w:ind w:firstLine="361" w:firstLineChars="200"/>
              <w:jc w:val="both"/>
              <w:rPr>
                <w:rFonts w:ascii="宋体" w:hAnsi="宋体" w:cs="宋体"/>
                <w:b/>
                <w:bCs/>
                <w:sz w:val="18"/>
                <w:szCs w:val="18"/>
              </w:rPr>
            </w:pPr>
            <w:r>
              <w:rPr>
                <w:rFonts w:hint="eastAsia" w:ascii="宋体" w:hAnsi="宋体" w:cs="宋体"/>
                <w:b/>
                <w:bCs/>
                <w:sz w:val="18"/>
                <w:szCs w:val="18"/>
              </w:rPr>
              <w:t>安全通用要求</w:t>
            </w:r>
          </w:p>
          <w:p w14:paraId="21CA178D">
            <w:pPr>
              <w:spacing w:line="240" w:lineRule="auto"/>
              <w:ind w:firstLine="360" w:firstLineChars="200"/>
              <w:jc w:val="both"/>
              <w:rPr>
                <w:rFonts w:ascii="宋体" w:hAnsi="宋体" w:cs="宋体"/>
                <w:sz w:val="18"/>
                <w:szCs w:val="18"/>
              </w:rPr>
            </w:pPr>
            <w:r>
              <w:rPr>
                <w:rFonts w:hint="eastAsia" w:ascii="宋体" w:hAnsi="宋体" w:cs="宋体"/>
                <w:sz w:val="18"/>
                <w:szCs w:val="18"/>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252E98FC">
            <w:pPr>
              <w:spacing w:line="240" w:lineRule="auto"/>
              <w:rPr>
                <w:rFonts w:ascii="宋体" w:hAnsi="宋体" w:cs="宋体"/>
                <w:b/>
                <w:bCs/>
                <w:sz w:val="18"/>
                <w:szCs w:val="18"/>
              </w:rPr>
            </w:pPr>
            <w:r>
              <w:rPr>
                <w:rFonts w:hint="eastAsia" w:ascii="宋体" w:hAnsi="宋体" w:cs="宋体"/>
                <w:b/>
                <w:bCs/>
                <w:sz w:val="18"/>
                <w:szCs w:val="18"/>
              </w:rPr>
              <w:t>4、测评方法</w:t>
            </w:r>
          </w:p>
          <w:p w14:paraId="735EB9F3">
            <w:pPr>
              <w:spacing w:line="240" w:lineRule="auto"/>
              <w:ind w:firstLine="360" w:firstLineChars="200"/>
              <w:rPr>
                <w:rFonts w:ascii="宋体" w:hAnsi="宋体" w:cs="宋体"/>
                <w:sz w:val="18"/>
                <w:szCs w:val="18"/>
              </w:rPr>
            </w:pPr>
            <w:r>
              <w:rPr>
                <w:rFonts w:hint="eastAsia" w:ascii="宋体" w:hAnsi="宋体" w:cs="宋体"/>
                <w:sz w:val="18"/>
                <w:szCs w:val="18"/>
              </w:rPr>
              <w:t>在测评实施过程中，应采用访谈、检查和测试、渗透测试等测评方法进行，并与国家相关规范及标准的要求相符。</w:t>
            </w:r>
            <w:r>
              <w:rPr>
                <w:rFonts w:hint="eastAsia" w:ascii="宋体" w:hAnsi="宋体" w:cs="宋体"/>
                <w:sz w:val="18"/>
                <w:szCs w:val="18"/>
              </w:rPr>
              <w:br w:type="textWrapping"/>
            </w:r>
            <w:r>
              <w:rPr>
                <w:rFonts w:hint="eastAsia" w:ascii="宋体" w:hAnsi="宋体" w:cs="宋体"/>
                <w:sz w:val="18"/>
                <w:szCs w:val="18"/>
              </w:rPr>
              <w:t xml:space="preserve">    访谈是指测评人员通过引导信息系统相关人员进行有目的的（有针对性的）交流以帮助测评人员理解、分析或取得证据的过程；</w:t>
            </w:r>
            <w:r>
              <w:rPr>
                <w:rFonts w:hint="eastAsia" w:ascii="宋体" w:hAnsi="宋体" w:cs="宋体"/>
                <w:sz w:val="18"/>
                <w:szCs w:val="18"/>
              </w:rPr>
              <w:br w:type="textWrapping"/>
            </w:r>
            <w:r>
              <w:rPr>
                <w:rFonts w:hint="eastAsia" w:ascii="宋体" w:hAnsi="宋体" w:cs="宋体"/>
                <w:sz w:val="18"/>
                <w:szCs w:val="18"/>
              </w:rPr>
              <w:t xml:space="preserve">   检查是指测评人员通过对测评对象（如管理制度、操作记录、安全配置等）进行观察、查验、分析以帮助测评人员理解、分析或取得证据的过程；</w:t>
            </w:r>
          </w:p>
          <w:p w14:paraId="6F7D217C">
            <w:pPr>
              <w:spacing w:line="240" w:lineRule="auto"/>
              <w:ind w:firstLine="360" w:firstLineChars="200"/>
              <w:rPr>
                <w:rFonts w:ascii="宋体" w:hAnsi="宋体" w:cs="宋体"/>
                <w:sz w:val="18"/>
                <w:szCs w:val="18"/>
              </w:rPr>
            </w:pPr>
            <w:r>
              <w:rPr>
                <w:rFonts w:hint="eastAsia" w:ascii="宋体" w:hAnsi="宋体" w:cs="宋体"/>
                <w:sz w:val="18"/>
                <w:szCs w:val="18"/>
              </w:rPr>
              <w:t>测试是测评人员使用预定的方法/工具使测评对象产生特定的行为，通过查看和分析结果以帮助测评人员获取证据的过程；</w:t>
            </w:r>
          </w:p>
          <w:p w14:paraId="628787F5">
            <w:pPr>
              <w:spacing w:line="240" w:lineRule="auto"/>
              <w:ind w:firstLine="360" w:firstLineChars="200"/>
              <w:rPr>
                <w:rFonts w:ascii="宋体" w:hAnsi="宋体" w:cs="宋体"/>
                <w:sz w:val="18"/>
                <w:szCs w:val="18"/>
              </w:rPr>
            </w:pPr>
            <w:r>
              <w:rPr>
                <w:rFonts w:hint="eastAsia" w:ascii="宋体" w:hAnsi="宋体" w:cs="宋体"/>
                <w:sz w:val="18"/>
                <w:szCs w:val="18"/>
              </w:rPr>
              <w:t>渗透测试是模拟黑客的攻击方法，对受保护对象的应用系统、主机、网络进行攻击，从而验证测评对象的弱点、技术缺陷或漏洞的一种评估方法。</w:t>
            </w:r>
          </w:p>
          <w:p w14:paraId="3171D6EE">
            <w:pPr>
              <w:pStyle w:val="20"/>
              <w:spacing w:line="240" w:lineRule="auto"/>
              <w:ind w:firstLine="344" w:firstLineChars="200"/>
              <w:rPr>
                <w:rFonts w:hAnsi="宋体"/>
                <w:sz w:val="18"/>
                <w:szCs w:val="18"/>
              </w:rPr>
            </w:pPr>
            <w:r>
              <w:rPr>
                <w:rFonts w:hint="eastAsia" w:hAnsi="宋体" w:cs="宋体"/>
                <w:sz w:val="18"/>
                <w:szCs w:val="18"/>
              </w:rPr>
              <w:t>测评机构应具备对测评过程中发现的漏洞进行深度挖掘的能力。</w:t>
            </w:r>
          </w:p>
          <w:p w14:paraId="6124206B">
            <w:pPr>
              <w:spacing w:line="240" w:lineRule="auto"/>
              <w:rPr>
                <w:rFonts w:ascii="宋体" w:hAnsi="宋体" w:cs="宋体"/>
                <w:b/>
                <w:bCs/>
                <w:sz w:val="18"/>
                <w:szCs w:val="18"/>
              </w:rPr>
            </w:pPr>
            <w:r>
              <w:rPr>
                <w:rFonts w:hint="eastAsia" w:ascii="宋体" w:hAnsi="宋体" w:cs="宋体"/>
                <w:b/>
                <w:bCs/>
                <w:sz w:val="18"/>
                <w:szCs w:val="18"/>
              </w:rPr>
              <w:t>5、服务成果</w:t>
            </w:r>
          </w:p>
          <w:p w14:paraId="65F570DA">
            <w:pPr>
              <w:spacing w:line="240" w:lineRule="auto"/>
              <w:ind w:firstLine="360" w:firstLineChars="200"/>
              <w:rPr>
                <w:rFonts w:ascii="宋体" w:hAnsi="宋体" w:cs="宋体"/>
                <w:sz w:val="18"/>
                <w:szCs w:val="18"/>
              </w:rPr>
            </w:pPr>
            <w:r>
              <w:rPr>
                <w:rFonts w:hint="eastAsia" w:ascii="宋体" w:hAnsi="宋体" w:cs="宋体"/>
                <w:sz w:val="18"/>
                <w:szCs w:val="18"/>
              </w:rPr>
              <w:t>测评完成后，出具符合等保2.0相关技术标准要求、国家网络安全等级保护管理部门规范要求且公安机关认可的的网络安全等级保护测评报告。</w:t>
            </w:r>
          </w:p>
          <w:p w14:paraId="2C763B45">
            <w:pPr>
              <w:spacing w:line="240" w:lineRule="auto"/>
              <w:rPr>
                <w:rFonts w:ascii="宋体" w:hAnsi="宋体" w:cs="宋体"/>
                <w:b/>
                <w:bCs/>
                <w:sz w:val="18"/>
                <w:szCs w:val="18"/>
              </w:rPr>
            </w:pPr>
            <w:r>
              <w:rPr>
                <w:rFonts w:hint="eastAsia" w:ascii="宋体" w:hAnsi="宋体" w:cs="宋体"/>
                <w:b/>
                <w:bCs/>
                <w:sz w:val="18"/>
                <w:szCs w:val="18"/>
              </w:rPr>
              <w:t>6、网络安全等级保护测评机构资质要求</w:t>
            </w:r>
          </w:p>
          <w:p w14:paraId="5816A928">
            <w:pPr>
              <w:spacing w:line="240" w:lineRule="auto"/>
              <w:ind w:firstLine="360" w:firstLineChars="200"/>
              <w:rPr>
                <w:rFonts w:ascii="宋体" w:hAnsi="宋体" w:cs="宋体"/>
                <w:sz w:val="18"/>
                <w:szCs w:val="18"/>
              </w:rPr>
            </w:pPr>
            <w:r>
              <w:rPr>
                <w:rFonts w:hint="eastAsia" w:ascii="宋体" w:hAnsi="宋体" w:cs="宋体"/>
                <w:sz w:val="18"/>
                <w:szCs w:val="18"/>
              </w:rPr>
              <w:t>测评机构必须具备公安部第三研究所认证颁发的《网络安全等级测评与检测评估机构服务认证证书》，投标时须提供以上证书复印件并加盖投标人公章。在本项目进行期间，未经采购人同意，测评过程中不得离场，且中途不得更换人员，也不得将检测任务分包或转包。</w:t>
            </w:r>
          </w:p>
        </w:tc>
        <w:tc>
          <w:tcPr>
            <w:tcW w:w="851" w:type="dxa"/>
            <w:shd w:val="clear" w:color="auto" w:fill="auto"/>
            <w:vAlign w:val="center"/>
          </w:tcPr>
          <w:p w14:paraId="43C2C088">
            <w:pPr>
              <w:spacing w:line="330" w:lineRule="exact"/>
              <w:jc w:val="center"/>
              <w:rPr>
                <w:rFonts w:ascii="宋体" w:hAnsi="宋体"/>
                <w:bCs/>
                <w:szCs w:val="21"/>
              </w:rPr>
            </w:pPr>
            <w:r>
              <w:rPr>
                <w:rFonts w:hint="eastAsia" w:ascii="宋体" w:hAnsi="宋体" w:cs="宋体"/>
                <w:szCs w:val="21"/>
              </w:rPr>
              <w:t>1</w:t>
            </w:r>
          </w:p>
        </w:tc>
        <w:tc>
          <w:tcPr>
            <w:tcW w:w="850" w:type="dxa"/>
            <w:shd w:val="clear" w:color="auto" w:fill="auto"/>
            <w:vAlign w:val="center"/>
          </w:tcPr>
          <w:p w14:paraId="74BB9E3B">
            <w:pPr>
              <w:spacing w:line="330" w:lineRule="exact"/>
              <w:jc w:val="center"/>
              <w:rPr>
                <w:rFonts w:ascii="宋体" w:hAnsi="宋体"/>
                <w:bCs/>
                <w:szCs w:val="21"/>
              </w:rPr>
            </w:pPr>
            <w:r>
              <w:rPr>
                <w:rFonts w:hint="eastAsia" w:ascii="宋体" w:hAnsi="宋体" w:cs="宋体"/>
                <w:szCs w:val="21"/>
              </w:rPr>
              <w:t>项</w:t>
            </w:r>
          </w:p>
        </w:tc>
      </w:tr>
      <w:tr w14:paraId="6661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5" w:type="dxa"/>
            <w:shd w:val="clear" w:color="auto" w:fill="auto"/>
            <w:vAlign w:val="center"/>
          </w:tcPr>
          <w:p w14:paraId="2832FEFC">
            <w:pPr>
              <w:spacing w:line="330" w:lineRule="exact"/>
              <w:jc w:val="center"/>
              <w:rPr>
                <w:rFonts w:ascii="宋体" w:hAnsi="宋体"/>
                <w:bCs/>
                <w:sz w:val="18"/>
                <w:szCs w:val="18"/>
              </w:rPr>
            </w:pPr>
            <w:r>
              <w:rPr>
                <w:rFonts w:hint="eastAsia" w:ascii="宋体" w:hAnsi="宋体"/>
                <w:bCs/>
                <w:sz w:val="18"/>
                <w:szCs w:val="18"/>
              </w:rPr>
              <w:t>2</w:t>
            </w:r>
          </w:p>
        </w:tc>
        <w:tc>
          <w:tcPr>
            <w:tcW w:w="1240" w:type="dxa"/>
            <w:shd w:val="clear" w:color="auto" w:fill="auto"/>
            <w:vAlign w:val="center"/>
          </w:tcPr>
          <w:p w14:paraId="73E62AED">
            <w:pPr>
              <w:spacing w:line="330" w:lineRule="exact"/>
              <w:jc w:val="center"/>
              <w:rPr>
                <w:rFonts w:ascii="宋体" w:hAnsi="宋体" w:cs="宋体"/>
                <w:sz w:val="18"/>
                <w:szCs w:val="18"/>
              </w:rPr>
            </w:pPr>
            <w:r>
              <w:rPr>
                <w:rFonts w:hint="eastAsia" w:ascii="宋体" w:hAnsi="宋体" w:cs="宋体"/>
                <w:sz w:val="18"/>
                <w:szCs w:val="18"/>
              </w:rPr>
              <w:t>HIS系统差距整改咨询服务</w:t>
            </w:r>
          </w:p>
        </w:tc>
        <w:tc>
          <w:tcPr>
            <w:tcW w:w="5381" w:type="dxa"/>
            <w:shd w:val="clear" w:color="auto" w:fill="auto"/>
          </w:tcPr>
          <w:p w14:paraId="1B081DFB">
            <w:pPr>
              <w:spacing w:line="240" w:lineRule="auto"/>
              <w:rPr>
                <w:rFonts w:ascii="宋体" w:hAnsi="宋体" w:cs="宋体"/>
                <w:b/>
                <w:bCs/>
                <w:sz w:val="18"/>
                <w:szCs w:val="18"/>
              </w:rPr>
            </w:pPr>
            <w:r>
              <w:rPr>
                <w:rFonts w:hint="eastAsia" w:ascii="宋体" w:hAnsi="宋体" w:cs="宋体"/>
                <w:b/>
                <w:bCs/>
                <w:sz w:val="18"/>
                <w:szCs w:val="18"/>
              </w:rPr>
              <w:t>1、安全评估服务</w:t>
            </w:r>
          </w:p>
          <w:p w14:paraId="6390BCD7">
            <w:pPr>
              <w:spacing w:line="240" w:lineRule="auto"/>
              <w:ind w:firstLine="360" w:firstLineChars="200"/>
              <w:rPr>
                <w:rFonts w:ascii="宋体" w:hAnsi="宋体" w:cs="宋体"/>
                <w:sz w:val="18"/>
                <w:szCs w:val="18"/>
              </w:rPr>
            </w:pPr>
            <w:r>
              <w:rPr>
                <w:rFonts w:hint="eastAsia" w:ascii="宋体" w:hAnsi="宋体" w:cs="宋体"/>
                <w:sz w:val="18"/>
                <w:szCs w:val="18"/>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14:paraId="4DF209FB">
            <w:pPr>
              <w:spacing w:line="240" w:lineRule="auto"/>
              <w:rPr>
                <w:rFonts w:ascii="宋体" w:hAnsi="宋体" w:cs="宋体"/>
                <w:b/>
                <w:bCs/>
                <w:sz w:val="18"/>
                <w:szCs w:val="18"/>
              </w:rPr>
            </w:pPr>
            <w:r>
              <w:rPr>
                <w:rFonts w:hint="eastAsia" w:ascii="宋体" w:hAnsi="宋体" w:cs="宋体"/>
                <w:b/>
                <w:bCs/>
                <w:sz w:val="18"/>
                <w:szCs w:val="18"/>
              </w:rPr>
              <w:t>2、差距分析服务</w:t>
            </w:r>
          </w:p>
          <w:p w14:paraId="30DFCB7D">
            <w:pPr>
              <w:spacing w:line="240" w:lineRule="auto"/>
              <w:ind w:firstLine="360" w:firstLineChars="200"/>
              <w:rPr>
                <w:rFonts w:ascii="宋体" w:hAnsi="宋体" w:cs="宋体"/>
                <w:sz w:val="18"/>
                <w:szCs w:val="18"/>
              </w:rPr>
            </w:pPr>
            <w:r>
              <w:rPr>
                <w:rFonts w:hint="eastAsia" w:ascii="宋体" w:hAnsi="宋体" w:cs="宋体"/>
                <w:sz w:val="18"/>
                <w:szCs w:val="18"/>
              </w:rPr>
              <w:t>包含依照系统准备差距分析表、安全管理差距分析（通过文档、访谈和测试等方式）、安全技术差距分析（通过文档、访谈等方式）、生成等级保护差距分析报告。</w:t>
            </w:r>
          </w:p>
          <w:p w14:paraId="252ABFD5">
            <w:pPr>
              <w:spacing w:line="240" w:lineRule="auto"/>
              <w:rPr>
                <w:rFonts w:ascii="宋体" w:hAnsi="宋体" w:cs="宋体"/>
                <w:b/>
                <w:bCs/>
                <w:sz w:val="18"/>
                <w:szCs w:val="18"/>
              </w:rPr>
            </w:pPr>
            <w:r>
              <w:rPr>
                <w:rFonts w:hint="eastAsia" w:ascii="宋体" w:hAnsi="宋体" w:cs="宋体"/>
                <w:b/>
                <w:bCs/>
                <w:sz w:val="18"/>
                <w:szCs w:val="18"/>
              </w:rPr>
              <w:t>3、安全规划服务</w:t>
            </w:r>
          </w:p>
          <w:p w14:paraId="62558534">
            <w:pPr>
              <w:spacing w:line="240" w:lineRule="auto"/>
              <w:ind w:firstLine="360" w:firstLineChars="200"/>
              <w:rPr>
                <w:rFonts w:ascii="宋体" w:hAnsi="宋体" w:cs="宋体"/>
                <w:sz w:val="18"/>
                <w:szCs w:val="18"/>
              </w:rPr>
            </w:pPr>
            <w:r>
              <w:rPr>
                <w:rFonts w:hint="eastAsia" w:ascii="宋体" w:hAnsi="宋体" w:cs="宋体"/>
                <w:sz w:val="18"/>
                <w:szCs w:val="18"/>
              </w:rPr>
              <w:t>包含安全需求分析 、安全建设与改建方案的制定、制作原信息系统产品加固方案、测评不符合及部分符合项整改建议、制作新的网络拓扑图、制作安全需求分析报告、编制并确认整体信息系统整改方案。</w:t>
            </w:r>
          </w:p>
          <w:p w14:paraId="783A5C99">
            <w:pPr>
              <w:spacing w:line="240" w:lineRule="auto"/>
              <w:rPr>
                <w:rFonts w:ascii="宋体" w:hAnsi="宋体" w:cs="宋体"/>
                <w:b/>
                <w:bCs/>
                <w:sz w:val="18"/>
                <w:szCs w:val="18"/>
              </w:rPr>
            </w:pPr>
            <w:r>
              <w:rPr>
                <w:rFonts w:hint="eastAsia" w:ascii="宋体" w:hAnsi="宋体" w:cs="宋体"/>
                <w:b/>
                <w:bCs/>
                <w:sz w:val="18"/>
                <w:szCs w:val="18"/>
              </w:rPr>
              <w:t>4、整改咨询服务</w:t>
            </w:r>
          </w:p>
          <w:p w14:paraId="0B5D8E5A">
            <w:pPr>
              <w:spacing w:line="240" w:lineRule="auto"/>
              <w:ind w:firstLine="360" w:firstLineChars="200"/>
              <w:rPr>
                <w:rFonts w:ascii="宋体" w:hAnsi="宋体" w:cs="宋体"/>
                <w:sz w:val="18"/>
                <w:szCs w:val="18"/>
              </w:rPr>
            </w:pPr>
            <w:r>
              <w:rPr>
                <w:rFonts w:hint="eastAsia" w:ascii="宋体" w:hAnsi="宋体" w:cs="宋体"/>
                <w:sz w:val="18"/>
                <w:szCs w:val="18"/>
              </w:rPr>
              <w:t>依据等级保护相关技术标准，协助采购方完成需测评信息系统的安全整改咨询服务，完善信息系统安全防护措施，以期使各信息系统达到等级保护基本符合的要求。</w:t>
            </w:r>
          </w:p>
          <w:p w14:paraId="101B2D5B">
            <w:pPr>
              <w:spacing w:line="240" w:lineRule="auto"/>
              <w:rPr>
                <w:rFonts w:ascii="宋体" w:hAnsi="宋体" w:cs="宋体"/>
                <w:b/>
                <w:bCs/>
                <w:sz w:val="18"/>
                <w:szCs w:val="18"/>
              </w:rPr>
            </w:pPr>
            <w:r>
              <w:rPr>
                <w:rFonts w:hint="eastAsia" w:ascii="宋体" w:hAnsi="宋体" w:cs="宋体"/>
                <w:b/>
                <w:bCs/>
                <w:sz w:val="18"/>
                <w:szCs w:val="18"/>
              </w:rPr>
              <w:t>5、安全咨询服务</w:t>
            </w:r>
          </w:p>
          <w:p w14:paraId="2E1C13A3">
            <w:pPr>
              <w:spacing w:line="240" w:lineRule="auto"/>
              <w:ind w:firstLine="360" w:firstLineChars="200"/>
              <w:rPr>
                <w:rFonts w:ascii="宋体" w:hAnsi="宋体" w:cs="宋体"/>
                <w:sz w:val="18"/>
                <w:szCs w:val="18"/>
              </w:rPr>
            </w:pPr>
            <w:r>
              <w:rPr>
                <w:rFonts w:hint="eastAsia" w:ascii="宋体" w:hAnsi="宋体" w:cs="宋体"/>
                <w:sz w:val="18"/>
                <w:szCs w:val="18"/>
              </w:rPr>
              <w:t>由安全服务商提供的电话、邮件、面谈等方式提供各类信息系统安全咨询和建议服务。（时间1年）</w:t>
            </w:r>
          </w:p>
        </w:tc>
        <w:tc>
          <w:tcPr>
            <w:tcW w:w="851" w:type="dxa"/>
            <w:shd w:val="clear" w:color="auto" w:fill="auto"/>
            <w:vAlign w:val="center"/>
          </w:tcPr>
          <w:p w14:paraId="68F8BAAC">
            <w:pPr>
              <w:spacing w:line="330" w:lineRule="exact"/>
              <w:jc w:val="center"/>
              <w:rPr>
                <w:rFonts w:ascii="宋体" w:hAnsi="宋体" w:cs="宋体"/>
                <w:szCs w:val="21"/>
              </w:rPr>
            </w:pPr>
            <w:r>
              <w:rPr>
                <w:rFonts w:hint="eastAsia" w:ascii="宋体" w:hAnsi="宋体" w:cs="宋体"/>
                <w:szCs w:val="21"/>
              </w:rPr>
              <w:t>1</w:t>
            </w:r>
          </w:p>
        </w:tc>
        <w:tc>
          <w:tcPr>
            <w:tcW w:w="850" w:type="dxa"/>
            <w:shd w:val="clear" w:color="auto" w:fill="auto"/>
            <w:vAlign w:val="center"/>
          </w:tcPr>
          <w:p w14:paraId="4C36CC4F">
            <w:pPr>
              <w:spacing w:line="330" w:lineRule="exact"/>
              <w:jc w:val="center"/>
              <w:rPr>
                <w:rFonts w:ascii="宋体" w:hAnsi="宋体" w:cs="宋体"/>
                <w:szCs w:val="21"/>
              </w:rPr>
            </w:pPr>
            <w:r>
              <w:rPr>
                <w:rFonts w:hint="eastAsia" w:ascii="宋体" w:hAnsi="宋体" w:cs="宋体"/>
                <w:szCs w:val="21"/>
              </w:rPr>
              <w:t>项</w:t>
            </w:r>
          </w:p>
        </w:tc>
      </w:tr>
      <w:tr w14:paraId="2591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642B2E12">
            <w:pPr>
              <w:spacing w:line="330" w:lineRule="exact"/>
              <w:jc w:val="center"/>
              <w:rPr>
                <w:rFonts w:ascii="宋体" w:hAnsi="宋体"/>
                <w:bCs/>
                <w:sz w:val="18"/>
                <w:szCs w:val="18"/>
              </w:rPr>
            </w:pPr>
            <w:r>
              <w:rPr>
                <w:rFonts w:hint="eastAsia" w:ascii="宋体" w:hAnsi="宋体"/>
                <w:bCs/>
                <w:sz w:val="18"/>
                <w:szCs w:val="18"/>
              </w:rPr>
              <w:t>3</w:t>
            </w:r>
          </w:p>
        </w:tc>
        <w:tc>
          <w:tcPr>
            <w:tcW w:w="1240" w:type="dxa"/>
            <w:shd w:val="clear" w:color="auto" w:fill="auto"/>
            <w:vAlign w:val="center"/>
          </w:tcPr>
          <w:p w14:paraId="327E780C">
            <w:pPr>
              <w:spacing w:line="330" w:lineRule="exact"/>
              <w:jc w:val="both"/>
              <w:rPr>
                <w:rFonts w:ascii="宋体" w:hAnsi="宋体" w:cs="宋体"/>
                <w:sz w:val="18"/>
                <w:szCs w:val="18"/>
              </w:rPr>
            </w:pPr>
            <w:r>
              <w:rPr>
                <w:rFonts w:hint="eastAsia" w:ascii="宋体" w:hAnsi="宋体" w:cs="宋体"/>
                <w:sz w:val="18"/>
                <w:szCs w:val="18"/>
              </w:rPr>
              <w:t>互联网医院系统网络安全等级保护测评（三级）</w:t>
            </w:r>
          </w:p>
        </w:tc>
        <w:tc>
          <w:tcPr>
            <w:tcW w:w="5381" w:type="dxa"/>
            <w:shd w:val="clear" w:color="auto" w:fill="auto"/>
          </w:tcPr>
          <w:p w14:paraId="17DC94BB">
            <w:pPr>
              <w:spacing w:line="240" w:lineRule="auto"/>
              <w:jc w:val="both"/>
              <w:rPr>
                <w:rFonts w:ascii="宋体" w:hAnsi="宋体" w:cs="宋体"/>
                <w:b/>
                <w:sz w:val="18"/>
                <w:szCs w:val="18"/>
              </w:rPr>
            </w:pPr>
            <w:r>
              <w:rPr>
                <w:rFonts w:hint="eastAsia" w:ascii="宋体" w:hAnsi="宋体" w:cs="宋体"/>
                <w:b/>
                <w:sz w:val="18"/>
                <w:szCs w:val="18"/>
              </w:rPr>
              <w:t>一、测评服务</w:t>
            </w:r>
          </w:p>
          <w:p w14:paraId="0927F85D">
            <w:pPr>
              <w:spacing w:line="240" w:lineRule="auto"/>
              <w:jc w:val="both"/>
              <w:rPr>
                <w:rFonts w:ascii="宋体" w:hAnsi="宋体" w:cs="宋体"/>
                <w:b/>
                <w:bCs/>
                <w:sz w:val="18"/>
                <w:szCs w:val="18"/>
              </w:rPr>
            </w:pPr>
            <w:r>
              <w:rPr>
                <w:rFonts w:hint="eastAsia" w:ascii="宋体" w:hAnsi="宋体" w:cs="宋体"/>
                <w:b/>
                <w:bCs/>
                <w:sz w:val="18"/>
                <w:szCs w:val="18"/>
              </w:rPr>
              <w:t>1、总的要求</w:t>
            </w:r>
          </w:p>
          <w:p w14:paraId="7E62CA96">
            <w:pPr>
              <w:spacing w:line="240" w:lineRule="auto"/>
              <w:ind w:firstLine="360" w:firstLineChars="200"/>
              <w:jc w:val="both"/>
              <w:rPr>
                <w:rFonts w:ascii="宋体" w:hAnsi="宋体" w:cs="宋体"/>
                <w:sz w:val="18"/>
                <w:szCs w:val="18"/>
              </w:rPr>
            </w:pPr>
            <w:r>
              <w:rPr>
                <w:rFonts w:hint="eastAsia" w:ascii="宋体" w:hAnsi="宋体" w:cs="宋体"/>
                <w:sz w:val="18"/>
                <w:szCs w:val="18"/>
              </w:rPr>
              <w:t>依据《网络安全等级保护基本要求》（GB/T 22239-2019）对</w:t>
            </w:r>
            <w:r>
              <w:rPr>
                <w:rFonts w:hint="eastAsia" w:ascii="宋体" w:hAnsi="宋体" w:cs="宋体"/>
                <w:b/>
                <w:bCs/>
                <w:sz w:val="18"/>
                <w:szCs w:val="18"/>
              </w:rPr>
              <w:t>桂林市人民医院互联网医院系统（三级）</w:t>
            </w:r>
            <w:r>
              <w:rPr>
                <w:rFonts w:hint="eastAsia" w:ascii="宋体" w:hAnsi="宋体" w:cs="宋体"/>
                <w:sz w:val="18"/>
                <w:szCs w:val="18"/>
              </w:rPr>
              <w:t>开展网络安全等级保护测评工作，并出具网络安全等级保护测评报告。</w:t>
            </w:r>
          </w:p>
          <w:p w14:paraId="775DA015">
            <w:pPr>
              <w:widowControl w:val="0"/>
              <w:spacing w:line="240" w:lineRule="auto"/>
              <w:rPr>
                <w:rFonts w:ascii="宋体" w:hAnsi="宋体" w:cs="宋体"/>
                <w:sz w:val="18"/>
                <w:szCs w:val="18"/>
              </w:rPr>
            </w:pPr>
            <w:r>
              <w:rPr>
                <w:rFonts w:hint="eastAsia" w:ascii="宋体" w:hAnsi="宋体" w:cs="宋体"/>
                <w:b/>
                <w:bCs/>
                <w:sz w:val="18"/>
                <w:szCs w:val="18"/>
              </w:rPr>
              <w:t>2、标准依据</w:t>
            </w:r>
          </w:p>
          <w:p w14:paraId="0FD04F5D">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《计算机信息系统安全保护等级划分准则》（GB 17859-1999)</w:t>
            </w:r>
          </w:p>
          <w:p w14:paraId="5D696EAD">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《网络安全等级保护基本要求》（GB/T 22239-2019）</w:t>
            </w:r>
          </w:p>
          <w:p w14:paraId="17FB711E">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《网络安全等级保护测评要求》（GB/T 28448-2019）</w:t>
            </w:r>
          </w:p>
          <w:p w14:paraId="14998631">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《网络安全等级保护测评过程指南》（GB/T 28449-2018)</w:t>
            </w:r>
          </w:p>
          <w:p w14:paraId="2CBE107B">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《网络安全等级保护设计技术要求》（GB/T 25070-2019）</w:t>
            </w:r>
          </w:p>
          <w:p w14:paraId="6EA4EF6A">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《网络安全等级保护测试评估技术指南》（GB/T 36627-2018）</w:t>
            </w:r>
          </w:p>
          <w:p w14:paraId="2F215537">
            <w:pPr>
              <w:spacing w:line="240" w:lineRule="auto"/>
              <w:jc w:val="both"/>
              <w:rPr>
                <w:rFonts w:ascii="宋体" w:hAnsi="宋体" w:cs="宋体"/>
                <w:b/>
                <w:bCs/>
                <w:sz w:val="18"/>
                <w:szCs w:val="18"/>
              </w:rPr>
            </w:pPr>
            <w:r>
              <w:rPr>
                <w:rFonts w:hint="eastAsia" w:ascii="宋体" w:hAnsi="宋体" w:cs="宋体"/>
                <w:b/>
                <w:sz w:val="18"/>
                <w:szCs w:val="18"/>
              </w:rPr>
              <w:t>3</w:t>
            </w:r>
            <w:r>
              <w:rPr>
                <w:rFonts w:hint="eastAsia" w:ascii="宋体" w:hAnsi="宋体" w:cs="宋体"/>
                <w:b/>
                <w:bCs/>
                <w:sz w:val="18"/>
                <w:szCs w:val="18"/>
              </w:rPr>
              <w:t>、测评内容</w:t>
            </w:r>
          </w:p>
          <w:p w14:paraId="40ABCDCC">
            <w:pPr>
              <w:spacing w:line="240" w:lineRule="auto"/>
              <w:ind w:firstLine="361" w:firstLineChars="200"/>
              <w:jc w:val="both"/>
              <w:rPr>
                <w:rFonts w:ascii="宋体" w:hAnsi="宋体" w:cs="宋体"/>
                <w:b/>
                <w:bCs/>
                <w:sz w:val="18"/>
                <w:szCs w:val="18"/>
              </w:rPr>
            </w:pPr>
            <w:r>
              <w:rPr>
                <w:rFonts w:hint="eastAsia" w:ascii="宋体" w:hAnsi="宋体" w:cs="宋体"/>
                <w:b/>
                <w:bCs/>
                <w:sz w:val="18"/>
                <w:szCs w:val="18"/>
              </w:rPr>
              <w:t>安全通用要求</w:t>
            </w:r>
          </w:p>
          <w:p w14:paraId="2D3CA97A">
            <w:pPr>
              <w:spacing w:line="240" w:lineRule="auto"/>
              <w:ind w:firstLine="360" w:firstLineChars="200"/>
              <w:jc w:val="both"/>
              <w:rPr>
                <w:rFonts w:ascii="宋体" w:hAnsi="宋体" w:cs="宋体"/>
                <w:sz w:val="18"/>
                <w:szCs w:val="18"/>
              </w:rPr>
            </w:pPr>
            <w:r>
              <w:rPr>
                <w:rFonts w:hint="eastAsia" w:ascii="宋体" w:hAnsi="宋体" w:cs="宋体"/>
                <w:sz w:val="18"/>
                <w:szCs w:val="18"/>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5446899B">
            <w:pPr>
              <w:spacing w:line="240" w:lineRule="auto"/>
              <w:rPr>
                <w:rFonts w:ascii="宋体" w:hAnsi="宋体" w:cs="宋体"/>
                <w:b/>
                <w:bCs/>
                <w:sz w:val="18"/>
                <w:szCs w:val="18"/>
              </w:rPr>
            </w:pPr>
            <w:r>
              <w:rPr>
                <w:rFonts w:hint="eastAsia" w:ascii="宋体" w:hAnsi="宋体" w:cs="宋体"/>
                <w:b/>
                <w:bCs/>
                <w:sz w:val="18"/>
                <w:szCs w:val="18"/>
              </w:rPr>
              <w:t>4、测评方法</w:t>
            </w:r>
          </w:p>
          <w:p w14:paraId="293842B7">
            <w:pPr>
              <w:spacing w:line="240" w:lineRule="auto"/>
              <w:ind w:firstLine="360" w:firstLineChars="200"/>
              <w:rPr>
                <w:rFonts w:ascii="宋体" w:hAnsi="宋体" w:cs="宋体"/>
                <w:sz w:val="18"/>
                <w:szCs w:val="18"/>
              </w:rPr>
            </w:pPr>
            <w:r>
              <w:rPr>
                <w:rFonts w:hint="eastAsia" w:ascii="宋体" w:hAnsi="宋体" w:cs="宋体"/>
                <w:sz w:val="18"/>
                <w:szCs w:val="18"/>
              </w:rPr>
              <w:t>在测评实施过程中，应采用访谈、检查和测试、渗透测试等测评方法进行，并与国家相关规范及标准的要求相符。</w:t>
            </w:r>
            <w:r>
              <w:rPr>
                <w:rFonts w:hint="eastAsia" w:ascii="宋体" w:hAnsi="宋体" w:cs="宋体"/>
                <w:sz w:val="18"/>
                <w:szCs w:val="18"/>
              </w:rPr>
              <w:br w:type="textWrapping"/>
            </w:r>
            <w:r>
              <w:rPr>
                <w:rFonts w:hint="eastAsia" w:ascii="宋体" w:hAnsi="宋体" w:cs="宋体"/>
                <w:sz w:val="18"/>
                <w:szCs w:val="18"/>
              </w:rPr>
              <w:t xml:space="preserve">    访谈是指测评人员通过引导信息系统相关人员进行有目的的（有针对性的）交流以帮助测评人员理解、分析或取得证据的过程；</w:t>
            </w:r>
            <w:r>
              <w:rPr>
                <w:rFonts w:hint="eastAsia" w:ascii="宋体" w:hAnsi="宋体" w:cs="宋体"/>
                <w:sz w:val="18"/>
                <w:szCs w:val="18"/>
              </w:rPr>
              <w:br w:type="textWrapping"/>
            </w:r>
            <w:r>
              <w:rPr>
                <w:rFonts w:hint="eastAsia" w:ascii="宋体" w:hAnsi="宋体" w:cs="宋体"/>
                <w:sz w:val="18"/>
                <w:szCs w:val="18"/>
              </w:rPr>
              <w:t xml:space="preserve">   检查是指测评人员通过对测评对象（如管理制度、操作记录、安全配置等）进行观察、查验、分析以帮助测评人员理解、分析或取得证据的过程；</w:t>
            </w:r>
          </w:p>
          <w:p w14:paraId="2547FCCC">
            <w:pPr>
              <w:spacing w:line="240" w:lineRule="auto"/>
              <w:ind w:firstLine="360" w:firstLineChars="200"/>
              <w:rPr>
                <w:rFonts w:ascii="宋体" w:hAnsi="宋体" w:cs="宋体"/>
                <w:sz w:val="18"/>
                <w:szCs w:val="18"/>
              </w:rPr>
            </w:pPr>
            <w:r>
              <w:rPr>
                <w:rFonts w:hint="eastAsia" w:ascii="宋体" w:hAnsi="宋体" w:cs="宋体"/>
                <w:sz w:val="18"/>
                <w:szCs w:val="18"/>
              </w:rPr>
              <w:t>测试是测评人员使用预定的方法/工具使测评对象产生特定的行为，通过查看和分析结果以帮助测评人员获取证据的过程；</w:t>
            </w:r>
          </w:p>
          <w:p w14:paraId="2456CB53">
            <w:pPr>
              <w:spacing w:line="240" w:lineRule="auto"/>
              <w:ind w:firstLine="360" w:firstLineChars="200"/>
              <w:rPr>
                <w:rFonts w:ascii="宋体" w:hAnsi="宋体" w:cs="宋体"/>
                <w:sz w:val="18"/>
                <w:szCs w:val="18"/>
              </w:rPr>
            </w:pPr>
            <w:r>
              <w:rPr>
                <w:rFonts w:hint="eastAsia" w:ascii="宋体" w:hAnsi="宋体" w:cs="宋体"/>
                <w:sz w:val="18"/>
                <w:szCs w:val="18"/>
              </w:rPr>
              <w:t>渗透测试是模拟黑客的攻击方法，对受保护对象的应用系统、主机、网络进行攻击，从而验证测评对象的弱点、技术缺陷或漏洞的一种评估方法。</w:t>
            </w:r>
          </w:p>
          <w:p w14:paraId="01C94350">
            <w:pPr>
              <w:pStyle w:val="20"/>
              <w:spacing w:line="240" w:lineRule="auto"/>
              <w:ind w:firstLine="344" w:firstLineChars="200"/>
              <w:rPr>
                <w:rFonts w:hAnsi="宋体"/>
                <w:sz w:val="18"/>
                <w:szCs w:val="18"/>
              </w:rPr>
            </w:pPr>
            <w:r>
              <w:rPr>
                <w:rFonts w:hint="eastAsia" w:hAnsi="宋体" w:cs="宋体"/>
                <w:sz w:val="18"/>
                <w:szCs w:val="18"/>
              </w:rPr>
              <w:t>测评机构应具备对测评过程中发现的漏洞进行深度挖掘的能力。</w:t>
            </w:r>
          </w:p>
          <w:p w14:paraId="160014CA">
            <w:pPr>
              <w:spacing w:line="240" w:lineRule="auto"/>
              <w:rPr>
                <w:rFonts w:ascii="宋体" w:hAnsi="宋体" w:cs="宋体"/>
                <w:b/>
                <w:bCs/>
                <w:sz w:val="18"/>
                <w:szCs w:val="18"/>
              </w:rPr>
            </w:pPr>
            <w:r>
              <w:rPr>
                <w:rFonts w:hint="eastAsia" w:ascii="宋体" w:hAnsi="宋体" w:cs="宋体"/>
                <w:b/>
                <w:bCs/>
                <w:sz w:val="18"/>
                <w:szCs w:val="18"/>
              </w:rPr>
              <w:t>5、服务成果</w:t>
            </w:r>
          </w:p>
          <w:p w14:paraId="6B91E16D">
            <w:pPr>
              <w:suppressAutoHyphens/>
              <w:spacing w:line="240" w:lineRule="auto"/>
              <w:ind w:firstLine="360" w:firstLineChars="200"/>
              <w:rPr>
                <w:rFonts w:ascii="宋体" w:hAnsi="宋体" w:cs="宋体"/>
                <w:sz w:val="18"/>
                <w:szCs w:val="18"/>
              </w:rPr>
            </w:pPr>
            <w:r>
              <w:rPr>
                <w:rFonts w:hint="eastAsia" w:ascii="宋体" w:hAnsi="宋体" w:cs="宋体"/>
                <w:sz w:val="18"/>
                <w:szCs w:val="18"/>
              </w:rPr>
              <w:t>测评完成后，出具符合等保2.0相关技术标准要求、国家网络安全等级保护管理部门规范要求且公安机关认可的的网络安全等级保护测评报告。</w:t>
            </w:r>
          </w:p>
          <w:p w14:paraId="698BEA90">
            <w:pPr>
              <w:spacing w:line="240" w:lineRule="auto"/>
              <w:rPr>
                <w:rFonts w:ascii="宋体" w:hAnsi="宋体" w:cs="宋体"/>
                <w:b/>
                <w:bCs/>
                <w:sz w:val="18"/>
                <w:szCs w:val="18"/>
              </w:rPr>
            </w:pPr>
            <w:r>
              <w:rPr>
                <w:rFonts w:hint="eastAsia" w:ascii="宋体" w:hAnsi="宋体" w:cs="宋体"/>
                <w:b/>
                <w:bCs/>
                <w:sz w:val="18"/>
                <w:szCs w:val="18"/>
              </w:rPr>
              <w:t>6、网络安全等级保护测评机构资质要求</w:t>
            </w:r>
          </w:p>
          <w:p w14:paraId="26726B2B">
            <w:pPr>
              <w:suppressAutoHyphens/>
              <w:spacing w:line="240" w:lineRule="auto"/>
              <w:ind w:firstLine="360" w:firstLineChars="200"/>
              <w:rPr>
                <w:rFonts w:ascii="宋体" w:hAnsi="宋体" w:cs="宋体"/>
                <w:sz w:val="18"/>
                <w:szCs w:val="18"/>
              </w:rPr>
            </w:pPr>
            <w:r>
              <w:rPr>
                <w:rFonts w:hint="eastAsia" w:ascii="宋体" w:hAnsi="宋体" w:cs="宋体"/>
                <w:sz w:val="18"/>
                <w:szCs w:val="18"/>
              </w:rPr>
              <w:t>测评机构必须具备公安部第三研究所认证颁发的《网络安全等级测评与检测评估机构服务认证证书》，投标时须提供以上证书复印件并加盖投标人公章。在本项目进行期间，未经采购人同意，测评过程中不得离场，且中途不得更换人员，也不得将检测任务分包或转包。</w:t>
            </w:r>
          </w:p>
        </w:tc>
        <w:tc>
          <w:tcPr>
            <w:tcW w:w="851" w:type="dxa"/>
            <w:shd w:val="clear" w:color="auto" w:fill="auto"/>
            <w:vAlign w:val="center"/>
          </w:tcPr>
          <w:p w14:paraId="754E3A08">
            <w:pPr>
              <w:spacing w:line="330" w:lineRule="exact"/>
              <w:jc w:val="center"/>
              <w:rPr>
                <w:rFonts w:ascii="宋体" w:hAnsi="宋体" w:cs="宋体"/>
                <w:szCs w:val="21"/>
              </w:rPr>
            </w:pPr>
            <w:r>
              <w:rPr>
                <w:rFonts w:hint="eastAsia" w:ascii="宋体" w:hAnsi="宋体" w:cs="宋体"/>
                <w:szCs w:val="21"/>
              </w:rPr>
              <w:t>1</w:t>
            </w:r>
          </w:p>
        </w:tc>
        <w:tc>
          <w:tcPr>
            <w:tcW w:w="850" w:type="dxa"/>
            <w:shd w:val="clear" w:color="auto" w:fill="auto"/>
            <w:vAlign w:val="center"/>
          </w:tcPr>
          <w:p w14:paraId="6558FCD5">
            <w:pPr>
              <w:spacing w:line="330" w:lineRule="exact"/>
              <w:jc w:val="center"/>
              <w:rPr>
                <w:rFonts w:ascii="宋体" w:hAnsi="宋体" w:cs="宋体"/>
                <w:szCs w:val="21"/>
              </w:rPr>
            </w:pPr>
            <w:r>
              <w:rPr>
                <w:rFonts w:hint="eastAsia" w:ascii="宋体" w:hAnsi="宋体" w:cs="宋体"/>
                <w:szCs w:val="21"/>
              </w:rPr>
              <w:t>项</w:t>
            </w:r>
          </w:p>
        </w:tc>
      </w:tr>
      <w:tr w14:paraId="379E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6D70771C">
            <w:pPr>
              <w:spacing w:line="330" w:lineRule="exact"/>
              <w:jc w:val="center"/>
              <w:rPr>
                <w:rFonts w:ascii="宋体" w:hAnsi="宋体"/>
                <w:bCs/>
                <w:sz w:val="18"/>
                <w:szCs w:val="18"/>
              </w:rPr>
            </w:pPr>
            <w:r>
              <w:rPr>
                <w:rFonts w:hint="eastAsia" w:ascii="宋体" w:hAnsi="宋体"/>
                <w:bCs/>
                <w:sz w:val="18"/>
                <w:szCs w:val="18"/>
              </w:rPr>
              <w:t>4</w:t>
            </w:r>
          </w:p>
        </w:tc>
        <w:tc>
          <w:tcPr>
            <w:tcW w:w="1240" w:type="dxa"/>
            <w:shd w:val="clear" w:color="auto" w:fill="auto"/>
            <w:vAlign w:val="center"/>
          </w:tcPr>
          <w:p w14:paraId="639990E1">
            <w:pPr>
              <w:spacing w:line="330" w:lineRule="exact"/>
              <w:jc w:val="center"/>
              <w:rPr>
                <w:rFonts w:ascii="宋体" w:hAnsi="宋体" w:cs="宋体"/>
                <w:sz w:val="18"/>
                <w:szCs w:val="18"/>
              </w:rPr>
            </w:pPr>
            <w:r>
              <w:rPr>
                <w:rFonts w:hint="eastAsia" w:ascii="宋体" w:hAnsi="宋体" w:cs="宋体"/>
                <w:sz w:val="18"/>
                <w:szCs w:val="18"/>
              </w:rPr>
              <w:t>互联网医院系统系统差距整改咨询服务</w:t>
            </w:r>
          </w:p>
        </w:tc>
        <w:tc>
          <w:tcPr>
            <w:tcW w:w="5381" w:type="dxa"/>
            <w:shd w:val="clear" w:color="auto" w:fill="auto"/>
          </w:tcPr>
          <w:p w14:paraId="3C3294CD">
            <w:pPr>
              <w:spacing w:line="240" w:lineRule="auto"/>
              <w:rPr>
                <w:rFonts w:ascii="宋体" w:hAnsi="宋体" w:cs="宋体"/>
                <w:b/>
                <w:bCs/>
                <w:sz w:val="18"/>
                <w:szCs w:val="18"/>
              </w:rPr>
            </w:pPr>
            <w:r>
              <w:rPr>
                <w:rFonts w:hint="eastAsia" w:ascii="宋体" w:hAnsi="宋体" w:cs="宋体"/>
                <w:b/>
                <w:bCs/>
                <w:sz w:val="18"/>
                <w:szCs w:val="18"/>
              </w:rPr>
              <w:t>1、安全评估服务</w:t>
            </w:r>
          </w:p>
          <w:p w14:paraId="4484769A">
            <w:pPr>
              <w:spacing w:line="240" w:lineRule="auto"/>
              <w:ind w:firstLine="360" w:firstLineChars="200"/>
              <w:rPr>
                <w:rFonts w:ascii="宋体" w:hAnsi="宋体" w:cs="宋体"/>
                <w:sz w:val="18"/>
                <w:szCs w:val="18"/>
              </w:rPr>
            </w:pPr>
            <w:r>
              <w:rPr>
                <w:rFonts w:hint="eastAsia" w:ascii="宋体" w:hAnsi="宋体" w:cs="宋体"/>
                <w:sz w:val="18"/>
                <w:szCs w:val="18"/>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14:paraId="312CF7B1">
            <w:pPr>
              <w:spacing w:line="240" w:lineRule="auto"/>
              <w:rPr>
                <w:rFonts w:ascii="宋体" w:hAnsi="宋体" w:cs="宋体"/>
                <w:b/>
                <w:bCs/>
                <w:sz w:val="18"/>
                <w:szCs w:val="18"/>
              </w:rPr>
            </w:pPr>
            <w:r>
              <w:rPr>
                <w:rFonts w:hint="eastAsia" w:ascii="宋体" w:hAnsi="宋体" w:cs="宋体"/>
                <w:b/>
                <w:bCs/>
                <w:sz w:val="18"/>
                <w:szCs w:val="18"/>
              </w:rPr>
              <w:t>2、差距分析服务</w:t>
            </w:r>
          </w:p>
          <w:p w14:paraId="2B513CCA">
            <w:pPr>
              <w:spacing w:line="240" w:lineRule="auto"/>
              <w:ind w:firstLine="360" w:firstLineChars="200"/>
              <w:rPr>
                <w:rFonts w:ascii="宋体" w:hAnsi="宋体" w:cs="宋体"/>
                <w:sz w:val="18"/>
                <w:szCs w:val="18"/>
              </w:rPr>
            </w:pPr>
            <w:r>
              <w:rPr>
                <w:rFonts w:hint="eastAsia" w:ascii="宋体" w:hAnsi="宋体" w:cs="宋体"/>
                <w:sz w:val="18"/>
                <w:szCs w:val="18"/>
              </w:rPr>
              <w:t>包含依照系统准备差距分析表、安全管理差距分析（通过文档、访谈和测试等方式）、安全技术差距分析（通过文档、访谈等方式）、生成等级保护差距分析报告。</w:t>
            </w:r>
          </w:p>
          <w:p w14:paraId="1E57CBAA">
            <w:pPr>
              <w:spacing w:line="240" w:lineRule="auto"/>
              <w:rPr>
                <w:rFonts w:ascii="宋体" w:hAnsi="宋体" w:cs="宋体"/>
                <w:b/>
                <w:bCs/>
                <w:sz w:val="18"/>
                <w:szCs w:val="18"/>
              </w:rPr>
            </w:pPr>
            <w:r>
              <w:rPr>
                <w:rFonts w:hint="eastAsia" w:ascii="宋体" w:hAnsi="宋体" w:cs="宋体"/>
                <w:b/>
                <w:bCs/>
                <w:sz w:val="18"/>
                <w:szCs w:val="18"/>
              </w:rPr>
              <w:t>3、安全规划服务</w:t>
            </w:r>
          </w:p>
          <w:p w14:paraId="2FA86609">
            <w:pPr>
              <w:spacing w:line="240" w:lineRule="auto"/>
              <w:ind w:firstLine="360" w:firstLineChars="200"/>
              <w:rPr>
                <w:rFonts w:ascii="宋体" w:hAnsi="宋体" w:cs="宋体"/>
                <w:sz w:val="18"/>
                <w:szCs w:val="18"/>
              </w:rPr>
            </w:pPr>
            <w:r>
              <w:rPr>
                <w:rFonts w:hint="eastAsia" w:ascii="宋体" w:hAnsi="宋体" w:cs="宋体"/>
                <w:sz w:val="18"/>
                <w:szCs w:val="18"/>
              </w:rPr>
              <w:t>包含安全需求分析 、安全建设与改建方案的制定、制作原信息系统产品加固方案、测评不符合及部分符合项整改建议、制作新的网络拓扑图、制作安全需求分析报告、编制并确认整体信息系统整改方案。</w:t>
            </w:r>
          </w:p>
          <w:p w14:paraId="1A212CF7">
            <w:pPr>
              <w:spacing w:line="240" w:lineRule="auto"/>
              <w:rPr>
                <w:rFonts w:ascii="宋体" w:hAnsi="宋体" w:cs="宋体"/>
                <w:b/>
                <w:bCs/>
                <w:sz w:val="18"/>
                <w:szCs w:val="18"/>
              </w:rPr>
            </w:pPr>
            <w:r>
              <w:rPr>
                <w:rFonts w:hint="eastAsia" w:ascii="宋体" w:hAnsi="宋体" w:cs="宋体"/>
                <w:b/>
                <w:bCs/>
                <w:sz w:val="18"/>
                <w:szCs w:val="18"/>
              </w:rPr>
              <w:t>4、整改咨询服务</w:t>
            </w:r>
          </w:p>
          <w:p w14:paraId="59AB9A9E">
            <w:pPr>
              <w:spacing w:line="240" w:lineRule="auto"/>
              <w:ind w:firstLine="360" w:firstLineChars="200"/>
              <w:rPr>
                <w:rFonts w:ascii="宋体" w:hAnsi="宋体" w:cs="宋体"/>
                <w:sz w:val="18"/>
                <w:szCs w:val="18"/>
              </w:rPr>
            </w:pPr>
            <w:r>
              <w:rPr>
                <w:rFonts w:hint="eastAsia" w:ascii="宋体" w:hAnsi="宋体" w:cs="宋体"/>
                <w:sz w:val="18"/>
                <w:szCs w:val="18"/>
              </w:rPr>
              <w:t>依据等级保护相关技术标准，协助采购方完成需测评信息系统的安全整改咨询服务，完善信息系统安全防护措施，以期使各信息系统达到等级保护基本符合的要求。</w:t>
            </w:r>
          </w:p>
          <w:p w14:paraId="00701161">
            <w:pPr>
              <w:spacing w:line="240" w:lineRule="auto"/>
              <w:rPr>
                <w:rFonts w:ascii="宋体" w:hAnsi="宋体" w:cs="宋体"/>
                <w:b/>
                <w:bCs/>
                <w:sz w:val="18"/>
                <w:szCs w:val="18"/>
              </w:rPr>
            </w:pPr>
            <w:r>
              <w:rPr>
                <w:rFonts w:hint="eastAsia" w:ascii="宋体" w:hAnsi="宋体" w:cs="宋体"/>
                <w:b/>
                <w:bCs/>
                <w:sz w:val="18"/>
                <w:szCs w:val="18"/>
              </w:rPr>
              <w:t>5、安全咨询服务</w:t>
            </w:r>
          </w:p>
          <w:p w14:paraId="589BC7A5">
            <w:pPr>
              <w:spacing w:line="240" w:lineRule="auto"/>
              <w:ind w:firstLine="360" w:firstLineChars="200"/>
              <w:rPr>
                <w:rFonts w:ascii="宋体" w:hAnsi="宋体" w:cs="宋体"/>
                <w:sz w:val="18"/>
                <w:szCs w:val="18"/>
              </w:rPr>
            </w:pPr>
            <w:r>
              <w:rPr>
                <w:rFonts w:hint="eastAsia" w:ascii="宋体" w:hAnsi="宋体" w:cs="宋体"/>
                <w:sz w:val="18"/>
                <w:szCs w:val="18"/>
              </w:rPr>
              <w:t>由安全服务商提供的电话、邮件、面谈等方式提供各类信息系统安全咨询和建议服务。（时间1年）</w:t>
            </w:r>
          </w:p>
        </w:tc>
        <w:tc>
          <w:tcPr>
            <w:tcW w:w="851" w:type="dxa"/>
            <w:shd w:val="clear" w:color="auto" w:fill="auto"/>
            <w:vAlign w:val="center"/>
          </w:tcPr>
          <w:p w14:paraId="6C0CDAEF">
            <w:pPr>
              <w:spacing w:line="330" w:lineRule="exact"/>
              <w:jc w:val="center"/>
              <w:rPr>
                <w:rFonts w:ascii="宋体" w:hAnsi="宋体" w:cs="宋体"/>
                <w:szCs w:val="21"/>
              </w:rPr>
            </w:pPr>
            <w:r>
              <w:rPr>
                <w:rFonts w:hint="eastAsia" w:ascii="宋体" w:hAnsi="宋体" w:cs="宋体"/>
                <w:szCs w:val="21"/>
              </w:rPr>
              <w:t>1</w:t>
            </w:r>
          </w:p>
        </w:tc>
        <w:tc>
          <w:tcPr>
            <w:tcW w:w="850" w:type="dxa"/>
            <w:shd w:val="clear" w:color="auto" w:fill="auto"/>
            <w:vAlign w:val="center"/>
          </w:tcPr>
          <w:p w14:paraId="4B4155C0">
            <w:pPr>
              <w:spacing w:line="330" w:lineRule="exact"/>
              <w:jc w:val="center"/>
              <w:rPr>
                <w:rFonts w:ascii="宋体" w:hAnsi="宋体" w:cs="宋体"/>
                <w:szCs w:val="21"/>
              </w:rPr>
            </w:pPr>
            <w:r>
              <w:rPr>
                <w:rFonts w:hint="eastAsia" w:ascii="宋体" w:hAnsi="宋体" w:cs="宋体"/>
                <w:szCs w:val="21"/>
              </w:rPr>
              <w:t>项</w:t>
            </w:r>
          </w:p>
        </w:tc>
      </w:tr>
      <w:tr w14:paraId="16ED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6EFB4120">
            <w:pPr>
              <w:spacing w:line="330" w:lineRule="exact"/>
              <w:jc w:val="center"/>
              <w:rPr>
                <w:rFonts w:ascii="宋体" w:hAnsi="宋体"/>
                <w:bCs/>
                <w:sz w:val="18"/>
                <w:szCs w:val="18"/>
              </w:rPr>
            </w:pPr>
          </w:p>
          <w:p w14:paraId="0718B287">
            <w:pPr>
              <w:spacing w:line="330" w:lineRule="exact"/>
              <w:jc w:val="center"/>
              <w:rPr>
                <w:rFonts w:ascii="宋体" w:hAnsi="宋体"/>
                <w:bCs/>
                <w:sz w:val="18"/>
                <w:szCs w:val="18"/>
              </w:rPr>
            </w:pPr>
          </w:p>
          <w:p w14:paraId="3CBFAC9C">
            <w:pPr>
              <w:spacing w:line="330" w:lineRule="exact"/>
              <w:jc w:val="center"/>
              <w:rPr>
                <w:rFonts w:ascii="宋体" w:hAnsi="宋体"/>
                <w:bCs/>
                <w:sz w:val="18"/>
                <w:szCs w:val="18"/>
              </w:rPr>
            </w:pPr>
          </w:p>
          <w:p w14:paraId="138E7C61">
            <w:pPr>
              <w:spacing w:line="330" w:lineRule="exact"/>
              <w:jc w:val="center"/>
              <w:rPr>
                <w:rFonts w:ascii="宋体" w:hAnsi="宋体"/>
                <w:bCs/>
                <w:sz w:val="18"/>
                <w:szCs w:val="18"/>
              </w:rPr>
            </w:pPr>
          </w:p>
          <w:p w14:paraId="5A950EFD">
            <w:pPr>
              <w:spacing w:line="330" w:lineRule="exact"/>
              <w:jc w:val="center"/>
              <w:rPr>
                <w:rFonts w:ascii="宋体" w:hAnsi="宋体"/>
                <w:bCs/>
                <w:sz w:val="18"/>
                <w:szCs w:val="18"/>
              </w:rPr>
            </w:pPr>
          </w:p>
          <w:p w14:paraId="4CA0DE60">
            <w:pPr>
              <w:spacing w:line="330" w:lineRule="exact"/>
              <w:jc w:val="center"/>
              <w:rPr>
                <w:rFonts w:ascii="宋体" w:hAnsi="宋体"/>
                <w:bCs/>
                <w:sz w:val="18"/>
                <w:szCs w:val="18"/>
              </w:rPr>
            </w:pPr>
          </w:p>
          <w:p w14:paraId="0AB8F5C6">
            <w:pPr>
              <w:spacing w:line="330" w:lineRule="exact"/>
              <w:jc w:val="center"/>
              <w:rPr>
                <w:rFonts w:ascii="宋体" w:hAnsi="宋体"/>
                <w:bCs/>
                <w:sz w:val="18"/>
                <w:szCs w:val="18"/>
              </w:rPr>
            </w:pPr>
          </w:p>
          <w:p w14:paraId="5A9656E5">
            <w:pPr>
              <w:spacing w:line="330" w:lineRule="exact"/>
              <w:jc w:val="center"/>
              <w:rPr>
                <w:rFonts w:ascii="宋体" w:hAnsi="宋体"/>
                <w:bCs/>
                <w:sz w:val="18"/>
                <w:szCs w:val="18"/>
              </w:rPr>
            </w:pPr>
          </w:p>
          <w:p w14:paraId="509E9E1C">
            <w:pPr>
              <w:spacing w:line="330" w:lineRule="exact"/>
              <w:jc w:val="center"/>
              <w:rPr>
                <w:rFonts w:ascii="宋体" w:hAnsi="宋体"/>
                <w:bCs/>
                <w:sz w:val="18"/>
                <w:szCs w:val="18"/>
              </w:rPr>
            </w:pPr>
          </w:p>
          <w:p w14:paraId="11A307A8">
            <w:pPr>
              <w:spacing w:line="330" w:lineRule="exact"/>
              <w:jc w:val="center"/>
              <w:rPr>
                <w:rFonts w:ascii="宋体" w:hAnsi="宋体"/>
                <w:bCs/>
                <w:sz w:val="18"/>
                <w:szCs w:val="18"/>
              </w:rPr>
            </w:pPr>
          </w:p>
          <w:p w14:paraId="75002873">
            <w:pPr>
              <w:spacing w:line="330" w:lineRule="exact"/>
              <w:jc w:val="center"/>
              <w:rPr>
                <w:rFonts w:ascii="宋体" w:hAnsi="宋体"/>
                <w:bCs/>
                <w:sz w:val="18"/>
                <w:szCs w:val="18"/>
              </w:rPr>
            </w:pPr>
          </w:p>
          <w:p w14:paraId="5C615CBA">
            <w:pPr>
              <w:spacing w:line="330" w:lineRule="exact"/>
              <w:jc w:val="center"/>
              <w:rPr>
                <w:rFonts w:ascii="宋体" w:hAnsi="宋体"/>
                <w:bCs/>
                <w:sz w:val="18"/>
                <w:szCs w:val="18"/>
              </w:rPr>
            </w:pPr>
          </w:p>
          <w:p w14:paraId="40E43CEC">
            <w:pPr>
              <w:spacing w:line="330" w:lineRule="exact"/>
              <w:jc w:val="center"/>
              <w:rPr>
                <w:rFonts w:ascii="宋体" w:hAnsi="宋体"/>
                <w:bCs/>
                <w:sz w:val="18"/>
                <w:szCs w:val="18"/>
              </w:rPr>
            </w:pPr>
          </w:p>
          <w:p w14:paraId="78A84827">
            <w:pPr>
              <w:spacing w:line="330" w:lineRule="exact"/>
              <w:jc w:val="center"/>
              <w:rPr>
                <w:rFonts w:ascii="宋体" w:hAnsi="宋体"/>
                <w:bCs/>
                <w:sz w:val="18"/>
                <w:szCs w:val="18"/>
              </w:rPr>
            </w:pPr>
          </w:p>
          <w:p w14:paraId="08C19194">
            <w:pPr>
              <w:spacing w:line="330" w:lineRule="exact"/>
              <w:jc w:val="center"/>
              <w:rPr>
                <w:rFonts w:ascii="宋体" w:hAnsi="宋体"/>
                <w:bCs/>
                <w:sz w:val="18"/>
                <w:szCs w:val="18"/>
              </w:rPr>
            </w:pPr>
          </w:p>
          <w:p w14:paraId="52CEF25E">
            <w:pPr>
              <w:spacing w:line="330" w:lineRule="exact"/>
              <w:jc w:val="center"/>
              <w:rPr>
                <w:rFonts w:ascii="宋体" w:hAnsi="宋体"/>
                <w:bCs/>
                <w:sz w:val="18"/>
                <w:szCs w:val="18"/>
              </w:rPr>
            </w:pPr>
          </w:p>
          <w:p w14:paraId="1B24C651">
            <w:pPr>
              <w:spacing w:line="330" w:lineRule="exact"/>
              <w:jc w:val="center"/>
              <w:rPr>
                <w:rFonts w:ascii="宋体" w:hAnsi="宋体"/>
                <w:bCs/>
                <w:sz w:val="18"/>
                <w:szCs w:val="18"/>
              </w:rPr>
            </w:pPr>
          </w:p>
          <w:p w14:paraId="1D924C77">
            <w:pPr>
              <w:spacing w:line="330" w:lineRule="exact"/>
              <w:jc w:val="center"/>
              <w:rPr>
                <w:rFonts w:ascii="宋体" w:hAnsi="宋体"/>
                <w:bCs/>
                <w:sz w:val="18"/>
                <w:szCs w:val="18"/>
              </w:rPr>
            </w:pPr>
          </w:p>
          <w:p w14:paraId="19EFB9E9">
            <w:pPr>
              <w:spacing w:line="330" w:lineRule="exact"/>
              <w:jc w:val="center"/>
              <w:rPr>
                <w:rFonts w:ascii="宋体" w:hAnsi="宋体"/>
                <w:bCs/>
                <w:sz w:val="18"/>
                <w:szCs w:val="18"/>
              </w:rPr>
            </w:pPr>
          </w:p>
          <w:p w14:paraId="4469B962">
            <w:pPr>
              <w:spacing w:line="330" w:lineRule="exact"/>
              <w:jc w:val="center"/>
              <w:rPr>
                <w:rFonts w:ascii="宋体" w:hAnsi="宋体"/>
                <w:bCs/>
                <w:sz w:val="18"/>
                <w:szCs w:val="18"/>
              </w:rPr>
            </w:pPr>
          </w:p>
          <w:p w14:paraId="1E9F067C">
            <w:pPr>
              <w:spacing w:line="330" w:lineRule="exact"/>
              <w:jc w:val="center"/>
              <w:rPr>
                <w:rFonts w:ascii="宋体" w:hAnsi="宋体"/>
                <w:bCs/>
                <w:sz w:val="18"/>
                <w:szCs w:val="18"/>
              </w:rPr>
            </w:pPr>
          </w:p>
          <w:p w14:paraId="7505F182">
            <w:pPr>
              <w:spacing w:line="330" w:lineRule="exact"/>
              <w:jc w:val="center"/>
              <w:rPr>
                <w:rFonts w:ascii="宋体" w:hAnsi="宋体"/>
                <w:bCs/>
                <w:sz w:val="18"/>
                <w:szCs w:val="18"/>
              </w:rPr>
            </w:pPr>
            <w:r>
              <w:rPr>
                <w:rFonts w:hint="eastAsia" w:ascii="宋体" w:hAnsi="宋体"/>
                <w:bCs/>
                <w:sz w:val="18"/>
                <w:szCs w:val="18"/>
              </w:rPr>
              <w:t>5</w:t>
            </w:r>
          </w:p>
        </w:tc>
        <w:tc>
          <w:tcPr>
            <w:tcW w:w="1240" w:type="dxa"/>
            <w:shd w:val="clear" w:color="auto" w:fill="auto"/>
            <w:vAlign w:val="center"/>
          </w:tcPr>
          <w:p w14:paraId="74916480">
            <w:pPr>
              <w:spacing w:line="330" w:lineRule="exact"/>
              <w:jc w:val="center"/>
              <w:rPr>
                <w:rFonts w:ascii="宋体" w:hAnsi="宋体" w:cs="宋体"/>
                <w:sz w:val="18"/>
                <w:szCs w:val="18"/>
              </w:rPr>
            </w:pPr>
          </w:p>
          <w:p w14:paraId="3D1807DA">
            <w:pPr>
              <w:spacing w:line="330" w:lineRule="exact"/>
              <w:jc w:val="center"/>
              <w:rPr>
                <w:rFonts w:ascii="宋体" w:hAnsi="宋体" w:cs="宋体"/>
                <w:sz w:val="18"/>
                <w:szCs w:val="18"/>
              </w:rPr>
            </w:pPr>
          </w:p>
          <w:p w14:paraId="22500778">
            <w:pPr>
              <w:spacing w:line="330" w:lineRule="exact"/>
              <w:jc w:val="center"/>
              <w:rPr>
                <w:rFonts w:ascii="宋体" w:hAnsi="宋体" w:cs="宋体"/>
                <w:sz w:val="18"/>
                <w:szCs w:val="18"/>
              </w:rPr>
            </w:pPr>
          </w:p>
          <w:p w14:paraId="4B766D83">
            <w:pPr>
              <w:spacing w:line="330" w:lineRule="exact"/>
              <w:jc w:val="center"/>
              <w:rPr>
                <w:rFonts w:ascii="宋体" w:hAnsi="宋体" w:cs="宋体"/>
                <w:sz w:val="18"/>
                <w:szCs w:val="18"/>
              </w:rPr>
            </w:pPr>
          </w:p>
          <w:p w14:paraId="02C7DF79">
            <w:pPr>
              <w:spacing w:line="330" w:lineRule="exact"/>
              <w:jc w:val="center"/>
              <w:rPr>
                <w:rFonts w:ascii="宋体" w:hAnsi="宋体" w:cs="宋体"/>
                <w:sz w:val="18"/>
                <w:szCs w:val="18"/>
              </w:rPr>
            </w:pPr>
          </w:p>
          <w:p w14:paraId="5F4F55A1">
            <w:pPr>
              <w:spacing w:line="330" w:lineRule="exact"/>
              <w:jc w:val="center"/>
              <w:rPr>
                <w:rFonts w:ascii="宋体" w:hAnsi="宋体" w:cs="宋体"/>
                <w:sz w:val="18"/>
                <w:szCs w:val="18"/>
              </w:rPr>
            </w:pPr>
          </w:p>
          <w:p w14:paraId="434F7694">
            <w:pPr>
              <w:spacing w:line="330" w:lineRule="exact"/>
              <w:jc w:val="center"/>
              <w:rPr>
                <w:rFonts w:ascii="宋体" w:hAnsi="宋体" w:cs="宋体"/>
                <w:sz w:val="18"/>
                <w:szCs w:val="18"/>
              </w:rPr>
            </w:pPr>
          </w:p>
          <w:p w14:paraId="07A7CA68">
            <w:pPr>
              <w:spacing w:line="330" w:lineRule="exact"/>
              <w:jc w:val="center"/>
              <w:rPr>
                <w:rFonts w:ascii="宋体" w:hAnsi="宋体" w:cs="宋体"/>
                <w:sz w:val="18"/>
                <w:szCs w:val="18"/>
              </w:rPr>
            </w:pPr>
          </w:p>
          <w:p w14:paraId="440A300E">
            <w:pPr>
              <w:spacing w:line="330" w:lineRule="exact"/>
              <w:jc w:val="center"/>
              <w:rPr>
                <w:rFonts w:ascii="宋体" w:hAnsi="宋体" w:cs="宋体"/>
                <w:sz w:val="18"/>
                <w:szCs w:val="18"/>
              </w:rPr>
            </w:pPr>
          </w:p>
          <w:p w14:paraId="6B03F556">
            <w:pPr>
              <w:spacing w:line="330" w:lineRule="exact"/>
              <w:jc w:val="center"/>
              <w:rPr>
                <w:rFonts w:ascii="宋体" w:hAnsi="宋体" w:cs="宋体"/>
                <w:sz w:val="18"/>
                <w:szCs w:val="18"/>
              </w:rPr>
            </w:pPr>
          </w:p>
          <w:p w14:paraId="116CED1D">
            <w:pPr>
              <w:spacing w:line="330" w:lineRule="exact"/>
              <w:jc w:val="center"/>
              <w:rPr>
                <w:rFonts w:ascii="宋体" w:hAnsi="宋体" w:cs="宋体"/>
                <w:sz w:val="18"/>
                <w:szCs w:val="18"/>
              </w:rPr>
            </w:pPr>
          </w:p>
          <w:p w14:paraId="480E4AEB">
            <w:pPr>
              <w:spacing w:line="330" w:lineRule="exact"/>
              <w:jc w:val="center"/>
              <w:rPr>
                <w:rFonts w:ascii="宋体" w:hAnsi="宋体" w:cs="宋体"/>
                <w:sz w:val="18"/>
                <w:szCs w:val="18"/>
              </w:rPr>
            </w:pPr>
          </w:p>
          <w:p w14:paraId="23A42B00">
            <w:pPr>
              <w:spacing w:line="330" w:lineRule="exact"/>
              <w:jc w:val="center"/>
              <w:rPr>
                <w:rFonts w:ascii="宋体" w:hAnsi="宋体" w:cs="宋体"/>
                <w:sz w:val="18"/>
                <w:szCs w:val="18"/>
              </w:rPr>
            </w:pPr>
          </w:p>
          <w:p w14:paraId="579FA3E8">
            <w:pPr>
              <w:spacing w:line="330" w:lineRule="exact"/>
              <w:jc w:val="center"/>
              <w:rPr>
                <w:rFonts w:ascii="宋体" w:hAnsi="宋体" w:cs="宋体"/>
                <w:sz w:val="18"/>
                <w:szCs w:val="18"/>
              </w:rPr>
            </w:pPr>
          </w:p>
          <w:p w14:paraId="3AB77113">
            <w:pPr>
              <w:spacing w:line="330" w:lineRule="exact"/>
              <w:jc w:val="center"/>
              <w:rPr>
                <w:rFonts w:ascii="宋体" w:hAnsi="宋体" w:cs="宋体"/>
                <w:sz w:val="18"/>
                <w:szCs w:val="18"/>
              </w:rPr>
            </w:pPr>
          </w:p>
          <w:p w14:paraId="10F31BBC">
            <w:pPr>
              <w:spacing w:line="330" w:lineRule="exact"/>
              <w:jc w:val="center"/>
              <w:rPr>
                <w:rFonts w:ascii="宋体" w:hAnsi="宋体" w:cs="宋体"/>
                <w:sz w:val="18"/>
                <w:szCs w:val="18"/>
              </w:rPr>
            </w:pPr>
          </w:p>
          <w:p w14:paraId="693FE4C0">
            <w:pPr>
              <w:spacing w:line="330" w:lineRule="exact"/>
              <w:jc w:val="center"/>
              <w:rPr>
                <w:rFonts w:ascii="宋体" w:hAnsi="宋体" w:cs="宋体"/>
                <w:sz w:val="18"/>
                <w:szCs w:val="18"/>
              </w:rPr>
            </w:pPr>
          </w:p>
          <w:p w14:paraId="243E3D72">
            <w:pPr>
              <w:spacing w:line="330" w:lineRule="exact"/>
              <w:jc w:val="center"/>
              <w:rPr>
                <w:rFonts w:ascii="宋体" w:hAnsi="宋体" w:cs="宋体"/>
                <w:sz w:val="18"/>
                <w:szCs w:val="18"/>
              </w:rPr>
            </w:pPr>
          </w:p>
          <w:p w14:paraId="5C3EC1B9">
            <w:pPr>
              <w:spacing w:line="330" w:lineRule="exact"/>
              <w:jc w:val="center"/>
              <w:rPr>
                <w:rFonts w:ascii="宋体" w:hAnsi="宋体" w:cs="宋体"/>
                <w:sz w:val="18"/>
                <w:szCs w:val="18"/>
              </w:rPr>
            </w:pPr>
          </w:p>
          <w:p w14:paraId="63415FC0">
            <w:pPr>
              <w:spacing w:line="330" w:lineRule="exact"/>
              <w:jc w:val="center"/>
              <w:rPr>
                <w:rFonts w:ascii="宋体" w:hAnsi="宋体" w:cs="宋体"/>
                <w:sz w:val="18"/>
                <w:szCs w:val="18"/>
              </w:rPr>
            </w:pPr>
          </w:p>
          <w:p w14:paraId="3D467670">
            <w:pPr>
              <w:spacing w:line="330" w:lineRule="exact"/>
              <w:jc w:val="center"/>
              <w:rPr>
                <w:rFonts w:ascii="宋体" w:hAnsi="宋体" w:cs="宋体"/>
                <w:sz w:val="18"/>
                <w:szCs w:val="18"/>
              </w:rPr>
            </w:pPr>
            <w:r>
              <w:rPr>
                <w:rFonts w:hint="eastAsia" w:ascii="宋体" w:hAnsi="宋体" w:cs="宋体"/>
                <w:sz w:val="18"/>
                <w:szCs w:val="18"/>
              </w:rPr>
              <w:t>HIS系统商用密码评估（三级）</w:t>
            </w:r>
          </w:p>
        </w:tc>
        <w:tc>
          <w:tcPr>
            <w:tcW w:w="5381" w:type="dxa"/>
            <w:shd w:val="clear" w:color="auto" w:fill="auto"/>
          </w:tcPr>
          <w:p w14:paraId="6B963CA5">
            <w:pPr>
              <w:spacing w:line="240" w:lineRule="auto"/>
              <w:jc w:val="both"/>
              <w:rPr>
                <w:rFonts w:ascii="宋体" w:hAnsi="宋体" w:cs="宋体"/>
                <w:b/>
                <w:sz w:val="18"/>
                <w:szCs w:val="18"/>
              </w:rPr>
            </w:pPr>
            <w:r>
              <w:rPr>
                <w:rFonts w:hint="eastAsia" w:ascii="宋体" w:hAnsi="宋体" w:cs="宋体"/>
                <w:b/>
                <w:sz w:val="18"/>
                <w:szCs w:val="18"/>
              </w:rPr>
              <w:t>一、测评服务</w:t>
            </w:r>
          </w:p>
          <w:p w14:paraId="4708A0E4">
            <w:pPr>
              <w:spacing w:line="240" w:lineRule="auto"/>
              <w:jc w:val="both"/>
              <w:rPr>
                <w:rFonts w:ascii="宋体" w:hAnsi="宋体" w:cs="宋体"/>
                <w:b/>
                <w:bCs/>
                <w:sz w:val="18"/>
                <w:szCs w:val="18"/>
              </w:rPr>
            </w:pPr>
            <w:r>
              <w:rPr>
                <w:rFonts w:hint="eastAsia" w:ascii="宋体" w:hAnsi="宋体" w:cs="宋体"/>
                <w:b/>
                <w:bCs/>
                <w:sz w:val="18"/>
                <w:szCs w:val="18"/>
              </w:rPr>
              <w:t>1、总的要求</w:t>
            </w:r>
          </w:p>
          <w:p w14:paraId="785BE502">
            <w:pPr>
              <w:spacing w:line="240" w:lineRule="auto"/>
              <w:ind w:firstLine="360" w:firstLineChars="200"/>
              <w:rPr>
                <w:rFonts w:ascii="宋体" w:hAnsi="宋体" w:cs="宋体"/>
                <w:sz w:val="18"/>
                <w:szCs w:val="18"/>
              </w:rPr>
            </w:pPr>
            <w:r>
              <w:rPr>
                <w:rFonts w:hint="eastAsia" w:ascii="宋体" w:hAnsi="宋体" w:cs="宋体"/>
                <w:sz w:val="18"/>
                <w:szCs w:val="18"/>
              </w:rPr>
              <w:t>为贯彻落实《中华人民共和国密码法》、《商用密码管理条例》与《商用密码应用安全性评估管理办法》中对密码应用与安全性评估要求，拟对</w:t>
            </w:r>
            <w:r>
              <w:rPr>
                <w:rFonts w:hint="eastAsia" w:ascii="宋体" w:hAnsi="宋体" w:cs="宋体"/>
                <w:b/>
                <w:bCs/>
                <w:sz w:val="18"/>
                <w:szCs w:val="18"/>
              </w:rPr>
              <w:t>桂林市人民医院HIS系统（三级）开展密码安全性评估工作</w:t>
            </w:r>
            <w:r>
              <w:rPr>
                <w:rFonts w:hint="eastAsia" w:ascii="宋体" w:hAnsi="宋体" w:cs="宋体"/>
                <w:sz w:val="18"/>
                <w:szCs w:val="18"/>
              </w:rPr>
              <w:t>，评估</w:t>
            </w:r>
            <w:r>
              <w:rPr>
                <w:rFonts w:hint="eastAsia" w:ascii="宋体" w:hAnsi="宋体" w:cs="宋体"/>
                <w:b/>
                <w:bCs/>
                <w:sz w:val="18"/>
                <w:szCs w:val="18"/>
              </w:rPr>
              <w:t>桂林市人民医院HIS系统（三级）</w:t>
            </w:r>
            <w:r>
              <w:rPr>
                <w:rFonts w:hint="eastAsia" w:ascii="宋体" w:hAnsi="宋体" w:cs="宋体"/>
                <w:sz w:val="18"/>
                <w:szCs w:val="18"/>
              </w:rPr>
              <w:t>的密码应用是否合规、正确、有效，并通过测评发现其密码保障系统存在的安全隐患和风险，编制被测评系统的密码应用安全性评估报告，并提出有针对性的加强完善密码安全管理和防护建议。编制《商用密码应用与安全性评估整改建议书》、《商用密码应用与安全性评估报告》。</w:t>
            </w:r>
          </w:p>
          <w:p w14:paraId="622DE317">
            <w:pPr>
              <w:spacing w:line="240" w:lineRule="auto"/>
              <w:jc w:val="both"/>
              <w:rPr>
                <w:rFonts w:ascii="宋体" w:hAnsi="宋体" w:cs="宋体"/>
                <w:b/>
                <w:bCs/>
                <w:sz w:val="18"/>
                <w:szCs w:val="18"/>
              </w:rPr>
            </w:pPr>
            <w:r>
              <w:rPr>
                <w:rFonts w:hint="eastAsia" w:ascii="宋体" w:hAnsi="宋体" w:cs="宋体"/>
                <w:b/>
                <w:bCs/>
                <w:sz w:val="18"/>
                <w:szCs w:val="18"/>
              </w:rPr>
              <w:t>2、测评依据标准</w:t>
            </w:r>
          </w:p>
          <w:p w14:paraId="7E004FF7">
            <w:pPr>
              <w:spacing w:line="240" w:lineRule="auto"/>
              <w:ind w:firstLine="360" w:firstLineChars="200"/>
              <w:rPr>
                <w:rFonts w:ascii="宋体" w:hAnsi="宋体" w:cs="宋体"/>
                <w:sz w:val="18"/>
                <w:szCs w:val="18"/>
              </w:rPr>
            </w:pPr>
            <w:r>
              <w:rPr>
                <w:rFonts w:hint="eastAsia" w:ascii="宋体" w:hAnsi="宋体" w:cs="宋体"/>
                <w:sz w:val="18"/>
                <w:szCs w:val="18"/>
              </w:rPr>
              <w:t>①GB/T 39786-2021《信息安全技术 信息系统密码应用基本要求》</w:t>
            </w:r>
          </w:p>
          <w:p w14:paraId="5CB94184">
            <w:pPr>
              <w:spacing w:line="240" w:lineRule="auto"/>
              <w:ind w:firstLine="360" w:firstLineChars="200"/>
              <w:rPr>
                <w:rFonts w:ascii="宋体" w:hAnsi="宋体" w:cs="宋体"/>
                <w:sz w:val="18"/>
                <w:szCs w:val="18"/>
              </w:rPr>
            </w:pPr>
            <w:r>
              <w:rPr>
                <w:rFonts w:hint="eastAsia" w:ascii="宋体" w:hAnsi="宋体" w:cs="宋体"/>
                <w:sz w:val="18"/>
                <w:szCs w:val="18"/>
              </w:rPr>
              <w:t>②GM/T0115-2021《信息系统密码应用测评要求》</w:t>
            </w:r>
          </w:p>
          <w:p w14:paraId="29FAD62A">
            <w:pPr>
              <w:spacing w:line="240" w:lineRule="auto"/>
              <w:ind w:firstLine="360" w:firstLineChars="200"/>
              <w:rPr>
                <w:rFonts w:ascii="宋体" w:hAnsi="宋体" w:cs="宋体"/>
                <w:sz w:val="18"/>
                <w:szCs w:val="18"/>
              </w:rPr>
            </w:pPr>
            <w:r>
              <w:rPr>
                <w:rFonts w:hint="eastAsia" w:ascii="宋体" w:hAnsi="宋体" w:cs="宋体"/>
                <w:sz w:val="18"/>
                <w:szCs w:val="18"/>
              </w:rPr>
              <w:t>③GM/T0116-2021《信息系统密码应用测评过程指南》</w:t>
            </w:r>
          </w:p>
          <w:p w14:paraId="2D5DF78C">
            <w:pPr>
              <w:spacing w:line="240" w:lineRule="auto"/>
              <w:ind w:firstLine="360" w:firstLineChars="200"/>
              <w:rPr>
                <w:rFonts w:ascii="宋体" w:hAnsi="宋体" w:cs="宋体"/>
                <w:sz w:val="18"/>
                <w:szCs w:val="18"/>
              </w:rPr>
            </w:pPr>
            <w:r>
              <w:rPr>
                <w:rFonts w:hint="eastAsia" w:ascii="宋体" w:hAnsi="宋体" w:cs="宋体"/>
                <w:sz w:val="18"/>
                <w:szCs w:val="18"/>
              </w:rPr>
              <w:t>④信息系统密码应用高风险判定指引（2021）</w:t>
            </w:r>
          </w:p>
          <w:p w14:paraId="09EBF4D3">
            <w:pPr>
              <w:spacing w:line="240" w:lineRule="auto"/>
              <w:ind w:firstLine="360" w:firstLineChars="200"/>
              <w:rPr>
                <w:rFonts w:ascii="宋体" w:hAnsi="宋体" w:cs="宋体"/>
                <w:sz w:val="18"/>
                <w:szCs w:val="18"/>
              </w:rPr>
            </w:pPr>
            <w:r>
              <w:rPr>
                <w:rFonts w:hint="eastAsia" w:ascii="宋体" w:hAnsi="宋体" w:cs="宋体"/>
                <w:sz w:val="18"/>
                <w:szCs w:val="18"/>
              </w:rPr>
              <w:t>⑤商用密码应用安全性评估量化评估规则（2023版）</w:t>
            </w:r>
          </w:p>
          <w:p w14:paraId="3F0B6264">
            <w:pPr>
              <w:spacing w:line="240" w:lineRule="auto"/>
              <w:jc w:val="both"/>
              <w:rPr>
                <w:rFonts w:ascii="宋体" w:hAnsi="宋体" w:cs="宋体"/>
                <w:b/>
                <w:bCs/>
                <w:sz w:val="18"/>
                <w:szCs w:val="18"/>
              </w:rPr>
            </w:pPr>
            <w:r>
              <w:rPr>
                <w:rFonts w:hint="eastAsia" w:ascii="宋体" w:hAnsi="宋体" w:cs="宋体"/>
                <w:b/>
                <w:bCs/>
                <w:sz w:val="18"/>
                <w:szCs w:val="18"/>
              </w:rPr>
              <w:t>3、服务要求</w:t>
            </w:r>
          </w:p>
          <w:p w14:paraId="6B6D797A">
            <w:pPr>
              <w:spacing w:line="240" w:lineRule="auto"/>
              <w:ind w:firstLine="360" w:firstLineChars="200"/>
              <w:rPr>
                <w:rFonts w:ascii="宋体" w:hAnsi="宋体" w:cs="宋体"/>
                <w:sz w:val="18"/>
                <w:szCs w:val="18"/>
              </w:rPr>
            </w:pPr>
            <w:r>
              <w:rPr>
                <w:rFonts w:hint="eastAsia" w:ascii="宋体" w:hAnsi="宋体" w:cs="宋体"/>
                <w:sz w:val="18"/>
                <w:szCs w:val="18"/>
              </w:rPr>
              <w:t>3.1.供应商应依据国家密码法规、密码应用相关技术标准，采用科学的测评方法、流程和工作规范开展商用密码应用安全性评估工作。供应商应具备商用密码应用安全性技术测评实施、管理测评实施、系统整体评估能力。供应商为本项目配备能够依据测评结果做出专业判断以及出具测评报告的能力的测评人员，测评人员必须为通过国家密码管理部门（或其授权的机构）组织的考核（即商用密码应用安全性评估人员测评能力考核证书），遵守国家有关法律法规，按照相关标准，为用户提供安全、客观、公正的评估服务，保证评估的质量和效果。</w:t>
            </w:r>
          </w:p>
          <w:p w14:paraId="01DC61C8">
            <w:pPr>
              <w:spacing w:line="240" w:lineRule="auto"/>
              <w:ind w:firstLine="360" w:firstLineChars="200"/>
              <w:rPr>
                <w:rFonts w:ascii="宋体" w:hAnsi="宋体" w:cs="宋体"/>
                <w:sz w:val="18"/>
                <w:szCs w:val="18"/>
              </w:rPr>
            </w:pPr>
            <w:r>
              <w:rPr>
                <w:rFonts w:hint="eastAsia" w:ascii="宋体" w:hAnsi="宋体" w:cs="宋体"/>
                <w:sz w:val="18"/>
                <w:szCs w:val="18"/>
              </w:rPr>
              <w:t>3.2.供应商应具有完善的测评方案，有计划、按步骤地开展测评工作，且测评方案应专业性强，对系统现状及需求理解应准确，方案应科学合理，内容应完整、可靠性强，实施方法和技术措施应可操作性和有效性强，在签订密评合同后供应商应立即成立密评工作小组，并严格按照合同履行密评责任。</w:t>
            </w:r>
          </w:p>
          <w:p w14:paraId="6C5D28CF">
            <w:pPr>
              <w:spacing w:line="240" w:lineRule="auto"/>
              <w:ind w:firstLine="360" w:firstLineChars="200"/>
              <w:rPr>
                <w:rFonts w:ascii="宋体" w:hAnsi="宋体" w:cs="宋体"/>
                <w:sz w:val="18"/>
                <w:szCs w:val="18"/>
              </w:rPr>
            </w:pPr>
            <w:r>
              <w:rPr>
                <w:rFonts w:hint="eastAsia" w:ascii="宋体" w:hAnsi="宋体" w:cs="宋体"/>
                <w:sz w:val="18"/>
                <w:szCs w:val="18"/>
              </w:rPr>
              <w:t>3.3.为保障密评过程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14:paraId="64582D0A">
            <w:pPr>
              <w:spacing w:line="240" w:lineRule="auto"/>
              <w:ind w:firstLine="360" w:firstLineChars="200"/>
              <w:rPr>
                <w:rFonts w:ascii="宋体" w:hAnsi="宋体" w:cs="宋体"/>
                <w:sz w:val="18"/>
                <w:szCs w:val="18"/>
              </w:rPr>
            </w:pPr>
            <w:r>
              <w:rPr>
                <w:rFonts w:hint="eastAsia" w:ascii="宋体" w:hAnsi="宋体" w:cs="宋体"/>
                <w:sz w:val="18"/>
                <w:szCs w:val="18"/>
              </w:rPr>
              <w:t>3.4.供应商在现场测评工作中必须在不影响采购人信息系统正常运行的前提下进行。</w:t>
            </w:r>
          </w:p>
          <w:p w14:paraId="569036D2">
            <w:pPr>
              <w:spacing w:line="240" w:lineRule="auto"/>
              <w:ind w:firstLine="360" w:firstLineChars="200"/>
              <w:rPr>
                <w:rFonts w:ascii="宋体" w:hAnsi="宋体" w:cs="宋体"/>
                <w:sz w:val="18"/>
                <w:szCs w:val="18"/>
              </w:rPr>
            </w:pPr>
            <w:r>
              <w:rPr>
                <w:rFonts w:hint="eastAsia" w:ascii="宋体" w:hAnsi="宋体" w:cs="宋体"/>
                <w:sz w:val="18"/>
                <w:szCs w:val="18"/>
              </w:rPr>
              <w:t>3.5.供应商应遵守相应的密评工作制度，包括会议制度、密评文件制度、密评记录制度、工作报告制度等，保证密评工作协调有序的进行。</w:t>
            </w:r>
          </w:p>
          <w:p w14:paraId="5F49BFE4">
            <w:pPr>
              <w:spacing w:line="240" w:lineRule="auto"/>
              <w:ind w:firstLine="360" w:firstLineChars="200"/>
              <w:rPr>
                <w:rFonts w:ascii="宋体" w:hAnsi="宋体" w:cs="宋体"/>
                <w:sz w:val="18"/>
                <w:szCs w:val="18"/>
              </w:rPr>
            </w:pPr>
            <w:r>
              <w:rPr>
                <w:rFonts w:hint="eastAsia" w:ascii="宋体" w:hAnsi="宋体" w:cs="宋体"/>
                <w:sz w:val="18"/>
                <w:szCs w:val="18"/>
              </w:rPr>
              <w:t>3.6.供应商应根据被测系统的具体情况，按合同约定，配备满足密评工作需要的人员、设备和工具。为保障密评实施与合同约定服务周期内的服务响应，供应商应具备一定的测评工具开发能力以及在测评服务地进行系统环境模拟实验能力。</w:t>
            </w:r>
          </w:p>
          <w:p w14:paraId="778F9AD4">
            <w:pPr>
              <w:spacing w:line="240" w:lineRule="auto"/>
              <w:ind w:firstLine="360" w:firstLineChars="200"/>
              <w:rPr>
                <w:rFonts w:ascii="宋体" w:hAnsi="宋体" w:cs="宋体"/>
                <w:sz w:val="18"/>
                <w:szCs w:val="18"/>
              </w:rPr>
            </w:pPr>
            <w:r>
              <w:rPr>
                <w:rFonts w:hint="eastAsia" w:ascii="宋体" w:hAnsi="宋体" w:cs="宋体"/>
                <w:sz w:val="18"/>
                <w:szCs w:val="18"/>
              </w:rPr>
              <w:t>3.7.供应商</w:t>
            </w:r>
            <w:r>
              <w:rPr>
                <w:rFonts w:hint="eastAsia" w:ascii="宋体" w:hAnsi="宋体" w:cs="宋体"/>
                <w:sz w:val="18"/>
                <w:szCs w:val="18"/>
                <w:lang w:val="en-US" w:eastAsia="zh-CN"/>
              </w:rPr>
              <w:t>须</w:t>
            </w:r>
            <w:r>
              <w:rPr>
                <w:rFonts w:hint="eastAsia" w:ascii="宋体" w:hAnsi="宋体" w:cs="宋体"/>
                <w:sz w:val="18"/>
                <w:szCs w:val="18"/>
              </w:rPr>
              <w:t>具有快速应急响应服务团队，以保证在整个项目过程中不影响委托单位信息系统的正常运行。</w:t>
            </w:r>
          </w:p>
          <w:p w14:paraId="31C4B0E4">
            <w:pPr>
              <w:spacing w:line="240" w:lineRule="auto"/>
              <w:ind w:firstLine="360" w:firstLineChars="200"/>
              <w:rPr>
                <w:rFonts w:ascii="宋体" w:hAnsi="宋体" w:cs="宋体"/>
                <w:sz w:val="18"/>
                <w:szCs w:val="18"/>
              </w:rPr>
            </w:pPr>
            <w:r>
              <w:rPr>
                <w:rFonts w:hint="eastAsia" w:ascii="宋体" w:hAnsi="宋体" w:cs="宋体"/>
                <w:sz w:val="18"/>
                <w:szCs w:val="18"/>
              </w:rPr>
              <w:t>3.8.供应商</w:t>
            </w:r>
            <w:r>
              <w:rPr>
                <w:rFonts w:hint="eastAsia" w:ascii="宋体" w:hAnsi="宋体" w:cs="宋体"/>
                <w:sz w:val="18"/>
                <w:szCs w:val="18"/>
                <w:lang w:val="en-US" w:eastAsia="zh-CN"/>
              </w:rPr>
              <w:t>须具有</w:t>
            </w:r>
            <w:r>
              <w:rPr>
                <w:rFonts w:hint="eastAsia" w:ascii="宋体" w:hAnsi="宋体" w:cs="宋体"/>
                <w:sz w:val="18"/>
                <w:szCs w:val="18"/>
              </w:rPr>
              <w:t>质量控制的能力和质量管理体系，以保证测评工作的客观、公正、安全。供应商针对本项目测评过程中的质量管理方案内项目质量管理应完备，项目质量保障措施应科学、可行、完善，项目管理与风险应控制合理。</w:t>
            </w:r>
          </w:p>
          <w:p w14:paraId="3527801D">
            <w:pPr>
              <w:spacing w:line="240" w:lineRule="auto"/>
              <w:ind w:firstLine="360" w:firstLineChars="200"/>
              <w:rPr>
                <w:rFonts w:ascii="宋体" w:hAnsi="宋体" w:cs="宋体"/>
                <w:sz w:val="18"/>
                <w:szCs w:val="18"/>
              </w:rPr>
            </w:pPr>
            <w:r>
              <w:rPr>
                <w:rFonts w:hint="eastAsia" w:ascii="宋体" w:hAnsi="宋体" w:cs="宋体"/>
                <w:sz w:val="18"/>
                <w:szCs w:val="18"/>
              </w:rPr>
              <w:t>3.9.</w:t>
            </w:r>
            <w:bookmarkStart w:id="0" w:name="_Hlk105404081"/>
            <w:r>
              <w:rPr>
                <w:rFonts w:hint="eastAsia" w:ascii="宋体" w:hAnsi="宋体" w:cs="宋体"/>
                <w:sz w:val="18"/>
                <w:szCs w:val="18"/>
              </w:rPr>
              <w:t>供应商</w:t>
            </w:r>
            <w:r>
              <w:rPr>
                <w:rFonts w:hint="eastAsia" w:ascii="宋体" w:hAnsi="宋体" w:cs="宋体"/>
                <w:sz w:val="18"/>
                <w:szCs w:val="18"/>
                <w:lang w:val="en-US" w:eastAsia="zh-CN"/>
              </w:rPr>
              <w:t>须</w:t>
            </w:r>
            <w:r>
              <w:rPr>
                <w:rFonts w:hint="eastAsia" w:ascii="宋体" w:hAnsi="宋体" w:cs="宋体"/>
                <w:sz w:val="18"/>
                <w:szCs w:val="18"/>
              </w:rPr>
              <w:t>配有配备密评网络抓包、密码算法、协议分析工具、随机数检测工具以及常用密码设备，且应具有模拟以及验证被测评系统密码应用方案的能力。</w:t>
            </w:r>
          </w:p>
          <w:p w14:paraId="10D754FB">
            <w:pPr>
              <w:spacing w:line="240" w:lineRule="auto"/>
              <w:ind w:firstLine="360" w:firstLineChars="200"/>
              <w:rPr>
                <w:rFonts w:ascii="宋体" w:hAnsi="宋体" w:cs="宋体"/>
                <w:sz w:val="18"/>
                <w:szCs w:val="18"/>
              </w:rPr>
            </w:pPr>
            <w:r>
              <w:rPr>
                <w:rFonts w:hint="eastAsia" w:ascii="宋体" w:hAnsi="宋体" w:cs="宋体"/>
                <w:sz w:val="18"/>
                <w:szCs w:val="18"/>
              </w:rPr>
              <w:t>3.10.供应商完成商用密码应用安全性评估工作后，应协助用户在30日内将评估结果报国家密码管理部门备案。</w:t>
            </w:r>
          </w:p>
          <w:p w14:paraId="2908E8F7">
            <w:pPr>
              <w:spacing w:line="240" w:lineRule="auto"/>
              <w:ind w:firstLine="360" w:firstLineChars="200"/>
              <w:rPr>
                <w:rFonts w:ascii="宋体" w:hAnsi="宋体" w:cs="宋体"/>
                <w:sz w:val="18"/>
                <w:szCs w:val="18"/>
              </w:rPr>
            </w:pPr>
            <w:r>
              <w:rPr>
                <w:rFonts w:hint="eastAsia" w:ascii="宋体" w:hAnsi="宋体" w:cs="宋体"/>
                <w:sz w:val="18"/>
                <w:szCs w:val="18"/>
              </w:rPr>
              <w:t>3.12.供应商在验收时应提交密码安全测评工作的档案。</w:t>
            </w:r>
          </w:p>
          <w:bookmarkEnd w:id="0"/>
          <w:p w14:paraId="32FCF27A">
            <w:pPr>
              <w:spacing w:line="240" w:lineRule="auto"/>
              <w:jc w:val="both"/>
              <w:rPr>
                <w:rFonts w:ascii="宋体" w:hAnsi="宋体" w:cs="宋体"/>
                <w:b/>
                <w:bCs/>
                <w:sz w:val="18"/>
                <w:szCs w:val="18"/>
              </w:rPr>
            </w:pPr>
            <w:r>
              <w:rPr>
                <w:rFonts w:hint="eastAsia" w:ascii="宋体" w:hAnsi="宋体" w:cs="宋体"/>
                <w:b/>
                <w:bCs/>
                <w:sz w:val="18"/>
                <w:szCs w:val="18"/>
              </w:rPr>
              <w:t>4、商用密码评估资质要求</w:t>
            </w:r>
          </w:p>
          <w:p w14:paraId="589F8278">
            <w:pPr>
              <w:spacing w:line="240" w:lineRule="auto"/>
              <w:ind w:firstLine="360" w:firstLineChars="200"/>
              <w:rPr>
                <w:rFonts w:hint="eastAsia" w:ascii="宋体" w:hAnsi="宋体" w:cs="宋体"/>
                <w:sz w:val="18"/>
                <w:szCs w:val="18"/>
              </w:rPr>
            </w:pPr>
            <w:r>
              <w:rPr>
                <w:rFonts w:hint="eastAsia" w:ascii="宋体" w:hAnsi="宋体" w:cs="宋体"/>
                <w:sz w:val="18"/>
                <w:szCs w:val="18"/>
              </w:rPr>
              <w:t>4.1.</w:t>
            </w:r>
            <w:r>
              <w:rPr>
                <w:rFonts w:hint="eastAsia"/>
                <w:sz w:val="18"/>
                <w:szCs w:val="18"/>
              </w:rPr>
              <w:t xml:space="preserve"> </w:t>
            </w:r>
            <w:r>
              <w:rPr>
                <w:rFonts w:hint="eastAsia" w:ascii="宋体" w:hAnsi="宋体" w:cs="宋体"/>
                <w:sz w:val="18"/>
                <w:szCs w:val="18"/>
                <w:lang w:val="en-US" w:eastAsia="zh-CN"/>
              </w:rPr>
              <w:t>测评机构</w:t>
            </w:r>
            <w:r>
              <w:rPr>
                <w:rFonts w:hint="eastAsia" w:ascii="宋体" w:hAnsi="宋体" w:cs="宋体"/>
                <w:sz w:val="18"/>
                <w:szCs w:val="18"/>
              </w:rPr>
              <w:t>必须在国家密码管理局公告（第42号）的商用密码应用安全性评估试点机构目录中或提供国家密码管理局《国密局字[2021]183号通知》中审批通过的“可在本地区、本行业（领域）开展密码应用安全性评估业资质的密评机构名单”的相关证明材料。提供证书或证明复印件并加盖公章。</w:t>
            </w:r>
          </w:p>
          <w:p w14:paraId="1A1B185E">
            <w:pPr>
              <w:spacing w:line="240" w:lineRule="auto"/>
              <w:ind w:firstLine="360" w:firstLineChars="200"/>
              <w:rPr>
                <w:rFonts w:ascii="宋体" w:hAnsi="宋体" w:cs="宋体"/>
                <w:sz w:val="18"/>
                <w:szCs w:val="18"/>
              </w:rPr>
            </w:pPr>
            <w:r>
              <w:rPr>
                <w:rFonts w:hint="eastAsia" w:ascii="宋体" w:hAnsi="宋体" w:cs="宋体"/>
                <w:sz w:val="18"/>
                <w:szCs w:val="18"/>
              </w:rPr>
              <w:t>4.2</w:t>
            </w:r>
            <w:r>
              <w:rPr>
                <w:rFonts w:hint="eastAsia" w:ascii="宋体" w:hAnsi="宋体" w:cs="宋体"/>
                <w:sz w:val="18"/>
                <w:szCs w:val="18"/>
                <w:lang w:val="en-US" w:eastAsia="zh-CN"/>
              </w:rPr>
              <w:t>.</w:t>
            </w:r>
            <w:r>
              <w:rPr>
                <w:rFonts w:hint="eastAsia" w:ascii="宋体" w:hAnsi="宋体" w:cs="宋体"/>
                <w:sz w:val="18"/>
                <w:szCs w:val="18"/>
              </w:rPr>
              <w:t>项目组成员应具备合格的商用密码应用安全性评估人员测评能力考核证书至少2人。全程协助招标方在网络和信息系统安全方面工作，在本项目进行期间，未经采购人同意，测评过程中不得离场，且中途不得更换人员，也不得将检测任务分包或转包。</w:t>
            </w:r>
          </w:p>
        </w:tc>
        <w:tc>
          <w:tcPr>
            <w:tcW w:w="851" w:type="dxa"/>
            <w:shd w:val="clear" w:color="auto" w:fill="auto"/>
            <w:vAlign w:val="center"/>
          </w:tcPr>
          <w:p w14:paraId="78BAF98A">
            <w:pPr>
              <w:spacing w:line="33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850" w:type="dxa"/>
            <w:shd w:val="clear" w:color="auto" w:fill="auto"/>
            <w:vAlign w:val="center"/>
          </w:tcPr>
          <w:p w14:paraId="5632A96C">
            <w:pPr>
              <w:spacing w:line="330" w:lineRule="exact"/>
              <w:jc w:val="center"/>
              <w:rPr>
                <w:rFonts w:hint="eastAsia" w:ascii="宋体" w:hAnsi="宋体" w:eastAsia="宋体" w:cs="宋体"/>
                <w:szCs w:val="21"/>
                <w:lang w:val="en-US" w:eastAsia="zh-CN"/>
              </w:rPr>
            </w:pPr>
            <w:r>
              <w:rPr>
                <w:rFonts w:hint="eastAsia" w:ascii="宋体" w:hAnsi="宋体" w:cs="宋体"/>
                <w:szCs w:val="21"/>
                <w:lang w:val="en-US" w:eastAsia="zh-CN"/>
              </w:rPr>
              <w:t>项</w:t>
            </w:r>
          </w:p>
        </w:tc>
      </w:tr>
      <w:tr w14:paraId="4742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69F2ACEA">
            <w:pPr>
              <w:spacing w:line="330" w:lineRule="exact"/>
              <w:jc w:val="center"/>
              <w:rPr>
                <w:rFonts w:ascii="宋体" w:hAnsi="宋体"/>
                <w:bCs/>
                <w:sz w:val="18"/>
                <w:szCs w:val="18"/>
              </w:rPr>
            </w:pPr>
          </w:p>
          <w:p w14:paraId="21F0247E">
            <w:pPr>
              <w:spacing w:line="330" w:lineRule="exact"/>
              <w:jc w:val="center"/>
              <w:rPr>
                <w:rFonts w:ascii="宋体" w:hAnsi="宋体"/>
                <w:bCs/>
                <w:sz w:val="18"/>
                <w:szCs w:val="18"/>
              </w:rPr>
            </w:pPr>
          </w:p>
          <w:p w14:paraId="7FE0D395">
            <w:pPr>
              <w:spacing w:line="330" w:lineRule="exact"/>
              <w:jc w:val="center"/>
              <w:rPr>
                <w:rFonts w:ascii="宋体" w:hAnsi="宋体"/>
                <w:bCs/>
                <w:sz w:val="18"/>
                <w:szCs w:val="18"/>
              </w:rPr>
            </w:pPr>
          </w:p>
          <w:p w14:paraId="2B44DE5B">
            <w:pPr>
              <w:spacing w:line="330" w:lineRule="exact"/>
              <w:jc w:val="center"/>
              <w:rPr>
                <w:rFonts w:ascii="宋体" w:hAnsi="宋体"/>
                <w:bCs/>
                <w:sz w:val="18"/>
                <w:szCs w:val="18"/>
              </w:rPr>
            </w:pPr>
          </w:p>
          <w:p w14:paraId="40A760FB">
            <w:pPr>
              <w:spacing w:line="330" w:lineRule="exact"/>
              <w:jc w:val="center"/>
              <w:rPr>
                <w:rFonts w:ascii="宋体" w:hAnsi="宋体"/>
                <w:bCs/>
                <w:sz w:val="18"/>
                <w:szCs w:val="18"/>
              </w:rPr>
            </w:pPr>
          </w:p>
          <w:p w14:paraId="31AB12C5">
            <w:pPr>
              <w:spacing w:line="330" w:lineRule="exact"/>
              <w:jc w:val="center"/>
              <w:rPr>
                <w:rFonts w:ascii="宋体" w:hAnsi="宋体"/>
                <w:bCs/>
                <w:sz w:val="18"/>
                <w:szCs w:val="18"/>
              </w:rPr>
            </w:pPr>
          </w:p>
          <w:p w14:paraId="18B12177">
            <w:pPr>
              <w:spacing w:line="330" w:lineRule="exact"/>
              <w:jc w:val="center"/>
              <w:rPr>
                <w:rFonts w:ascii="宋体" w:hAnsi="宋体"/>
                <w:bCs/>
                <w:sz w:val="18"/>
                <w:szCs w:val="18"/>
              </w:rPr>
            </w:pPr>
          </w:p>
          <w:p w14:paraId="7ADD1EF6">
            <w:pPr>
              <w:spacing w:line="330" w:lineRule="exact"/>
              <w:jc w:val="center"/>
              <w:rPr>
                <w:rFonts w:ascii="宋体" w:hAnsi="宋体"/>
                <w:bCs/>
                <w:sz w:val="18"/>
                <w:szCs w:val="18"/>
              </w:rPr>
            </w:pPr>
          </w:p>
          <w:p w14:paraId="29A1C37B">
            <w:pPr>
              <w:spacing w:line="330" w:lineRule="exact"/>
              <w:jc w:val="center"/>
              <w:rPr>
                <w:rFonts w:ascii="宋体" w:hAnsi="宋体"/>
                <w:bCs/>
                <w:sz w:val="18"/>
                <w:szCs w:val="18"/>
              </w:rPr>
            </w:pPr>
          </w:p>
          <w:p w14:paraId="0AEB3684">
            <w:pPr>
              <w:spacing w:line="330" w:lineRule="exact"/>
              <w:jc w:val="center"/>
              <w:rPr>
                <w:rFonts w:ascii="宋体" w:hAnsi="宋体"/>
                <w:bCs/>
                <w:sz w:val="18"/>
                <w:szCs w:val="18"/>
              </w:rPr>
            </w:pPr>
          </w:p>
          <w:p w14:paraId="71A5F7FC">
            <w:pPr>
              <w:spacing w:line="330" w:lineRule="exact"/>
              <w:jc w:val="center"/>
              <w:rPr>
                <w:rFonts w:ascii="宋体" w:hAnsi="宋体"/>
                <w:bCs/>
                <w:sz w:val="18"/>
                <w:szCs w:val="18"/>
              </w:rPr>
            </w:pPr>
          </w:p>
          <w:p w14:paraId="5DF54405">
            <w:pPr>
              <w:spacing w:line="330" w:lineRule="exact"/>
              <w:jc w:val="center"/>
              <w:rPr>
                <w:rFonts w:ascii="宋体" w:hAnsi="宋体"/>
                <w:bCs/>
                <w:sz w:val="18"/>
                <w:szCs w:val="18"/>
              </w:rPr>
            </w:pPr>
          </w:p>
          <w:p w14:paraId="2A426321">
            <w:pPr>
              <w:spacing w:line="330" w:lineRule="exact"/>
              <w:jc w:val="center"/>
              <w:rPr>
                <w:rFonts w:ascii="宋体" w:hAnsi="宋体"/>
                <w:bCs/>
                <w:sz w:val="18"/>
                <w:szCs w:val="18"/>
              </w:rPr>
            </w:pPr>
          </w:p>
          <w:p w14:paraId="0A54CA16">
            <w:pPr>
              <w:spacing w:line="330" w:lineRule="exact"/>
              <w:jc w:val="center"/>
              <w:rPr>
                <w:rFonts w:ascii="宋体" w:hAnsi="宋体"/>
                <w:bCs/>
                <w:sz w:val="18"/>
                <w:szCs w:val="18"/>
              </w:rPr>
            </w:pPr>
          </w:p>
          <w:p w14:paraId="6FAFB31E">
            <w:pPr>
              <w:spacing w:line="330" w:lineRule="exact"/>
              <w:jc w:val="center"/>
              <w:rPr>
                <w:rFonts w:ascii="宋体" w:hAnsi="宋体"/>
                <w:bCs/>
                <w:sz w:val="18"/>
                <w:szCs w:val="18"/>
              </w:rPr>
            </w:pPr>
          </w:p>
          <w:p w14:paraId="016CC81A">
            <w:pPr>
              <w:spacing w:line="330" w:lineRule="exact"/>
              <w:jc w:val="center"/>
              <w:rPr>
                <w:rFonts w:ascii="宋体" w:hAnsi="宋体"/>
                <w:bCs/>
                <w:sz w:val="18"/>
                <w:szCs w:val="18"/>
              </w:rPr>
            </w:pPr>
          </w:p>
          <w:p w14:paraId="4BEE666E">
            <w:pPr>
              <w:spacing w:line="330" w:lineRule="exact"/>
              <w:jc w:val="center"/>
              <w:rPr>
                <w:rFonts w:ascii="宋体" w:hAnsi="宋体"/>
                <w:bCs/>
                <w:sz w:val="18"/>
                <w:szCs w:val="18"/>
              </w:rPr>
            </w:pPr>
          </w:p>
          <w:p w14:paraId="6413D6A5">
            <w:pPr>
              <w:spacing w:line="330" w:lineRule="exact"/>
              <w:jc w:val="center"/>
              <w:rPr>
                <w:rFonts w:ascii="宋体" w:hAnsi="宋体"/>
                <w:bCs/>
                <w:sz w:val="18"/>
                <w:szCs w:val="18"/>
              </w:rPr>
            </w:pPr>
          </w:p>
          <w:p w14:paraId="21165959">
            <w:pPr>
              <w:spacing w:line="330" w:lineRule="exact"/>
              <w:jc w:val="center"/>
              <w:rPr>
                <w:rFonts w:ascii="宋体" w:hAnsi="宋体"/>
                <w:bCs/>
                <w:sz w:val="18"/>
                <w:szCs w:val="18"/>
              </w:rPr>
            </w:pPr>
          </w:p>
          <w:p w14:paraId="78742F41">
            <w:pPr>
              <w:spacing w:line="330" w:lineRule="exact"/>
              <w:jc w:val="center"/>
              <w:rPr>
                <w:rFonts w:ascii="宋体" w:hAnsi="宋体"/>
                <w:bCs/>
                <w:sz w:val="18"/>
                <w:szCs w:val="18"/>
              </w:rPr>
            </w:pPr>
            <w:r>
              <w:rPr>
                <w:rFonts w:hint="eastAsia" w:ascii="宋体" w:hAnsi="宋体"/>
                <w:bCs/>
                <w:sz w:val="18"/>
                <w:szCs w:val="18"/>
              </w:rPr>
              <w:t>6</w:t>
            </w:r>
          </w:p>
        </w:tc>
        <w:tc>
          <w:tcPr>
            <w:tcW w:w="1240" w:type="dxa"/>
            <w:shd w:val="clear" w:color="auto" w:fill="auto"/>
            <w:vAlign w:val="center"/>
          </w:tcPr>
          <w:p w14:paraId="3DA98F45">
            <w:pPr>
              <w:spacing w:line="330" w:lineRule="exact"/>
              <w:jc w:val="both"/>
              <w:rPr>
                <w:rFonts w:ascii="宋体" w:hAnsi="宋体" w:cs="宋体"/>
                <w:sz w:val="18"/>
                <w:szCs w:val="18"/>
              </w:rPr>
            </w:pPr>
          </w:p>
          <w:p w14:paraId="4CA6EB00">
            <w:pPr>
              <w:spacing w:line="330" w:lineRule="exact"/>
              <w:jc w:val="both"/>
              <w:rPr>
                <w:rFonts w:ascii="宋体" w:hAnsi="宋体" w:cs="宋体"/>
                <w:sz w:val="18"/>
                <w:szCs w:val="18"/>
              </w:rPr>
            </w:pPr>
          </w:p>
          <w:p w14:paraId="4C7FF399">
            <w:pPr>
              <w:spacing w:line="330" w:lineRule="exact"/>
              <w:jc w:val="both"/>
              <w:rPr>
                <w:rFonts w:ascii="宋体" w:hAnsi="宋体" w:cs="宋体"/>
                <w:sz w:val="18"/>
                <w:szCs w:val="18"/>
              </w:rPr>
            </w:pPr>
          </w:p>
          <w:p w14:paraId="4A119640">
            <w:pPr>
              <w:spacing w:line="330" w:lineRule="exact"/>
              <w:jc w:val="both"/>
              <w:rPr>
                <w:rFonts w:ascii="宋体" w:hAnsi="宋体" w:cs="宋体"/>
                <w:sz w:val="18"/>
                <w:szCs w:val="18"/>
              </w:rPr>
            </w:pPr>
          </w:p>
          <w:p w14:paraId="751B6FAD">
            <w:pPr>
              <w:spacing w:line="330" w:lineRule="exact"/>
              <w:jc w:val="both"/>
              <w:rPr>
                <w:rFonts w:ascii="宋体" w:hAnsi="宋体" w:cs="宋体"/>
                <w:sz w:val="18"/>
                <w:szCs w:val="18"/>
              </w:rPr>
            </w:pPr>
          </w:p>
          <w:p w14:paraId="163F2BB9">
            <w:pPr>
              <w:spacing w:line="330" w:lineRule="exact"/>
              <w:jc w:val="both"/>
              <w:rPr>
                <w:rFonts w:ascii="宋体" w:hAnsi="宋体" w:cs="宋体"/>
                <w:sz w:val="18"/>
                <w:szCs w:val="18"/>
              </w:rPr>
            </w:pPr>
          </w:p>
          <w:p w14:paraId="270D9CB1">
            <w:pPr>
              <w:spacing w:line="330" w:lineRule="exact"/>
              <w:jc w:val="both"/>
              <w:rPr>
                <w:rFonts w:ascii="宋体" w:hAnsi="宋体" w:cs="宋体"/>
                <w:sz w:val="18"/>
                <w:szCs w:val="18"/>
              </w:rPr>
            </w:pPr>
          </w:p>
          <w:p w14:paraId="196EEB65">
            <w:pPr>
              <w:spacing w:line="330" w:lineRule="exact"/>
              <w:jc w:val="both"/>
              <w:rPr>
                <w:rFonts w:ascii="宋体" w:hAnsi="宋体" w:cs="宋体"/>
                <w:sz w:val="18"/>
                <w:szCs w:val="18"/>
              </w:rPr>
            </w:pPr>
          </w:p>
          <w:p w14:paraId="1A86C13E">
            <w:pPr>
              <w:spacing w:line="330" w:lineRule="exact"/>
              <w:jc w:val="both"/>
              <w:rPr>
                <w:rFonts w:ascii="宋体" w:hAnsi="宋体" w:cs="宋体"/>
                <w:sz w:val="18"/>
                <w:szCs w:val="18"/>
              </w:rPr>
            </w:pPr>
          </w:p>
          <w:p w14:paraId="1FF01591">
            <w:pPr>
              <w:spacing w:line="330" w:lineRule="exact"/>
              <w:jc w:val="both"/>
              <w:rPr>
                <w:rFonts w:ascii="宋体" w:hAnsi="宋体" w:cs="宋体"/>
                <w:sz w:val="18"/>
                <w:szCs w:val="18"/>
              </w:rPr>
            </w:pPr>
          </w:p>
          <w:p w14:paraId="629EA939">
            <w:pPr>
              <w:spacing w:line="330" w:lineRule="exact"/>
              <w:jc w:val="both"/>
              <w:rPr>
                <w:rFonts w:ascii="宋体" w:hAnsi="宋体" w:cs="宋体"/>
                <w:sz w:val="18"/>
                <w:szCs w:val="18"/>
              </w:rPr>
            </w:pPr>
          </w:p>
          <w:p w14:paraId="4C180CFB">
            <w:pPr>
              <w:spacing w:line="330" w:lineRule="exact"/>
              <w:jc w:val="both"/>
              <w:rPr>
                <w:rFonts w:ascii="宋体" w:hAnsi="宋体" w:cs="宋体"/>
                <w:sz w:val="18"/>
                <w:szCs w:val="18"/>
              </w:rPr>
            </w:pPr>
          </w:p>
          <w:p w14:paraId="29C82344">
            <w:pPr>
              <w:spacing w:line="330" w:lineRule="exact"/>
              <w:jc w:val="both"/>
              <w:rPr>
                <w:rFonts w:ascii="宋体" w:hAnsi="宋体" w:cs="宋体"/>
                <w:sz w:val="18"/>
                <w:szCs w:val="18"/>
              </w:rPr>
            </w:pPr>
          </w:p>
          <w:p w14:paraId="307447D5">
            <w:pPr>
              <w:spacing w:line="330" w:lineRule="exact"/>
              <w:jc w:val="both"/>
              <w:rPr>
                <w:rFonts w:ascii="宋体" w:hAnsi="宋体" w:cs="宋体"/>
                <w:sz w:val="18"/>
                <w:szCs w:val="18"/>
              </w:rPr>
            </w:pPr>
          </w:p>
          <w:p w14:paraId="4E97C9E0">
            <w:pPr>
              <w:spacing w:line="330" w:lineRule="exact"/>
              <w:jc w:val="both"/>
              <w:rPr>
                <w:rFonts w:ascii="宋体" w:hAnsi="宋体" w:cs="宋体"/>
                <w:sz w:val="18"/>
                <w:szCs w:val="18"/>
              </w:rPr>
            </w:pPr>
          </w:p>
          <w:p w14:paraId="530CBCCE">
            <w:pPr>
              <w:spacing w:line="330" w:lineRule="exact"/>
              <w:jc w:val="both"/>
              <w:rPr>
                <w:rFonts w:ascii="宋体" w:hAnsi="宋体" w:cs="宋体"/>
                <w:sz w:val="18"/>
                <w:szCs w:val="18"/>
              </w:rPr>
            </w:pPr>
          </w:p>
          <w:p w14:paraId="384DFE92">
            <w:pPr>
              <w:spacing w:line="330" w:lineRule="exact"/>
              <w:jc w:val="both"/>
              <w:rPr>
                <w:rFonts w:ascii="宋体" w:hAnsi="宋体" w:cs="宋体"/>
                <w:sz w:val="18"/>
                <w:szCs w:val="18"/>
              </w:rPr>
            </w:pPr>
          </w:p>
          <w:p w14:paraId="293E3A2C">
            <w:pPr>
              <w:spacing w:line="330" w:lineRule="exact"/>
              <w:jc w:val="both"/>
              <w:rPr>
                <w:rFonts w:ascii="宋体" w:hAnsi="宋体" w:cs="宋体"/>
                <w:sz w:val="18"/>
                <w:szCs w:val="18"/>
              </w:rPr>
            </w:pPr>
            <w:r>
              <w:rPr>
                <w:rFonts w:hint="eastAsia" w:ascii="宋体" w:hAnsi="宋体" w:cs="宋体"/>
                <w:sz w:val="18"/>
                <w:szCs w:val="18"/>
              </w:rPr>
              <w:t>互联网医院系统商用密评评估（三级）</w:t>
            </w:r>
          </w:p>
        </w:tc>
        <w:tc>
          <w:tcPr>
            <w:tcW w:w="5381" w:type="dxa"/>
            <w:shd w:val="clear" w:color="auto" w:fill="auto"/>
          </w:tcPr>
          <w:p w14:paraId="5CD71974">
            <w:pPr>
              <w:spacing w:line="240" w:lineRule="auto"/>
              <w:jc w:val="both"/>
              <w:rPr>
                <w:rFonts w:ascii="宋体" w:hAnsi="宋体" w:cs="宋体"/>
                <w:b/>
                <w:sz w:val="18"/>
                <w:szCs w:val="18"/>
              </w:rPr>
            </w:pPr>
            <w:r>
              <w:rPr>
                <w:rFonts w:hint="eastAsia" w:ascii="宋体" w:hAnsi="宋体" w:cs="宋体"/>
                <w:b/>
                <w:sz w:val="18"/>
                <w:szCs w:val="18"/>
              </w:rPr>
              <w:t>一、测评服务</w:t>
            </w:r>
          </w:p>
          <w:p w14:paraId="67EFE0A3">
            <w:pPr>
              <w:spacing w:line="240" w:lineRule="auto"/>
              <w:jc w:val="both"/>
              <w:rPr>
                <w:rFonts w:ascii="宋体" w:hAnsi="宋体" w:cs="宋体"/>
                <w:b/>
                <w:bCs/>
                <w:sz w:val="18"/>
                <w:szCs w:val="18"/>
              </w:rPr>
            </w:pPr>
            <w:r>
              <w:rPr>
                <w:rFonts w:hint="eastAsia" w:ascii="宋体" w:hAnsi="宋体" w:cs="宋体"/>
                <w:b/>
                <w:bCs/>
                <w:sz w:val="18"/>
                <w:szCs w:val="18"/>
              </w:rPr>
              <w:t>1、总的要求</w:t>
            </w:r>
          </w:p>
          <w:p w14:paraId="5D98B159">
            <w:pPr>
              <w:spacing w:line="240" w:lineRule="auto"/>
              <w:ind w:firstLine="360" w:firstLineChars="200"/>
              <w:rPr>
                <w:rFonts w:ascii="宋体" w:hAnsi="宋体" w:cs="宋体"/>
                <w:sz w:val="18"/>
                <w:szCs w:val="18"/>
              </w:rPr>
            </w:pPr>
            <w:r>
              <w:rPr>
                <w:rFonts w:hint="eastAsia" w:ascii="宋体" w:hAnsi="宋体" w:cs="宋体"/>
                <w:sz w:val="18"/>
                <w:szCs w:val="18"/>
              </w:rPr>
              <w:t>为贯彻落实《中华人民共和国密码法》、《商用密码管理条例》与《商用密码应用安全性评估管理办法》中对密码应用与安全性评估要求，拟对</w:t>
            </w:r>
            <w:r>
              <w:rPr>
                <w:rFonts w:hint="eastAsia" w:ascii="宋体" w:hAnsi="宋体" w:cs="宋体"/>
                <w:b/>
                <w:bCs/>
                <w:sz w:val="18"/>
                <w:szCs w:val="18"/>
              </w:rPr>
              <w:t>互联网医院系统商用密评评估（三级）</w:t>
            </w:r>
            <w:r>
              <w:rPr>
                <w:rFonts w:hint="eastAsia" w:ascii="宋体" w:hAnsi="宋体" w:cs="宋体"/>
                <w:sz w:val="18"/>
                <w:szCs w:val="18"/>
              </w:rPr>
              <w:t>开展密码安全性评估工作，评估</w:t>
            </w:r>
            <w:r>
              <w:rPr>
                <w:rFonts w:hint="eastAsia" w:ascii="宋体" w:hAnsi="宋体" w:cs="宋体"/>
                <w:b/>
                <w:bCs/>
                <w:sz w:val="18"/>
                <w:szCs w:val="18"/>
              </w:rPr>
              <w:t>互联网医院系统商用密评评估（三级）</w:t>
            </w:r>
            <w:r>
              <w:rPr>
                <w:rFonts w:hint="eastAsia" w:ascii="宋体" w:hAnsi="宋体" w:cs="宋体"/>
                <w:sz w:val="18"/>
                <w:szCs w:val="18"/>
              </w:rPr>
              <w:t>的密码应用是否合规、正确、有效，并通过测评发现其密码保障系统存在的安全隐患和风险，编制被测评系统的密码应用安全性评估报告，并提出有针对性的加强完善密码安全管理和防护建议。编制《商用密码应用与安全性评估整改建议书》、《商用密码应用与安全性评估报告》。</w:t>
            </w:r>
          </w:p>
          <w:p w14:paraId="5E98CFA3">
            <w:pPr>
              <w:spacing w:line="240" w:lineRule="auto"/>
              <w:jc w:val="both"/>
              <w:rPr>
                <w:rFonts w:ascii="宋体" w:hAnsi="宋体" w:cs="宋体"/>
                <w:b/>
                <w:bCs/>
                <w:sz w:val="18"/>
                <w:szCs w:val="18"/>
              </w:rPr>
            </w:pPr>
            <w:r>
              <w:rPr>
                <w:rFonts w:hint="eastAsia" w:ascii="宋体" w:hAnsi="宋体" w:cs="宋体"/>
                <w:b/>
                <w:bCs/>
                <w:sz w:val="18"/>
                <w:szCs w:val="18"/>
              </w:rPr>
              <w:t>2、测评依据标准</w:t>
            </w:r>
          </w:p>
          <w:p w14:paraId="3706B0A7">
            <w:pPr>
              <w:spacing w:line="240" w:lineRule="auto"/>
              <w:ind w:firstLine="360" w:firstLineChars="200"/>
              <w:rPr>
                <w:rFonts w:ascii="宋体" w:hAnsi="宋体" w:cs="宋体"/>
                <w:sz w:val="18"/>
                <w:szCs w:val="18"/>
              </w:rPr>
            </w:pPr>
            <w:r>
              <w:rPr>
                <w:rFonts w:hint="eastAsia" w:ascii="宋体" w:hAnsi="宋体" w:cs="宋体"/>
                <w:sz w:val="18"/>
                <w:szCs w:val="18"/>
              </w:rPr>
              <w:t>①GB/T 39786-2021《信息安全技术 信息系统密码应用基本要求》</w:t>
            </w:r>
          </w:p>
          <w:p w14:paraId="6991668E">
            <w:pPr>
              <w:spacing w:line="240" w:lineRule="auto"/>
              <w:ind w:firstLine="360" w:firstLineChars="200"/>
              <w:rPr>
                <w:rFonts w:ascii="宋体" w:hAnsi="宋体" w:cs="宋体"/>
                <w:sz w:val="18"/>
                <w:szCs w:val="18"/>
              </w:rPr>
            </w:pPr>
            <w:r>
              <w:rPr>
                <w:rFonts w:hint="eastAsia" w:ascii="宋体" w:hAnsi="宋体" w:cs="宋体"/>
                <w:sz w:val="18"/>
                <w:szCs w:val="18"/>
              </w:rPr>
              <w:t>②GM/T0115-2021《信息系统密码应用测评要求》</w:t>
            </w:r>
          </w:p>
          <w:p w14:paraId="5676A405">
            <w:pPr>
              <w:spacing w:line="240" w:lineRule="auto"/>
              <w:ind w:firstLine="360" w:firstLineChars="200"/>
              <w:rPr>
                <w:rFonts w:ascii="宋体" w:hAnsi="宋体" w:cs="宋体"/>
                <w:sz w:val="18"/>
                <w:szCs w:val="18"/>
              </w:rPr>
            </w:pPr>
            <w:r>
              <w:rPr>
                <w:rFonts w:hint="eastAsia" w:ascii="宋体" w:hAnsi="宋体" w:cs="宋体"/>
                <w:sz w:val="18"/>
                <w:szCs w:val="18"/>
              </w:rPr>
              <w:t>③GM/T0116-2021《信息系统密码应用测评过程指南》</w:t>
            </w:r>
          </w:p>
          <w:p w14:paraId="0968958E">
            <w:pPr>
              <w:spacing w:line="240" w:lineRule="auto"/>
              <w:ind w:firstLine="360" w:firstLineChars="200"/>
              <w:rPr>
                <w:rFonts w:ascii="宋体" w:hAnsi="宋体" w:cs="宋体"/>
                <w:sz w:val="18"/>
                <w:szCs w:val="18"/>
              </w:rPr>
            </w:pPr>
            <w:r>
              <w:rPr>
                <w:rFonts w:hint="eastAsia" w:ascii="宋体" w:hAnsi="宋体" w:cs="宋体"/>
                <w:sz w:val="18"/>
                <w:szCs w:val="18"/>
              </w:rPr>
              <w:t>④信息系统密码应用高风险判定指引（2021）</w:t>
            </w:r>
          </w:p>
          <w:p w14:paraId="3B91C8DA">
            <w:pPr>
              <w:spacing w:line="240" w:lineRule="auto"/>
              <w:ind w:firstLine="360" w:firstLineChars="200"/>
              <w:rPr>
                <w:rFonts w:ascii="宋体" w:hAnsi="宋体" w:cs="宋体"/>
                <w:sz w:val="18"/>
                <w:szCs w:val="18"/>
              </w:rPr>
            </w:pPr>
            <w:r>
              <w:rPr>
                <w:rFonts w:hint="eastAsia" w:ascii="宋体" w:hAnsi="宋体" w:cs="宋体"/>
                <w:sz w:val="18"/>
                <w:szCs w:val="18"/>
              </w:rPr>
              <w:t>⑤商用密码应用安全性评估量化评估规则（2023版）</w:t>
            </w:r>
          </w:p>
          <w:p w14:paraId="62EABE96">
            <w:pPr>
              <w:spacing w:line="240" w:lineRule="auto"/>
              <w:jc w:val="both"/>
              <w:rPr>
                <w:rFonts w:ascii="宋体" w:hAnsi="宋体" w:cs="宋体"/>
                <w:b/>
                <w:bCs/>
                <w:sz w:val="18"/>
                <w:szCs w:val="18"/>
              </w:rPr>
            </w:pPr>
            <w:r>
              <w:rPr>
                <w:rFonts w:hint="eastAsia" w:ascii="宋体" w:hAnsi="宋体" w:cs="宋体"/>
                <w:b/>
                <w:bCs/>
                <w:sz w:val="18"/>
                <w:szCs w:val="18"/>
              </w:rPr>
              <w:t>3、服务要求</w:t>
            </w:r>
          </w:p>
          <w:p w14:paraId="2FAF9E56">
            <w:pPr>
              <w:spacing w:line="240" w:lineRule="auto"/>
              <w:ind w:firstLine="360" w:firstLineChars="200"/>
              <w:rPr>
                <w:rFonts w:ascii="宋体" w:hAnsi="宋体" w:cs="宋体"/>
                <w:sz w:val="18"/>
                <w:szCs w:val="18"/>
              </w:rPr>
            </w:pPr>
            <w:r>
              <w:rPr>
                <w:rFonts w:hint="eastAsia" w:ascii="宋体" w:hAnsi="宋体" w:cs="宋体"/>
                <w:sz w:val="18"/>
                <w:szCs w:val="18"/>
              </w:rPr>
              <w:t>3.1.供应商应依据国家密码法规、密码应用相关技术标准，采用科学的测评方法、流程和工作规范开展商用密码应用安全性评估工作。供应商应具备商用密码应用安全性技术测评实施、管理测评实施、系统整体评估能力。供应商为本项目配备能够依据测评结果做出专业判断以及出具测评报告的能力的测评人员，测评人员必须为通过国家密码管理部门（或其授权的机构）组织的考核（即商用密码应用安全性评估人员测评能力考核证书），遵守国家有关法律法规，按照相关标准，为用户提供安全、客观、公正的评估服务，保证评估的质量和效果。</w:t>
            </w:r>
          </w:p>
          <w:p w14:paraId="6CE7D51B">
            <w:pPr>
              <w:spacing w:line="240" w:lineRule="auto"/>
              <w:ind w:firstLine="360" w:firstLineChars="200"/>
              <w:rPr>
                <w:rFonts w:ascii="宋体" w:hAnsi="宋体" w:cs="宋体"/>
                <w:sz w:val="18"/>
                <w:szCs w:val="18"/>
              </w:rPr>
            </w:pPr>
            <w:r>
              <w:rPr>
                <w:rFonts w:hint="eastAsia" w:ascii="宋体" w:hAnsi="宋体" w:cs="宋体"/>
                <w:sz w:val="18"/>
                <w:szCs w:val="18"/>
              </w:rPr>
              <w:t>3.2.供应商</w:t>
            </w:r>
            <w:r>
              <w:rPr>
                <w:rFonts w:hint="eastAsia" w:ascii="宋体" w:hAnsi="宋体" w:cs="宋体"/>
                <w:sz w:val="18"/>
                <w:szCs w:val="18"/>
                <w:lang w:val="en-US" w:eastAsia="zh-CN"/>
              </w:rPr>
              <w:t>须提交</w:t>
            </w:r>
            <w:r>
              <w:rPr>
                <w:rFonts w:hint="eastAsia" w:ascii="宋体" w:hAnsi="宋体" w:cs="宋体"/>
                <w:sz w:val="18"/>
                <w:szCs w:val="18"/>
              </w:rPr>
              <w:t>测评方案，有计划、按步骤地开展测评工作，且测评方案应专业性强，对系统现状及需求理解应准确，方案应科学合理，内容应完整、可靠性强，实施方法和技术措施应可操作性和有效性强，在签订密评合同后供应商应立即成立密评工作小组，并严格按照合同履行密评责任。</w:t>
            </w:r>
          </w:p>
          <w:p w14:paraId="611364A0">
            <w:pPr>
              <w:spacing w:line="240" w:lineRule="auto"/>
              <w:ind w:firstLine="360" w:firstLineChars="200"/>
              <w:rPr>
                <w:rFonts w:ascii="宋体" w:hAnsi="宋体" w:cs="宋体"/>
                <w:sz w:val="18"/>
                <w:szCs w:val="18"/>
              </w:rPr>
            </w:pPr>
            <w:r>
              <w:rPr>
                <w:rFonts w:hint="eastAsia" w:ascii="宋体" w:hAnsi="宋体" w:cs="宋体"/>
                <w:sz w:val="18"/>
                <w:szCs w:val="18"/>
              </w:rPr>
              <w:t>3.3.为保障密评过程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14:paraId="79879753">
            <w:pPr>
              <w:spacing w:line="240" w:lineRule="auto"/>
              <w:ind w:firstLine="360" w:firstLineChars="200"/>
              <w:rPr>
                <w:rFonts w:ascii="宋体" w:hAnsi="宋体" w:cs="宋体"/>
                <w:sz w:val="18"/>
                <w:szCs w:val="18"/>
              </w:rPr>
            </w:pPr>
            <w:r>
              <w:rPr>
                <w:rFonts w:hint="eastAsia" w:ascii="宋体" w:hAnsi="宋体" w:cs="宋体"/>
                <w:sz w:val="18"/>
                <w:szCs w:val="18"/>
              </w:rPr>
              <w:t>3.4.供应商在现场测评工作中必须在不影响采购人信息系统正常运行的前提下进行。</w:t>
            </w:r>
          </w:p>
          <w:p w14:paraId="2D182FEF">
            <w:pPr>
              <w:spacing w:line="240" w:lineRule="auto"/>
              <w:ind w:firstLine="360" w:firstLineChars="200"/>
              <w:rPr>
                <w:rFonts w:ascii="宋体" w:hAnsi="宋体" w:cs="宋体"/>
                <w:sz w:val="18"/>
                <w:szCs w:val="18"/>
              </w:rPr>
            </w:pPr>
            <w:r>
              <w:rPr>
                <w:rFonts w:hint="eastAsia" w:ascii="宋体" w:hAnsi="宋体" w:cs="宋体"/>
                <w:sz w:val="18"/>
                <w:szCs w:val="18"/>
              </w:rPr>
              <w:t>3.5.供应商应遵守相应的密评工作制度，包括会议制度、密评文件制度、密评记录制度、工作报告制度等，保证密评工作协调有序的进行。</w:t>
            </w:r>
          </w:p>
          <w:p w14:paraId="34B224C8">
            <w:pPr>
              <w:spacing w:line="240" w:lineRule="auto"/>
              <w:ind w:firstLine="360" w:firstLineChars="200"/>
              <w:rPr>
                <w:rFonts w:ascii="宋体" w:hAnsi="宋体" w:cs="宋体"/>
                <w:sz w:val="18"/>
                <w:szCs w:val="18"/>
              </w:rPr>
            </w:pPr>
            <w:r>
              <w:rPr>
                <w:rFonts w:hint="eastAsia" w:ascii="宋体" w:hAnsi="宋体" w:cs="宋体"/>
                <w:sz w:val="18"/>
                <w:szCs w:val="18"/>
              </w:rPr>
              <w:t>3.6.供应商应根据被测系统的具体情况，按合同约定，配备满足密评工作需要的人员、设备和工具。为保障密评实施与合同约定服务周期内的服务响应，供应商应具备一定的测评工具开发能力以及在测评服务地进行系统环境模拟实验能力。</w:t>
            </w:r>
          </w:p>
          <w:p w14:paraId="078D23CF">
            <w:pPr>
              <w:spacing w:line="240" w:lineRule="auto"/>
              <w:ind w:firstLine="360" w:firstLineChars="200"/>
              <w:rPr>
                <w:rFonts w:ascii="宋体" w:hAnsi="宋体" w:cs="宋体"/>
                <w:sz w:val="18"/>
                <w:szCs w:val="18"/>
              </w:rPr>
            </w:pPr>
            <w:r>
              <w:rPr>
                <w:rFonts w:hint="eastAsia" w:ascii="宋体" w:hAnsi="宋体" w:cs="宋体"/>
                <w:sz w:val="18"/>
                <w:szCs w:val="18"/>
              </w:rPr>
              <w:t>3.7.供应商</w:t>
            </w:r>
            <w:r>
              <w:rPr>
                <w:rFonts w:hint="eastAsia" w:ascii="宋体" w:hAnsi="宋体" w:cs="宋体"/>
                <w:sz w:val="18"/>
                <w:szCs w:val="18"/>
                <w:lang w:val="en-US" w:eastAsia="zh-CN"/>
              </w:rPr>
              <w:t>须</w:t>
            </w:r>
            <w:r>
              <w:rPr>
                <w:rFonts w:hint="eastAsia" w:ascii="宋体" w:hAnsi="宋体" w:cs="宋体"/>
                <w:sz w:val="18"/>
                <w:szCs w:val="18"/>
              </w:rPr>
              <w:t>具有快速应急响应服务团队，以保证在整个项目过程中不影响委托单位信息系统的正常运行。</w:t>
            </w:r>
          </w:p>
          <w:p w14:paraId="2B0F5F78">
            <w:pPr>
              <w:spacing w:line="240" w:lineRule="auto"/>
              <w:ind w:firstLine="360" w:firstLineChars="200"/>
              <w:rPr>
                <w:rFonts w:ascii="宋体" w:hAnsi="宋体" w:cs="宋体"/>
                <w:sz w:val="18"/>
                <w:szCs w:val="18"/>
              </w:rPr>
            </w:pPr>
            <w:r>
              <w:rPr>
                <w:rFonts w:hint="eastAsia" w:ascii="宋体" w:hAnsi="宋体" w:cs="宋体"/>
                <w:sz w:val="18"/>
                <w:szCs w:val="18"/>
              </w:rPr>
              <w:t>3.8.供应商</w:t>
            </w:r>
            <w:r>
              <w:rPr>
                <w:rFonts w:hint="eastAsia" w:ascii="宋体" w:hAnsi="宋体" w:cs="宋体"/>
                <w:sz w:val="18"/>
                <w:szCs w:val="18"/>
                <w:lang w:val="en-US" w:eastAsia="zh-CN"/>
              </w:rPr>
              <w:t>须</w:t>
            </w:r>
            <w:r>
              <w:rPr>
                <w:rFonts w:hint="eastAsia" w:ascii="宋体" w:hAnsi="宋体" w:cs="宋体"/>
                <w:sz w:val="18"/>
                <w:szCs w:val="18"/>
              </w:rPr>
              <w:t>具有质量控制的能力和质量管理体系，以保证测评工作的客观、公正、安全。供应商针对本项目测评过程中的质量管理方案内项目质量管理应完备，项目质量保障措施应科学、可行、完善，项目管理与风险应控制合理。</w:t>
            </w:r>
          </w:p>
          <w:p w14:paraId="10022577">
            <w:pPr>
              <w:spacing w:line="240" w:lineRule="auto"/>
              <w:ind w:firstLine="360" w:firstLineChars="200"/>
              <w:rPr>
                <w:rFonts w:ascii="宋体" w:hAnsi="宋体" w:cs="宋体"/>
                <w:sz w:val="18"/>
                <w:szCs w:val="18"/>
              </w:rPr>
            </w:pPr>
            <w:r>
              <w:rPr>
                <w:rFonts w:hint="eastAsia" w:ascii="宋体" w:hAnsi="宋体" w:cs="宋体"/>
                <w:sz w:val="18"/>
                <w:szCs w:val="18"/>
              </w:rPr>
              <w:t>3.9.供应商</w:t>
            </w:r>
            <w:r>
              <w:rPr>
                <w:rFonts w:hint="eastAsia" w:ascii="宋体" w:hAnsi="宋体" w:cs="宋体"/>
                <w:sz w:val="18"/>
                <w:szCs w:val="18"/>
                <w:lang w:val="en-US" w:eastAsia="zh-CN"/>
              </w:rPr>
              <w:t>须</w:t>
            </w:r>
            <w:r>
              <w:rPr>
                <w:rFonts w:hint="eastAsia" w:ascii="宋体" w:hAnsi="宋体" w:cs="宋体"/>
                <w:sz w:val="18"/>
                <w:szCs w:val="18"/>
              </w:rPr>
              <w:t>配备密评网络抓包、密码算法、协议分析工具、随机数检测工具以及常用密码设备，且应具有模拟以及验证被测评系统密码应用方案的能力。</w:t>
            </w:r>
          </w:p>
          <w:p w14:paraId="684EE670">
            <w:pPr>
              <w:spacing w:line="240" w:lineRule="auto"/>
              <w:ind w:firstLine="360" w:firstLineChars="200"/>
              <w:rPr>
                <w:rFonts w:ascii="宋体" w:hAnsi="宋体" w:cs="宋体"/>
                <w:sz w:val="18"/>
                <w:szCs w:val="18"/>
              </w:rPr>
            </w:pPr>
            <w:r>
              <w:rPr>
                <w:rFonts w:hint="eastAsia" w:ascii="宋体" w:hAnsi="宋体" w:cs="宋体"/>
                <w:sz w:val="18"/>
                <w:szCs w:val="18"/>
              </w:rPr>
              <w:t>3.10.供应商完成商用密码应用安全性评估工作后，应协助用户在30日内将评估结果报国家密码管理部门备案。</w:t>
            </w:r>
          </w:p>
          <w:p w14:paraId="6E2B8223">
            <w:pPr>
              <w:spacing w:line="240" w:lineRule="auto"/>
              <w:ind w:firstLine="360" w:firstLineChars="200"/>
              <w:rPr>
                <w:rFonts w:ascii="宋体" w:hAnsi="宋体" w:cs="宋体"/>
                <w:sz w:val="18"/>
                <w:szCs w:val="18"/>
              </w:rPr>
            </w:pPr>
            <w:r>
              <w:rPr>
                <w:rFonts w:hint="eastAsia" w:ascii="宋体" w:hAnsi="宋体" w:cs="宋体"/>
                <w:sz w:val="18"/>
                <w:szCs w:val="18"/>
              </w:rPr>
              <w:t>3.11.供应商在验收时应提交密码安全测评工作的档案。</w:t>
            </w:r>
          </w:p>
          <w:p w14:paraId="0F826144">
            <w:pPr>
              <w:spacing w:line="240" w:lineRule="auto"/>
              <w:jc w:val="both"/>
              <w:rPr>
                <w:rFonts w:ascii="宋体" w:hAnsi="宋体" w:cs="宋体"/>
                <w:b/>
                <w:bCs/>
                <w:sz w:val="18"/>
                <w:szCs w:val="18"/>
              </w:rPr>
            </w:pPr>
            <w:r>
              <w:rPr>
                <w:rFonts w:hint="eastAsia" w:ascii="宋体" w:hAnsi="宋体" w:cs="宋体"/>
                <w:b/>
                <w:bCs/>
                <w:sz w:val="18"/>
                <w:szCs w:val="18"/>
              </w:rPr>
              <w:t>4、商用密码评估资质要求</w:t>
            </w:r>
          </w:p>
          <w:p w14:paraId="6758A4BC">
            <w:pPr>
              <w:spacing w:line="240" w:lineRule="auto"/>
              <w:ind w:firstLine="360" w:firstLineChars="200"/>
              <w:rPr>
                <w:rFonts w:hint="eastAsia" w:ascii="宋体" w:hAnsi="宋体" w:cs="宋体"/>
                <w:sz w:val="18"/>
                <w:szCs w:val="18"/>
              </w:rPr>
            </w:pPr>
            <w:r>
              <w:rPr>
                <w:rFonts w:hint="eastAsia" w:ascii="宋体" w:hAnsi="宋体" w:cs="宋体"/>
                <w:sz w:val="18"/>
                <w:szCs w:val="18"/>
              </w:rPr>
              <w:t xml:space="preserve">4.1. </w:t>
            </w:r>
            <w:r>
              <w:rPr>
                <w:rFonts w:hint="eastAsia" w:ascii="宋体" w:hAnsi="宋体" w:cs="宋体"/>
                <w:sz w:val="18"/>
                <w:szCs w:val="18"/>
                <w:lang w:val="en-US" w:eastAsia="zh-CN"/>
              </w:rPr>
              <w:t>测评机构</w:t>
            </w:r>
            <w:r>
              <w:rPr>
                <w:rFonts w:hint="eastAsia" w:ascii="宋体" w:hAnsi="宋体" w:cs="宋体"/>
                <w:sz w:val="18"/>
                <w:szCs w:val="18"/>
              </w:rPr>
              <w:t>必须在国家密码管理局公告（第42号）的商用密码应用安全性评估试点机构目录中或提供国家密码管理局《国密局字[2021]183号通知》中审批通过的“可在本地区、本行业（领域）开展密码应用安全性评估业资质的密评机构名单”的相关证明材料。提供证书或证明复印件并加盖公章。</w:t>
            </w:r>
          </w:p>
          <w:p w14:paraId="34FCCDB9">
            <w:pPr>
              <w:spacing w:line="240" w:lineRule="auto"/>
              <w:ind w:firstLine="360" w:firstLineChars="200"/>
              <w:rPr>
                <w:rFonts w:ascii="宋体" w:hAnsi="宋体"/>
                <w:sz w:val="18"/>
                <w:szCs w:val="18"/>
              </w:rPr>
            </w:pPr>
            <w:r>
              <w:rPr>
                <w:rFonts w:hint="eastAsia" w:ascii="宋体" w:hAnsi="宋体" w:cs="宋体"/>
                <w:sz w:val="18"/>
                <w:szCs w:val="18"/>
              </w:rPr>
              <w:t>4.2项目组成员应具备合格的商用密码应用安全性评估人员测评能力考核证书至少2人。全程协助招标方在网络和信息系统安全方面工作，在本项目进行期间，未经采购人同意，测评过程中不得离场，且中途不得更换人员，也不得将检测任务分包或转包。</w:t>
            </w:r>
          </w:p>
        </w:tc>
        <w:tc>
          <w:tcPr>
            <w:tcW w:w="851" w:type="dxa"/>
            <w:shd w:val="clear" w:color="auto" w:fill="auto"/>
            <w:vAlign w:val="center"/>
          </w:tcPr>
          <w:p w14:paraId="10D90D4A">
            <w:pPr>
              <w:spacing w:line="33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850" w:type="dxa"/>
            <w:shd w:val="clear" w:color="auto" w:fill="auto"/>
            <w:vAlign w:val="center"/>
          </w:tcPr>
          <w:p w14:paraId="00A6167C">
            <w:pPr>
              <w:spacing w:line="330" w:lineRule="exact"/>
              <w:jc w:val="center"/>
              <w:rPr>
                <w:rFonts w:hint="eastAsia" w:ascii="宋体" w:hAnsi="宋体" w:eastAsia="宋体" w:cs="宋体"/>
                <w:szCs w:val="21"/>
                <w:lang w:val="en-US" w:eastAsia="zh-CN"/>
              </w:rPr>
            </w:pPr>
            <w:r>
              <w:rPr>
                <w:rFonts w:hint="eastAsia" w:ascii="宋体" w:hAnsi="宋体" w:cs="宋体"/>
                <w:szCs w:val="21"/>
                <w:lang w:val="en-US" w:eastAsia="zh-CN"/>
              </w:rPr>
              <w:t>项</w:t>
            </w:r>
          </w:p>
        </w:tc>
      </w:tr>
      <w:tr w14:paraId="404F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57B8DE44">
            <w:pPr>
              <w:spacing w:line="330" w:lineRule="exact"/>
              <w:jc w:val="center"/>
              <w:rPr>
                <w:rFonts w:hint="eastAsia" w:ascii="宋体" w:hAnsi="宋体" w:eastAsia="宋体"/>
                <w:bCs/>
                <w:sz w:val="18"/>
                <w:szCs w:val="18"/>
                <w:lang w:eastAsia="zh-CN"/>
              </w:rPr>
            </w:pPr>
            <w:r>
              <w:rPr>
                <w:rFonts w:hint="eastAsia" w:ascii="宋体" w:hAnsi="宋体"/>
                <w:bCs/>
                <w:sz w:val="18"/>
                <w:szCs w:val="18"/>
                <w:lang w:val="en-US" w:eastAsia="zh-CN"/>
              </w:rPr>
              <w:t>7</w:t>
            </w:r>
          </w:p>
        </w:tc>
        <w:tc>
          <w:tcPr>
            <w:tcW w:w="1240" w:type="dxa"/>
            <w:shd w:val="clear" w:color="auto" w:fill="auto"/>
            <w:vAlign w:val="center"/>
          </w:tcPr>
          <w:p w14:paraId="463F6988">
            <w:pPr>
              <w:spacing w:line="330" w:lineRule="exact"/>
              <w:jc w:val="both"/>
              <w:rPr>
                <w:rFonts w:hint="eastAsia" w:ascii="宋体" w:hAnsi="宋体" w:cs="宋体"/>
                <w:sz w:val="18"/>
                <w:szCs w:val="18"/>
              </w:rPr>
            </w:pPr>
            <w:r>
              <w:rPr>
                <w:rFonts w:hint="eastAsia" w:ascii="宋体" w:hAnsi="宋体" w:cs="宋体"/>
                <w:color w:val="000000"/>
                <w:sz w:val="18"/>
                <w:szCs w:val="18"/>
                <w:lang w:val="en-US" w:eastAsia="zh-CN"/>
              </w:rPr>
              <w:t>信息集成平台</w:t>
            </w:r>
            <w:r>
              <w:rPr>
                <w:rFonts w:hint="eastAsia" w:ascii="宋体" w:hAnsi="宋体" w:cs="宋体"/>
                <w:color w:val="000000"/>
                <w:sz w:val="18"/>
                <w:szCs w:val="18"/>
              </w:rPr>
              <w:t>网络安全等级保护测评（三级）</w:t>
            </w:r>
          </w:p>
        </w:tc>
        <w:tc>
          <w:tcPr>
            <w:tcW w:w="5381" w:type="dxa"/>
            <w:shd w:val="clear" w:color="auto" w:fill="auto"/>
            <w:vAlign w:val="top"/>
          </w:tcPr>
          <w:p w14:paraId="09BB52E3">
            <w:pPr>
              <w:suppressAutoHyphens/>
              <w:spacing w:line="240" w:lineRule="auto"/>
              <w:rPr>
                <w:rFonts w:ascii="宋体" w:hAnsi="宋体" w:cs="宋体"/>
                <w:b/>
                <w:bCs/>
                <w:sz w:val="18"/>
                <w:szCs w:val="18"/>
              </w:rPr>
            </w:pPr>
            <w:r>
              <w:rPr>
                <w:rFonts w:hint="eastAsia" w:ascii="宋体" w:hAnsi="宋体" w:cs="宋体"/>
                <w:b/>
                <w:bCs/>
                <w:sz w:val="18"/>
                <w:szCs w:val="18"/>
              </w:rPr>
              <w:t>一、定级及备案服务</w:t>
            </w:r>
          </w:p>
          <w:p w14:paraId="718ED6EA">
            <w:pPr>
              <w:suppressAutoHyphens/>
              <w:spacing w:line="240" w:lineRule="auto"/>
              <w:rPr>
                <w:rFonts w:hint="eastAsia" w:ascii="宋体" w:hAnsi="宋体" w:eastAsia="宋体" w:cs="宋体"/>
                <w:sz w:val="18"/>
                <w:szCs w:val="18"/>
                <w:lang w:val="en-US" w:eastAsia="zh-CN"/>
              </w:rPr>
            </w:pPr>
            <w:r>
              <w:rPr>
                <w:rFonts w:hint="eastAsia" w:ascii="宋体" w:hAnsi="宋体" w:cs="宋体"/>
                <w:sz w:val="18"/>
                <w:szCs w:val="18"/>
              </w:rPr>
              <w:t xml:space="preserve">    </w:t>
            </w:r>
            <w:r>
              <w:rPr>
                <w:rFonts w:hint="eastAsia" w:ascii="宋体" w:hAnsi="宋体" w:cs="宋体"/>
                <w:b/>
                <w:bCs/>
                <w:color w:val="auto"/>
                <w:sz w:val="18"/>
                <w:szCs w:val="18"/>
              </w:rPr>
              <w:t>本次需依照以下规范及流程对</w:t>
            </w:r>
            <w:r>
              <w:rPr>
                <w:rFonts w:hint="eastAsia" w:ascii="宋体" w:hAnsi="宋体" w:cs="宋体"/>
                <w:b/>
                <w:bCs/>
                <w:color w:val="auto"/>
                <w:sz w:val="18"/>
                <w:szCs w:val="18"/>
                <w:lang w:val="en-US" w:eastAsia="zh-CN"/>
              </w:rPr>
              <w:t>本</w:t>
            </w:r>
            <w:r>
              <w:rPr>
                <w:rFonts w:hint="eastAsia" w:ascii="宋体" w:hAnsi="宋体" w:cs="宋体"/>
                <w:b/>
                <w:bCs/>
                <w:color w:val="auto"/>
                <w:sz w:val="18"/>
                <w:szCs w:val="18"/>
              </w:rPr>
              <w:t>项列举的业务系统提供系统等保定级及备案服务，包括但不限于组织举行定级专家评审会对系统进行定级、整理文案材料及向桂林市公安局网安支队办理备案手续，</w:t>
            </w:r>
            <w:r>
              <w:rPr>
                <w:rFonts w:hint="eastAsia" w:ascii="宋体" w:hAnsi="宋体" w:cs="宋体"/>
                <w:b/>
                <w:bCs/>
                <w:color w:val="auto"/>
                <w:sz w:val="18"/>
                <w:szCs w:val="18"/>
                <w:lang w:val="en-US" w:eastAsia="zh-CN"/>
              </w:rPr>
              <w:t>直至备案完成，</w:t>
            </w:r>
            <w:r>
              <w:rPr>
                <w:rFonts w:hint="eastAsia" w:ascii="宋体" w:hAnsi="宋体" w:cs="宋体"/>
                <w:b/>
                <w:bCs/>
                <w:color w:val="auto"/>
                <w:sz w:val="18"/>
                <w:szCs w:val="18"/>
              </w:rPr>
              <w:t>期间由此产生的一切费用由中标服务商承担。</w:t>
            </w:r>
          </w:p>
          <w:p w14:paraId="700E636F">
            <w:pPr>
              <w:suppressAutoHyphens/>
              <w:spacing w:line="240" w:lineRule="auto"/>
              <w:rPr>
                <w:rFonts w:ascii="宋体" w:hAnsi="宋体" w:cs="宋体"/>
                <w:b/>
                <w:bCs/>
                <w:sz w:val="18"/>
                <w:szCs w:val="18"/>
              </w:rPr>
            </w:pPr>
            <w:r>
              <w:rPr>
                <w:rFonts w:hint="eastAsia" w:ascii="宋体" w:hAnsi="宋体" w:cs="宋体"/>
                <w:b/>
                <w:bCs/>
                <w:sz w:val="18"/>
                <w:szCs w:val="18"/>
              </w:rPr>
              <w:t>（1）系统定级服务：</w:t>
            </w:r>
          </w:p>
          <w:p w14:paraId="4ED815C3">
            <w:pPr>
              <w:suppressAutoHyphens/>
              <w:spacing w:line="240" w:lineRule="auto"/>
              <w:rPr>
                <w:rFonts w:ascii="宋体" w:hAnsi="宋体" w:cs="宋体"/>
                <w:sz w:val="18"/>
                <w:szCs w:val="18"/>
              </w:rPr>
            </w:pPr>
            <w:r>
              <w:rPr>
                <w:rFonts w:hint="eastAsia" w:ascii="宋体" w:hAnsi="宋体" w:cs="宋体"/>
                <w:sz w:val="18"/>
                <w:szCs w:val="18"/>
              </w:rPr>
              <w:t xml:space="preserve">    信息系统安全包括业务信息安全和系统服务安全，与之相关的受侵害客体和对客体的侵害程度可能不同，因此，信息系统定级也应由业务信息安全和系统服务安全两方面确定。</w:t>
            </w:r>
          </w:p>
          <w:p w14:paraId="630FE7AB">
            <w:pPr>
              <w:suppressAutoHyphens/>
              <w:spacing w:line="240" w:lineRule="auto"/>
              <w:rPr>
                <w:rFonts w:ascii="宋体" w:hAnsi="宋体" w:cs="宋体"/>
                <w:sz w:val="18"/>
                <w:szCs w:val="18"/>
              </w:rPr>
            </w:pPr>
            <w:r>
              <w:rPr>
                <w:rFonts w:hint="eastAsia" w:ascii="宋体" w:hAnsi="宋体" w:cs="宋体"/>
                <w:sz w:val="18"/>
                <w:szCs w:val="18"/>
              </w:rPr>
              <w:t xml:space="preserve">    对各业务系统信息系统安全保护等级定级流程如下：</w:t>
            </w:r>
          </w:p>
          <w:p w14:paraId="6D5A93F1">
            <w:pPr>
              <w:suppressAutoHyphens/>
              <w:spacing w:line="240" w:lineRule="auto"/>
              <w:rPr>
                <w:rFonts w:ascii="宋体" w:hAnsi="宋体" w:cs="宋体"/>
                <w:sz w:val="18"/>
                <w:szCs w:val="18"/>
              </w:rPr>
            </w:pPr>
            <w:r>
              <w:rPr>
                <w:rFonts w:hint="eastAsia" w:ascii="宋体" w:hAnsi="宋体" w:cs="宋体"/>
                <w:sz w:val="18"/>
                <w:szCs w:val="18"/>
              </w:rPr>
              <w:t>1)确定作为定级对象的信息系统；</w:t>
            </w:r>
          </w:p>
          <w:p w14:paraId="591D7A48">
            <w:pPr>
              <w:suppressAutoHyphens/>
              <w:spacing w:line="240" w:lineRule="auto"/>
              <w:rPr>
                <w:rFonts w:ascii="宋体" w:hAnsi="宋体" w:cs="宋体"/>
                <w:sz w:val="18"/>
                <w:szCs w:val="18"/>
              </w:rPr>
            </w:pPr>
            <w:r>
              <w:rPr>
                <w:rFonts w:hint="eastAsia" w:ascii="宋体" w:hAnsi="宋体" w:cs="宋体"/>
                <w:sz w:val="18"/>
                <w:szCs w:val="18"/>
              </w:rPr>
              <w:t>2)确定业务信息安全受到破坏时所侵害的客体；</w:t>
            </w:r>
          </w:p>
          <w:p w14:paraId="7EABD9E1">
            <w:pPr>
              <w:suppressAutoHyphens/>
              <w:spacing w:line="240" w:lineRule="auto"/>
              <w:rPr>
                <w:rFonts w:ascii="宋体" w:hAnsi="宋体" w:cs="宋体"/>
                <w:sz w:val="18"/>
                <w:szCs w:val="18"/>
              </w:rPr>
            </w:pPr>
            <w:r>
              <w:rPr>
                <w:rFonts w:hint="eastAsia" w:ascii="宋体" w:hAnsi="宋体" w:cs="宋体"/>
                <w:sz w:val="18"/>
                <w:szCs w:val="18"/>
              </w:rPr>
              <w:t>3)根据不同的受侵害客体，从多个方面综合评定业务信息安全被破坏时对客体的侵害程度；</w:t>
            </w:r>
          </w:p>
          <w:p w14:paraId="720BC580">
            <w:pPr>
              <w:suppressAutoHyphens/>
              <w:spacing w:line="240" w:lineRule="auto"/>
              <w:rPr>
                <w:rFonts w:ascii="宋体" w:hAnsi="宋体" w:cs="宋体"/>
                <w:sz w:val="18"/>
                <w:szCs w:val="18"/>
              </w:rPr>
            </w:pPr>
            <w:r>
              <w:rPr>
                <w:rFonts w:hint="eastAsia" w:ascii="宋体" w:hAnsi="宋体" w:cs="宋体"/>
                <w:sz w:val="18"/>
                <w:szCs w:val="18"/>
              </w:rPr>
              <w:t>4)确定业务信息安全等级；</w:t>
            </w:r>
          </w:p>
          <w:p w14:paraId="477FC394">
            <w:pPr>
              <w:suppressAutoHyphens/>
              <w:spacing w:line="240" w:lineRule="auto"/>
              <w:rPr>
                <w:rFonts w:ascii="宋体" w:hAnsi="宋体" w:cs="宋体"/>
                <w:sz w:val="18"/>
                <w:szCs w:val="18"/>
              </w:rPr>
            </w:pPr>
            <w:r>
              <w:rPr>
                <w:rFonts w:hint="eastAsia" w:ascii="宋体" w:hAnsi="宋体" w:cs="宋体"/>
                <w:sz w:val="18"/>
                <w:szCs w:val="18"/>
              </w:rPr>
              <w:t>5)确定系统服务安全受到破坏时所侵害的客体；</w:t>
            </w:r>
          </w:p>
          <w:p w14:paraId="0BA1423E">
            <w:pPr>
              <w:suppressAutoHyphens/>
              <w:spacing w:line="240" w:lineRule="auto"/>
              <w:rPr>
                <w:rFonts w:ascii="宋体" w:hAnsi="宋体" w:cs="宋体"/>
                <w:sz w:val="18"/>
                <w:szCs w:val="18"/>
              </w:rPr>
            </w:pPr>
            <w:r>
              <w:rPr>
                <w:rFonts w:hint="eastAsia" w:ascii="宋体" w:hAnsi="宋体" w:cs="宋体"/>
                <w:sz w:val="18"/>
                <w:szCs w:val="18"/>
              </w:rPr>
              <w:t>6)根据不同的受侵害客体，从多个方面综合评定系统服务安全被破坏对客体的侵害程度；</w:t>
            </w:r>
          </w:p>
          <w:p w14:paraId="3A89318C">
            <w:pPr>
              <w:suppressAutoHyphens/>
              <w:spacing w:line="240" w:lineRule="auto"/>
              <w:rPr>
                <w:rFonts w:ascii="宋体" w:hAnsi="宋体" w:cs="宋体"/>
                <w:sz w:val="18"/>
                <w:szCs w:val="18"/>
              </w:rPr>
            </w:pPr>
            <w:r>
              <w:rPr>
                <w:rFonts w:hint="eastAsia" w:ascii="宋体" w:hAnsi="宋体" w:cs="宋体"/>
                <w:sz w:val="18"/>
                <w:szCs w:val="18"/>
              </w:rPr>
              <w:t>7)确定系统服务安全等级；</w:t>
            </w:r>
          </w:p>
          <w:p w14:paraId="27856878">
            <w:pPr>
              <w:suppressAutoHyphens/>
              <w:spacing w:line="240" w:lineRule="auto"/>
              <w:rPr>
                <w:rFonts w:ascii="宋体" w:hAnsi="宋体" w:cs="宋体"/>
                <w:sz w:val="18"/>
                <w:szCs w:val="18"/>
              </w:rPr>
            </w:pPr>
            <w:r>
              <w:rPr>
                <w:rFonts w:hint="eastAsia" w:ascii="宋体" w:hAnsi="宋体" w:cs="宋体"/>
                <w:sz w:val="18"/>
                <w:szCs w:val="18"/>
              </w:rPr>
              <w:t>8)由业务信息安全等级和系统服务安全等级的较高者确定定级对象的安全保护等级。</w:t>
            </w:r>
          </w:p>
          <w:p w14:paraId="7364CCE5">
            <w:pPr>
              <w:suppressAutoHyphens/>
              <w:spacing w:line="240" w:lineRule="auto"/>
              <w:rPr>
                <w:rFonts w:ascii="宋体" w:hAnsi="宋体" w:cs="宋体"/>
                <w:b/>
                <w:bCs/>
                <w:sz w:val="18"/>
                <w:szCs w:val="18"/>
              </w:rPr>
            </w:pPr>
            <w:r>
              <w:rPr>
                <w:rFonts w:hint="eastAsia" w:ascii="宋体" w:hAnsi="宋体" w:cs="宋体"/>
                <w:b/>
                <w:bCs/>
                <w:sz w:val="18"/>
                <w:szCs w:val="18"/>
              </w:rPr>
              <w:t>（2）系统备案服务</w:t>
            </w:r>
          </w:p>
          <w:p w14:paraId="488CA598">
            <w:pPr>
              <w:suppressAutoHyphens/>
              <w:spacing w:line="240" w:lineRule="auto"/>
              <w:rPr>
                <w:rFonts w:ascii="宋体" w:hAnsi="宋体" w:cs="宋体"/>
                <w:sz w:val="18"/>
                <w:szCs w:val="18"/>
              </w:rPr>
            </w:pPr>
            <w:r>
              <w:rPr>
                <w:rFonts w:hint="eastAsia" w:ascii="宋体" w:hAnsi="宋体" w:cs="宋体"/>
                <w:sz w:val="18"/>
                <w:szCs w:val="18"/>
              </w:rPr>
              <w:t xml:space="preserve">    对于信息系统定级备案，具有以下规定：</w:t>
            </w:r>
          </w:p>
          <w:p w14:paraId="1C3D346F">
            <w:pPr>
              <w:suppressAutoHyphens/>
              <w:spacing w:line="240" w:lineRule="auto"/>
              <w:rPr>
                <w:rFonts w:ascii="宋体" w:hAnsi="宋体" w:cs="宋体"/>
                <w:sz w:val="18"/>
                <w:szCs w:val="18"/>
              </w:rPr>
            </w:pPr>
            <w:r>
              <w:rPr>
                <w:rFonts w:hint="eastAsia" w:ascii="宋体" w:hAnsi="宋体" w:cs="宋体"/>
                <w:sz w:val="18"/>
                <w:szCs w:val="18"/>
              </w:rPr>
              <w:t>1)已运营（运行）的第二级以上信息系统，应当在安全保护等级确定后 30 日内，由其运营、使用单位到所在地设区的市级以上公安机关办理备案手续。</w:t>
            </w:r>
          </w:p>
          <w:p w14:paraId="6EE33A09">
            <w:pPr>
              <w:suppressAutoHyphens/>
              <w:spacing w:line="240" w:lineRule="auto"/>
              <w:rPr>
                <w:rFonts w:ascii="宋体" w:hAnsi="宋体" w:cs="宋体"/>
                <w:sz w:val="18"/>
                <w:szCs w:val="18"/>
              </w:rPr>
            </w:pPr>
            <w:r>
              <w:rPr>
                <w:rFonts w:hint="eastAsia" w:ascii="宋体" w:hAnsi="宋体" w:cs="宋体"/>
                <w:sz w:val="18"/>
                <w:szCs w:val="18"/>
              </w:rPr>
              <w:t>2)新建第二级以上信息系统，应当在投入运行后 30 日内，由其运营、使用单位到所在地设区的市级以上公安机关办理备案手续。</w:t>
            </w:r>
          </w:p>
          <w:p w14:paraId="58EDDAC3">
            <w:pPr>
              <w:suppressAutoHyphens/>
              <w:spacing w:line="240" w:lineRule="auto"/>
              <w:rPr>
                <w:rFonts w:ascii="宋体" w:hAnsi="宋体" w:cs="宋体"/>
                <w:sz w:val="18"/>
                <w:szCs w:val="18"/>
              </w:rPr>
            </w:pPr>
            <w:r>
              <w:rPr>
                <w:rFonts w:hint="eastAsia" w:ascii="宋体" w:hAnsi="宋体" w:cs="宋体"/>
                <w:sz w:val="18"/>
                <w:szCs w:val="18"/>
              </w:rPr>
              <w:t>中标服务商需在定级专家评审会结束后 30 日内协助甲方完成备案手续。</w:t>
            </w:r>
          </w:p>
          <w:p w14:paraId="73417E3A">
            <w:pPr>
              <w:spacing w:line="240" w:lineRule="auto"/>
              <w:jc w:val="both"/>
              <w:rPr>
                <w:rFonts w:ascii="宋体" w:hAnsi="宋体" w:cs="宋体"/>
                <w:b/>
                <w:sz w:val="18"/>
                <w:szCs w:val="18"/>
              </w:rPr>
            </w:pPr>
            <w:r>
              <w:rPr>
                <w:rFonts w:hint="eastAsia" w:ascii="宋体" w:hAnsi="宋体" w:cs="宋体"/>
                <w:b/>
                <w:sz w:val="18"/>
                <w:szCs w:val="18"/>
              </w:rPr>
              <w:t>二、测评服务</w:t>
            </w:r>
          </w:p>
          <w:p w14:paraId="48DE41C0">
            <w:pPr>
              <w:spacing w:line="240" w:lineRule="auto"/>
              <w:jc w:val="both"/>
              <w:rPr>
                <w:rFonts w:ascii="宋体" w:hAnsi="宋体" w:cs="宋体"/>
                <w:b/>
                <w:bCs/>
                <w:sz w:val="18"/>
                <w:szCs w:val="18"/>
              </w:rPr>
            </w:pPr>
            <w:r>
              <w:rPr>
                <w:rFonts w:hint="eastAsia" w:ascii="宋体" w:hAnsi="宋体" w:cs="宋体"/>
                <w:b/>
                <w:bCs/>
                <w:sz w:val="18"/>
                <w:szCs w:val="18"/>
              </w:rPr>
              <w:t>1、总的要求</w:t>
            </w:r>
          </w:p>
          <w:p w14:paraId="53FEBC01">
            <w:pPr>
              <w:spacing w:line="240" w:lineRule="auto"/>
              <w:ind w:firstLine="360" w:firstLineChars="200"/>
              <w:jc w:val="both"/>
              <w:rPr>
                <w:rFonts w:ascii="宋体" w:hAnsi="宋体" w:cs="宋体"/>
                <w:sz w:val="18"/>
                <w:szCs w:val="18"/>
              </w:rPr>
            </w:pPr>
            <w:r>
              <w:rPr>
                <w:rFonts w:hint="eastAsia" w:ascii="宋体" w:hAnsi="宋体" w:cs="宋体"/>
                <w:sz w:val="18"/>
                <w:szCs w:val="18"/>
              </w:rPr>
              <w:t>依据《网络安全等级保护基本要求》（GB/T 22239-2019）对</w:t>
            </w:r>
            <w:r>
              <w:rPr>
                <w:rFonts w:hint="eastAsia" w:ascii="宋体" w:hAnsi="宋体" w:cs="宋体"/>
                <w:b/>
                <w:bCs/>
                <w:sz w:val="18"/>
                <w:szCs w:val="18"/>
              </w:rPr>
              <w:t>桂林市人民医院</w:t>
            </w:r>
            <w:r>
              <w:rPr>
                <w:rFonts w:hint="eastAsia" w:ascii="宋体" w:hAnsi="宋体" w:cs="宋体"/>
                <w:b/>
                <w:bCs/>
                <w:sz w:val="18"/>
                <w:szCs w:val="18"/>
                <w:lang w:val="en-US" w:eastAsia="zh-CN"/>
              </w:rPr>
              <w:t>信息集成平台</w:t>
            </w:r>
            <w:r>
              <w:rPr>
                <w:rFonts w:hint="eastAsia" w:ascii="宋体" w:hAnsi="宋体" w:cs="宋体"/>
                <w:b/>
                <w:bCs/>
                <w:sz w:val="18"/>
                <w:szCs w:val="18"/>
              </w:rPr>
              <w:t>（三级）</w:t>
            </w:r>
            <w:r>
              <w:rPr>
                <w:rFonts w:hint="eastAsia" w:ascii="宋体" w:hAnsi="宋体" w:cs="宋体"/>
                <w:sz w:val="18"/>
                <w:szCs w:val="18"/>
              </w:rPr>
              <w:t>开展网络安全等级保护测评工作，并出具网络安全等级保护测评报告。</w:t>
            </w:r>
          </w:p>
          <w:p w14:paraId="42AAF331">
            <w:pPr>
              <w:widowControl w:val="0"/>
              <w:spacing w:line="240" w:lineRule="auto"/>
              <w:rPr>
                <w:rFonts w:ascii="宋体" w:hAnsi="宋体" w:cs="宋体"/>
                <w:sz w:val="18"/>
                <w:szCs w:val="18"/>
              </w:rPr>
            </w:pPr>
            <w:r>
              <w:rPr>
                <w:rFonts w:hint="eastAsia" w:ascii="宋体" w:hAnsi="宋体" w:cs="宋体"/>
                <w:b/>
                <w:bCs/>
                <w:sz w:val="18"/>
                <w:szCs w:val="18"/>
              </w:rPr>
              <w:t>2、标准依据</w:t>
            </w:r>
          </w:p>
          <w:p w14:paraId="6CCBDB77">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《计算机信息系统安全保护等级划分准则》（GB 17859-1999)</w:t>
            </w:r>
          </w:p>
          <w:p w14:paraId="02AB5D8F">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《网络安全等级保护基本要求》（GB/T 22239-2019）</w:t>
            </w:r>
          </w:p>
          <w:p w14:paraId="2DB8FF2E">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《网络安全等级保护测评要求》（GB/T 28448-2019）</w:t>
            </w:r>
          </w:p>
          <w:p w14:paraId="50D38043">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《网络安全等级保护测评过程指南》（GB/T 28449-2018)</w:t>
            </w:r>
          </w:p>
          <w:p w14:paraId="38951F70">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《网络安全等级保护设计技术要求》（GB/T 25070-2019）</w:t>
            </w:r>
          </w:p>
          <w:p w14:paraId="5F94ACB5">
            <w:pPr>
              <w:widowControl w:val="0"/>
              <w:numPr>
                <w:ilvl w:val="0"/>
                <w:numId w:val="2"/>
              </w:numPr>
              <w:spacing w:line="240" w:lineRule="auto"/>
              <w:ind w:hanging="180"/>
              <w:jc w:val="both"/>
              <w:rPr>
                <w:rFonts w:ascii="宋体" w:hAnsi="宋体" w:cs="宋体"/>
                <w:sz w:val="18"/>
                <w:szCs w:val="18"/>
              </w:rPr>
            </w:pPr>
            <w:r>
              <w:rPr>
                <w:rFonts w:hint="eastAsia" w:ascii="宋体" w:hAnsi="宋体" w:cs="宋体"/>
                <w:sz w:val="18"/>
                <w:szCs w:val="18"/>
              </w:rPr>
              <w:t>《网络安全等级保护测试评估技术指南》（GB/T 36627-2018）</w:t>
            </w:r>
          </w:p>
          <w:p w14:paraId="269E8F45">
            <w:pPr>
              <w:spacing w:line="240" w:lineRule="auto"/>
              <w:jc w:val="both"/>
              <w:rPr>
                <w:rFonts w:ascii="宋体" w:hAnsi="宋体" w:cs="宋体"/>
                <w:b/>
                <w:bCs/>
                <w:sz w:val="18"/>
                <w:szCs w:val="18"/>
              </w:rPr>
            </w:pPr>
            <w:r>
              <w:rPr>
                <w:rFonts w:hint="eastAsia" w:ascii="宋体" w:hAnsi="宋体" w:cs="宋体"/>
                <w:b/>
                <w:sz w:val="18"/>
                <w:szCs w:val="18"/>
              </w:rPr>
              <w:t>3</w:t>
            </w:r>
            <w:r>
              <w:rPr>
                <w:rFonts w:hint="eastAsia" w:ascii="宋体" w:hAnsi="宋体" w:cs="宋体"/>
                <w:b/>
                <w:bCs/>
                <w:sz w:val="18"/>
                <w:szCs w:val="18"/>
              </w:rPr>
              <w:t>、测评内容</w:t>
            </w:r>
          </w:p>
          <w:p w14:paraId="391E0276">
            <w:pPr>
              <w:spacing w:line="240" w:lineRule="auto"/>
              <w:ind w:firstLine="361" w:firstLineChars="200"/>
              <w:jc w:val="both"/>
              <w:rPr>
                <w:rFonts w:ascii="宋体" w:hAnsi="宋体" w:cs="宋体"/>
                <w:b/>
                <w:bCs/>
                <w:sz w:val="18"/>
                <w:szCs w:val="18"/>
              </w:rPr>
            </w:pPr>
            <w:r>
              <w:rPr>
                <w:rFonts w:hint="eastAsia" w:ascii="宋体" w:hAnsi="宋体" w:cs="宋体"/>
                <w:b/>
                <w:bCs/>
                <w:sz w:val="18"/>
                <w:szCs w:val="18"/>
              </w:rPr>
              <w:t>安全通用要求</w:t>
            </w:r>
          </w:p>
          <w:p w14:paraId="2131B9F8">
            <w:pPr>
              <w:spacing w:line="240" w:lineRule="auto"/>
              <w:ind w:firstLine="360" w:firstLineChars="200"/>
              <w:jc w:val="both"/>
              <w:rPr>
                <w:rFonts w:ascii="宋体" w:hAnsi="宋体" w:cs="宋体"/>
                <w:sz w:val="18"/>
                <w:szCs w:val="18"/>
              </w:rPr>
            </w:pPr>
            <w:r>
              <w:rPr>
                <w:rFonts w:hint="eastAsia" w:ascii="宋体" w:hAnsi="宋体" w:cs="宋体"/>
                <w:sz w:val="18"/>
                <w:szCs w:val="18"/>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3DB7F14A">
            <w:pPr>
              <w:spacing w:line="240" w:lineRule="auto"/>
              <w:rPr>
                <w:rFonts w:ascii="宋体" w:hAnsi="宋体" w:cs="宋体"/>
                <w:b/>
                <w:bCs/>
                <w:sz w:val="18"/>
                <w:szCs w:val="18"/>
              </w:rPr>
            </w:pPr>
            <w:r>
              <w:rPr>
                <w:rFonts w:hint="eastAsia" w:ascii="宋体" w:hAnsi="宋体" w:cs="宋体"/>
                <w:b/>
                <w:bCs/>
                <w:sz w:val="18"/>
                <w:szCs w:val="18"/>
              </w:rPr>
              <w:t>4、测评方法</w:t>
            </w:r>
          </w:p>
          <w:p w14:paraId="2456D998">
            <w:pPr>
              <w:spacing w:line="240" w:lineRule="auto"/>
              <w:ind w:firstLine="360" w:firstLineChars="200"/>
              <w:rPr>
                <w:rFonts w:ascii="宋体" w:hAnsi="宋体" w:cs="宋体"/>
                <w:sz w:val="18"/>
                <w:szCs w:val="18"/>
              </w:rPr>
            </w:pPr>
            <w:r>
              <w:rPr>
                <w:rFonts w:hint="eastAsia" w:ascii="宋体" w:hAnsi="宋体" w:cs="宋体"/>
                <w:sz w:val="18"/>
                <w:szCs w:val="18"/>
              </w:rPr>
              <w:t>在测评实施过程中，应采用访谈、检查和测试、渗透测试等测评方法进行，并与国家相关规范及标准的要求相符。</w:t>
            </w:r>
            <w:r>
              <w:rPr>
                <w:rFonts w:hint="eastAsia" w:ascii="宋体" w:hAnsi="宋体" w:cs="宋体"/>
                <w:sz w:val="18"/>
                <w:szCs w:val="18"/>
              </w:rPr>
              <w:br w:type="textWrapping"/>
            </w:r>
            <w:r>
              <w:rPr>
                <w:rFonts w:hint="eastAsia" w:ascii="宋体" w:hAnsi="宋体" w:cs="宋体"/>
                <w:sz w:val="18"/>
                <w:szCs w:val="18"/>
              </w:rPr>
              <w:t xml:space="preserve">    访谈是指测评人员通过引导信息系统相关人员进行有目的的（有针对性的）交流以帮助测评人员理解、分析或取得证据的过程；</w:t>
            </w:r>
            <w:r>
              <w:rPr>
                <w:rFonts w:hint="eastAsia" w:ascii="宋体" w:hAnsi="宋体" w:cs="宋体"/>
                <w:sz w:val="18"/>
                <w:szCs w:val="18"/>
              </w:rPr>
              <w:br w:type="textWrapping"/>
            </w:r>
            <w:r>
              <w:rPr>
                <w:rFonts w:hint="eastAsia" w:ascii="宋体" w:hAnsi="宋体" w:cs="宋体"/>
                <w:sz w:val="18"/>
                <w:szCs w:val="18"/>
              </w:rPr>
              <w:t xml:space="preserve">   检查是指测评人员通过对测评对象（如管理制度、操作记录、安全配置等）进行观察、查验、分析以帮助测评人员理解、分析或取得证据的过程；</w:t>
            </w:r>
          </w:p>
          <w:p w14:paraId="68B2D73F">
            <w:pPr>
              <w:spacing w:line="240" w:lineRule="auto"/>
              <w:ind w:firstLine="360" w:firstLineChars="200"/>
              <w:rPr>
                <w:rFonts w:ascii="宋体" w:hAnsi="宋体" w:cs="宋体"/>
                <w:sz w:val="18"/>
                <w:szCs w:val="18"/>
              </w:rPr>
            </w:pPr>
            <w:r>
              <w:rPr>
                <w:rFonts w:hint="eastAsia" w:ascii="宋体" w:hAnsi="宋体" w:cs="宋体"/>
                <w:sz w:val="18"/>
                <w:szCs w:val="18"/>
              </w:rPr>
              <w:t>测试是测评人员使用预定的方法/工具使测评对象产生特定的行为，通过查看和分析结果以帮助测评人员获取证据的过程；</w:t>
            </w:r>
          </w:p>
          <w:p w14:paraId="1D774598">
            <w:pPr>
              <w:spacing w:line="240" w:lineRule="auto"/>
              <w:ind w:firstLine="360" w:firstLineChars="200"/>
              <w:rPr>
                <w:rFonts w:ascii="宋体" w:hAnsi="宋体" w:cs="宋体"/>
                <w:sz w:val="18"/>
                <w:szCs w:val="18"/>
              </w:rPr>
            </w:pPr>
            <w:r>
              <w:rPr>
                <w:rFonts w:hint="eastAsia" w:ascii="宋体" w:hAnsi="宋体" w:cs="宋体"/>
                <w:sz w:val="18"/>
                <w:szCs w:val="18"/>
              </w:rPr>
              <w:t>渗透测试是模拟黑客的攻击方法，对受保护对象的应用系统、主机、网络进行攻击，从而验证测评对象的弱点、技术缺陷或漏洞的一种评估方法。</w:t>
            </w:r>
          </w:p>
          <w:p w14:paraId="0584FD73">
            <w:pPr>
              <w:pStyle w:val="20"/>
              <w:spacing w:line="240" w:lineRule="auto"/>
              <w:ind w:firstLine="344" w:firstLineChars="200"/>
              <w:rPr>
                <w:rFonts w:hAnsi="宋体"/>
                <w:sz w:val="18"/>
                <w:szCs w:val="18"/>
              </w:rPr>
            </w:pPr>
            <w:r>
              <w:rPr>
                <w:rFonts w:hint="eastAsia" w:hAnsi="宋体" w:cs="宋体"/>
                <w:sz w:val="18"/>
                <w:szCs w:val="18"/>
              </w:rPr>
              <w:t>测评机构应具备对测评过程中发现的漏洞进行深度挖掘的能力，以获得过国家计算机网络应急技术处理协调中心和国家信息安全漏洞共享平台（CNVD）颁发的《原创漏洞证明》为佳。</w:t>
            </w:r>
          </w:p>
          <w:p w14:paraId="18336157">
            <w:pPr>
              <w:spacing w:line="240" w:lineRule="auto"/>
              <w:rPr>
                <w:rFonts w:ascii="宋体" w:hAnsi="宋体" w:cs="宋体"/>
                <w:b/>
                <w:bCs/>
                <w:sz w:val="18"/>
                <w:szCs w:val="18"/>
              </w:rPr>
            </w:pPr>
            <w:r>
              <w:rPr>
                <w:rFonts w:hint="eastAsia" w:ascii="宋体" w:hAnsi="宋体" w:cs="宋体"/>
                <w:b/>
                <w:bCs/>
                <w:sz w:val="18"/>
                <w:szCs w:val="18"/>
              </w:rPr>
              <w:t>5、服务成果</w:t>
            </w:r>
          </w:p>
          <w:p w14:paraId="77211929">
            <w:pPr>
              <w:suppressAutoHyphens/>
              <w:spacing w:line="240" w:lineRule="auto"/>
              <w:ind w:firstLine="360" w:firstLineChars="200"/>
              <w:rPr>
                <w:rFonts w:ascii="宋体" w:hAnsi="宋体" w:cs="宋体"/>
                <w:sz w:val="18"/>
                <w:szCs w:val="18"/>
              </w:rPr>
            </w:pPr>
            <w:r>
              <w:rPr>
                <w:rFonts w:hint="eastAsia" w:ascii="宋体" w:hAnsi="宋体" w:cs="宋体"/>
                <w:sz w:val="18"/>
                <w:szCs w:val="18"/>
              </w:rPr>
              <w:t>测评完成后，出具符合等保2.0相关技术标准要求、国家网络安全等级保护管理部门规范要求且公安机关认可的的网络安全等级保护测评报告。</w:t>
            </w:r>
          </w:p>
          <w:p w14:paraId="15FB7005">
            <w:pPr>
              <w:spacing w:line="240" w:lineRule="auto"/>
              <w:rPr>
                <w:rFonts w:ascii="宋体" w:hAnsi="宋体" w:cs="宋体"/>
                <w:b/>
                <w:bCs/>
                <w:sz w:val="18"/>
                <w:szCs w:val="18"/>
              </w:rPr>
            </w:pPr>
            <w:r>
              <w:rPr>
                <w:rFonts w:hint="eastAsia" w:ascii="宋体" w:hAnsi="宋体" w:cs="宋体"/>
                <w:b/>
                <w:bCs/>
                <w:sz w:val="18"/>
                <w:szCs w:val="18"/>
              </w:rPr>
              <w:t>6、网络安全等级保护测评机构资质要求</w:t>
            </w:r>
          </w:p>
          <w:p w14:paraId="56CEA333">
            <w:pPr>
              <w:suppressAutoHyphens/>
              <w:spacing w:line="240" w:lineRule="auto"/>
              <w:ind w:firstLine="360" w:firstLineChars="200"/>
              <w:rPr>
                <w:rFonts w:hint="eastAsia" w:ascii="宋体" w:hAnsi="宋体" w:cs="宋体"/>
                <w:sz w:val="18"/>
                <w:szCs w:val="18"/>
              </w:rPr>
            </w:pPr>
            <w:r>
              <w:rPr>
                <w:rFonts w:hint="eastAsia" w:ascii="宋体" w:hAnsi="宋体" w:cs="宋体"/>
                <w:sz w:val="18"/>
                <w:szCs w:val="18"/>
              </w:rPr>
              <w:t>测评机构必须具备公安部第三研究所认证颁发的《网络安全等级测评与检测评估机构服务认证证书》，投标时须提供以上证书复印件并加盖投标人公章。在本项目进行期间，未经采购人同意，测评过程中不得离场，且中途不得更换人员，也不得将检测任务分包或转包。</w:t>
            </w:r>
          </w:p>
        </w:tc>
        <w:tc>
          <w:tcPr>
            <w:tcW w:w="851" w:type="dxa"/>
            <w:shd w:val="clear" w:color="auto" w:fill="auto"/>
            <w:vAlign w:val="center"/>
          </w:tcPr>
          <w:p w14:paraId="51A4D94B">
            <w:pPr>
              <w:spacing w:line="330" w:lineRule="exact"/>
              <w:jc w:val="center"/>
              <w:rPr>
                <w:rFonts w:ascii="宋体" w:hAnsi="宋体" w:cs="宋体"/>
                <w:szCs w:val="21"/>
              </w:rPr>
            </w:pPr>
            <w:r>
              <w:rPr>
                <w:rFonts w:hint="eastAsia" w:ascii="宋体" w:hAnsi="宋体" w:cs="宋体"/>
                <w:color w:val="000000"/>
                <w:szCs w:val="21"/>
              </w:rPr>
              <w:t>1</w:t>
            </w:r>
          </w:p>
        </w:tc>
        <w:tc>
          <w:tcPr>
            <w:tcW w:w="850" w:type="dxa"/>
            <w:shd w:val="clear" w:color="auto" w:fill="auto"/>
            <w:vAlign w:val="center"/>
          </w:tcPr>
          <w:p w14:paraId="7CFE7813">
            <w:pPr>
              <w:spacing w:line="330" w:lineRule="exact"/>
              <w:jc w:val="center"/>
              <w:rPr>
                <w:rFonts w:ascii="宋体" w:hAnsi="宋体" w:cs="宋体"/>
                <w:szCs w:val="21"/>
              </w:rPr>
            </w:pPr>
            <w:r>
              <w:rPr>
                <w:rFonts w:hint="eastAsia" w:ascii="宋体" w:hAnsi="宋体" w:cs="宋体"/>
                <w:color w:val="000000"/>
                <w:szCs w:val="21"/>
              </w:rPr>
              <w:t>项</w:t>
            </w:r>
          </w:p>
        </w:tc>
      </w:tr>
      <w:tr w14:paraId="74B9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3EA1E707">
            <w:pPr>
              <w:spacing w:line="330" w:lineRule="exact"/>
              <w:jc w:val="center"/>
              <w:rPr>
                <w:rFonts w:hint="eastAsia" w:ascii="宋体" w:hAnsi="宋体" w:eastAsia="宋体"/>
                <w:bCs/>
                <w:sz w:val="18"/>
                <w:szCs w:val="18"/>
                <w:lang w:eastAsia="zh-CN"/>
              </w:rPr>
            </w:pPr>
            <w:r>
              <w:rPr>
                <w:rFonts w:hint="eastAsia" w:ascii="宋体" w:hAnsi="宋体"/>
                <w:bCs/>
                <w:sz w:val="18"/>
                <w:szCs w:val="18"/>
                <w:lang w:val="en-US" w:eastAsia="zh-CN"/>
              </w:rPr>
              <w:t>8</w:t>
            </w:r>
          </w:p>
        </w:tc>
        <w:tc>
          <w:tcPr>
            <w:tcW w:w="1240" w:type="dxa"/>
            <w:shd w:val="clear" w:color="auto" w:fill="auto"/>
            <w:vAlign w:val="center"/>
          </w:tcPr>
          <w:p w14:paraId="111C6110">
            <w:pPr>
              <w:spacing w:line="330" w:lineRule="exact"/>
              <w:jc w:val="center"/>
              <w:rPr>
                <w:rFonts w:hint="eastAsia" w:ascii="宋体" w:hAnsi="宋体" w:cs="宋体"/>
                <w:sz w:val="18"/>
                <w:szCs w:val="18"/>
              </w:rPr>
            </w:pPr>
            <w:r>
              <w:rPr>
                <w:rFonts w:hint="eastAsia" w:ascii="宋体" w:hAnsi="宋体" w:cs="宋体"/>
                <w:sz w:val="18"/>
                <w:szCs w:val="18"/>
                <w:lang w:val="en-US" w:eastAsia="zh-CN"/>
              </w:rPr>
              <w:t>信息集成平台</w:t>
            </w:r>
            <w:r>
              <w:rPr>
                <w:rFonts w:hint="eastAsia" w:ascii="宋体" w:hAnsi="宋体" w:cs="宋体"/>
                <w:sz w:val="18"/>
                <w:szCs w:val="18"/>
              </w:rPr>
              <w:t>差距整改咨询服务</w:t>
            </w:r>
          </w:p>
        </w:tc>
        <w:tc>
          <w:tcPr>
            <w:tcW w:w="5381" w:type="dxa"/>
            <w:shd w:val="clear" w:color="auto" w:fill="auto"/>
            <w:vAlign w:val="top"/>
          </w:tcPr>
          <w:p w14:paraId="45FCD0F7">
            <w:pPr>
              <w:spacing w:line="240" w:lineRule="auto"/>
              <w:rPr>
                <w:rFonts w:ascii="宋体" w:hAnsi="宋体" w:cs="宋体"/>
                <w:b/>
                <w:bCs/>
                <w:sz w:val="18"/>
                <w:szCs w:val="18"/>
              </w:rPr>
            </w:pPr>
            <w:r>
              <w:rPr>
                <w:rFonts w:hint="eastAsia" w:ascii="宋体" w:hAnsi="宋体" w:cs="宋体"/>
                <w:b/>
                <w:bCs/>
                <w:sz w:val="18"/>
                <w:szCs w:val="18"/>
              </w:rPr>
              <w:t>1、安全评估服务</w:t>
            </w:r>
          </w:p>
          <w:p w14:paraId="08BE8B39">
            <w:pPr>
              <w:spacing w:line="240" w:lineRule="auto"/>
              <w:ind w:firstLine="360" w:firstLineChars="200"/>
              <w:rPr>
                <w:rFonts w:ascii="宋体" w:hAnsi="宋体" w:cs="宋体"/>
                <w:sz w:val="18"/>
                <w:szCs w:val="18"/>
              </w:rPr>
            </w:pPr>
            <w:r>
              <w:rPr>
                <w:rFonts w:hint="eastAsia" w:ascii="宋体" w:hAnsi="宋体" w:cs="宋体"/>
                <w:sz w:val="18"/>
                <w:szCs w:val="18"/>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14:paraId="3321887B">
            <w:pPr>
              <w:spacing w:line="240" w:lineRule="auto"/>
              <w:rPr>
                <w:rFonts w:ascii="宋体" w:hAnsi="宋体" w:cs="宋体"/>
                <w:b/>
                <w:bCs/>
                <w:sz w:val="18"/>
                <w:szCs w:val="18"/>
              </w:rPr>
            </w:pPr>
            <w:r>
              <w:rPr>
                <w:rFonts w:hint="eastAsia" w:ascii="宋体" w:hAnsi="宋体" w:cs="宋体"/>
                <w:b/>
                <w:bCs/>
                <w:sz w:val="18"/>
                <w:szCs w:val="18"/>
              </w:rPr>
              <w:t>2、差距分析服务</w:t>
            </w:r>
          </w:p>
          <w:p w14:paraId="608857F5">
            <w:pPr>
              <w:spacing w:line="240" w:lineRule="auto"/>
              <w:ind w:firstLine="360" w:firstLineChars="200"/>
              <w:rPr>
                <w:rFonts w:ascii="宋体" w:hAnsi="宋体" w:cs="宋体"/>
                <w:sz w:val="18"/>
                <w:szCs w:val="18"/>
              </w:rPr>
            </w:pPr>
            <w:r>
              <w:rPr>
                <w:rFonts w:hint="eastAsia" w:ascii="宋体" w:hAnsi="宋体" w:cs="宋体"/>
                <w:sz w:val="18"/>
                <w:szCs w:val="18"/>
              </w:rPr>
              <w:t>包含依照系统准备差距分析表、安全管理差距分析（通过文档、访谈和测试等方式）、安全技术差距分析（通过文档、访谈等方式）、生成等级保护差距分析报告。</w:t>
            </w:r>
          </w:p>
          <w:p w14:paraId="238213FB">
            <w:pPr>
              <w:spacing w:line="240" w:lineRule="auto"/>
              <w:rPr>
                <w:rFonts w:ascii="宋体" w:hAnsi="宋体" w:cs="宋体"/>
                <w:b/>
                <w:bCs/>
                <w:sz w:val="18"/>
                <w:szCs w:val="18"/>
              </w:rPr>
            </w:pPr>
            <w:r>
              <w:rPr>
                <w:rFonts w:hint="eastAsia" w:ascii="宋体" w:hAnsi="宋体" w:cs="宋体"/>
                <w:b/>
                <w:bCs/>
                <w:sz w:val="18"/>
                <w:szCs w:val="18"/>
              </w:rPr>
              <w:t>3、安全规划服务</w:t>
            </w:r>
          </w:p>
          <w:p w14:paraId="2E612FA8">
            <w:pPr>
              <w:spacing w:line="240" w:lineRule="auto"/>
              <w:ind w:firstLine="360" w:firstLineChars="200"/>
              <w:rPr>
                <w:rFonts w:ascii="宋体" w:hAnsi="宋体" w:cs="宋体"/>
                <w:sz w:val="18"/>
                <w:szCs w:val="18"/>
              </w:rPr>
            </w:pPr>
            <w:r>
              <w:rPr>
                <w:rFonts w:hint="eastAsia" w:ascii="宋体" w:hAnsi="宋体" w:cs="宋体"/>
                <w:sz w:val="18"/>
                <w:szCs w:val="18"/>
              </w:rPr>
              <w:t>包含安全需求分析 、安全建设与改建方案的制定、制作原信息系统产品加固方案、测评不符合及部分符合项整改建议、制作新的网络拓扑图、制作安全需求分析报告、编制并确认整体信息系统整改方案。</w:t>
            </w:r>
          </w:p>
          <w:p w14:paraId="5FB14B82">
            <w:pPr>
              <w:spacing w:line="240" w:lineRule="auto"/>
              <w:rPr>
                <w:rFonts w:ascii="宋体" w:hAnsi="宋体" w:cs="宋体"/>
                <w:b/>
                <w:bCs/>
                <w:sz w:val="18"/>
                <w:szCs w:val="18"/>
              </w:rPr>
            </w:pPr>
            <w:r>
              <w:rPr>
                <w:rFonts w:hint="eastAsia" w:ascii="宋体" w:hAnsi="宋体" w:cs="宋体"/>
                <w:b/>
                <w:bCs/>
                <w:sz w:val="18"/>
                <w:szCs w:val="18"/>
              </w:rPr>
              <w:t>4、整改咨询服务</w:t>
            </w:r>
          </w:p>
          <w:p w14:paraId="2D30C468">
            <w:pPr>
              <w:spacing w:line="240" w:lineRule="auto"/>
              <w:ind w:firstLine="360" w:firstLineChars="200"/>
              <w:rPr>
                <w:rFonts w:ascii="宋体" w:hAnsi="宋体" w:cs="宋体"/>
                <w:sz w:val="18"/>
                <w:szCs w:val="18"/>
              </w:rPr>
            </w:pPr>
            <w:r>
              <w:rPr>
                <w:rFonts w:hint="eastAsia" w:ascii="宋体" w:hAnsi="宋体" w:cs="宋体"/>
                <w:sz w:val="18"/>
                <w:szCs w:val="18"/>
              </w:rPr>
              <w:t>依据等级保护相关技术标准，协助采购方完成需测评信息系统的安全整改咨询服务，完善信息系统安全防护措施，以期使各信息系统达到等级保护基本符合的要求。</w:t>
            </w:r>
          </w:p>
          <w:p w14:paraId="3327BC49">
            <w:pPr>
              <w:spacing w:line="240" w:lineRule="auto"/>
              <w:rPr>
                <w:rFonts w:ascii="宋体" w:hAnsi="宋体" w:cs="宋体"/>
                <w:b/>
                <w:bCs/>
                <w:sz w:val="18"/>
                <w:szCs w:val="18"/>
              </w:rPr>
            </w:pPr>
            <w:r>
              <w:rPr>
                <w:rFonts w:hint="eastAsia" w:ascii="宋体" w:hAnsi="宋体" w:cs="宋体"/>
                <w:b/>
                <w:bCs/>
                <w:sz w:val="18"/>
                <w:szCs w:val="18"/>
              </w:rPr>
              <w:t>5、安全咨询服务</w:t>
            </w:r>
          </w:p>
          <w:p w14:paraId="45277DF8">
            <w:pPr>
              <w:spacing w:line="240" w:lineRule="auto"/>
              <w:ind w:firstLine="360" w:firstLineChars="200"/>
              <w:rPr>
                <w:rFonts w:ascii="宋体" w:hAnsi="宋体" w:cs="宋体"/>
                <w:sz w:val="18"/>
                <w:szCs w:val="18"/>
              </w:rPr>
            </w:pPr>
            <w:r>
              <w:rPr>
                <w:rFonts w:hint="eastAsia" w:ascii="宋体" w:hAnsi="宋体" w:cs="宋体"/>
                <w:sz w:val="18"/>
                <w:szCs w:val="18"/>
              </w:rPr>
              <w:t>由安全服务商提供的电话、邮件、面谈等方式提供各类信息系统安全咨询和建议服务。（时间1年）</w:t>
            </w:r>
          </w:p>
          <w:p w14:paraId="2666861C">
            <w:pPr>
              <w:spacing w:line="240" w:lineRule="auto"/>
              <w:rPr>
                <w:rFonts w:ascii="宋体" w:hAnsi="宋体" w:cs="宋体"/>
                <w:b/>
                <w:bCs/>
                <w:sz w:val="18"/>
                <w:szCs w:val="18"/>
              </w:rPr>
            </w:pPr>
            <w:r>
              <w:rPr>
                <w:rFonts w:hint="eastAsia" w:ascii="宋体" w:hAnsi="宋体" w:cs="宋体"/>
                <w:b/>
                <w:bCs/>
                <w:sz w:val="18"/>
                <w:szCs w:val="18"/>
              </w:rPr>
              <w:t>6、差距整改咨询服务人员资质</w:t>
            </w:r>
          </w:p>
          <w:p w14:paraId="08A6E356">
            <w:pPr>
              <w:spacing w:line="240" w:lineRule="auto"/>
              <w:ind w:firstLine="360" w:firstLineChars="200"/>
              <w:rPr>
                <w:rFonts w:ascii="宋体" w:hAnsi="宋体" w:cs="宋体"/>
                <w:sz w:val="18"/>
                <w:szCs w:val="18"/>
              </w:rPr>
            </w:pPr>
            <w:r>
              <w:rPr>
                <w:rFonts w:hint="eastAsia" w:ascii="宋体" w:hAnsi="宋体" w:cs="宋体"/>
                <w:sz w:val="18"/>
                <w:szCs w:val="18"/>
              </w:rPr>
              <w:t>提供整改咨询服务团队人员不少于5名工程师。</w:t>
            </w:r>
          </w:p>
          <w:p w14:paraId="3E11D294">
            <w:pPr>
              <w:spacing w:line="240" w:lineRule="auto"/>
              <w:ind w:firstLine="360" w:firstLineChars="200"/>
              <w:rPr>
                <w:rFonts w:hint="eastAsia" w:ascii="宋体" w:hAnsi="宋体" w:cs="宋体"/>
                <w:sz w:val="18"/>
                <w:szCs w:val="18"/>
              </w:rPr>
            </w:pPr>
            <w:r>
              <w:rPr>
                <w:rFonts w:hint="eastAsia" w:ascii="宋体" w:hAnsi="宋体" w:eastAsia="宋体" w:cs="宋体"/>
                <w:sz w:val="18"/>
                <w:szCs w:val="18"/>
              </w:rPr>
              <w:t>团队人员中至少2名</w:t>
            </w:r>
            <w:r>
              <w:rPr>
                <w:rFonts w:hint="eastAsia" w:ascii="宋体" w:hAnsi="宋体" w:eastAsia="宋体" w:cs="宋体"/>
                <w:sz w:val="18"/>
                <w:szCs w:val="18"/>
                <w:lang w:val="en-US" w:eastAsia="zh-CN"/>
              </w:rPr>
              <w:t>取得</w:t>
            </w:r>
            <w:r>
              <w:rPr>
                <w:rFonts w:hint="eastAsia" w:ascii="宋体" w:hAnsi="宋体" w:eastAsia="宋体" w:cs="宋体"/>
                <w:sz w:val="18"/>
                <w:szCs w:val="18"/>
                <w:lang w:eastAsia="zh-Hans"/>
              </w:rPr>
              <w:t>信息（网络）安全等级测评师（</w:t>
            </w:r>
            <w:r>
              <w:rPr>
                <w:rFonts w:hint="eastAsia" w:ascii="宋体" w:hAnsi="宋体" w:eastAsia="宋体" w:cs="宋体"/>
                <w:sz w:val="18"/>
                <w:szCs w:val="18"/>
                <w:lang w:val="en-US" w:eastAsia="zh-CN"/>
              </w:rPr>
              <w:t>高级</w:t>
            </w:r>
            <w:r>
              <w:rPr>
                <w:rFonts w:hint="eastAsia" w:ascii="宋体" w:hAnsi="宋体" w:eastAsia="宋体" w:cs="宋体"/>
                <w:sz w:val="18"/>
                <w:szCs w:val="18"/>
                <w:lang w:eastAsia="zh-Hans"/>
              </w:rPr>
              <w:t>）</w:t>
            </w:r>
            <w:r>
              <w:rPr>
                <w:rFonts w:hint="eastAsia" w:ascii="宋体" w:hAnsi="宋体" w:eastAsia="宋体" w:cs="宋体"/>
                <w:sz w:val="18"/>
                <w:szCs w:val="18"/>
              </w:rPr>
              <w:t>；至少</w:t>
            </w:r>
            <w:r>
              <w:rPr>
                <w:rFonts w:hint="eastAsia" w:ascii="宋体" w:hAnsi="宋体" w:eastAsia="宋体" w:cs="宋体"/>
                <w:sz w:val="18"/>
                <w:szCs w:val="18"/>
                <w:lang w:val="en-US" w:eastAsia="zh-CN"/>
              </w:rPr>
              <w:t>2</w:t>
            </w:r>
            <w:r>
              <w:rPr>
                <w:rFonts w:hint="eastAsia" w:ascii="宋体" w:hAnsi="宋体" w:eastAsia="宋体" w:cs="宋体"/>
                <w:sz w:val="18"/>
                <w:szCs w:val="18"/>
              </w:rPr>
              <w:t>名服务工程师</w:t>
            </w:r>
            <w:r>
              <w:rPr>
                <w:rFonts w:hint="eastAsia" w:ascii="宋体" w:hAnsi="宋体" w:eastAsia="宋体" w:cs="宋体"/>
                <w:sz w:val="18"/>
                <w:szCs w:val="18"/>
                <w:lang w:val="en-US" w:eastAsia="zh-CN"/>
              </w:rPr>
              <w:t>取</w:t>
            </w:r>
            <w:r>
              <w:rPr>
                <w:rFonts w:hint="eastAsia" w:ascii="宋体" w:hAnsi="宋体" w:eastAsia="宋体" w:cs="宋体"/>
                <w:sz w:val="18"/>
                <w:szCs w:val="18"/>
              </w:rPr>
              <w:t>得主流网络厂商的高级网络工程师证书，至</w:t>
            </w:r>
            <w:r>
              <w:rPr>
                <w:rFonts w:hint="eastAsia" w:ascii="宋体" w:hAnsi="宋体" w:cs="宋体"/>
                <w:sz w:val="18"/>
                <w:szCs w:val="18"/>
              </w:rPr>
              <w:t>少3名服务工程师</w:t>
            </w:r>
            <w:r>
              <w:rPr>
                <w:rFonts w:hint="eastAsia" w:ascii="宋体" w:hAnsi="宋体" w:cs="宋体"/>
                <w:sz w:val="18"/>
                <w:szCs w:val="18"/>
                <w:lang w:val="en-US" w:eastAsia="zh-CN"/>
              </w:rPr>
              <w:t>取</w:t>
            </w:r>
            <w:r>
              <w:rPr>
                <w:rFonts w:hint="eastAsia" w:ascii="宋体" w:hAnsi="宋体" w:cs="宋体"/>
                <w:sz w:val="18"/>
                <w:szCs w:val="18"/>
              </w:rPr>
              <w:t>得CISAW-信息安全保障人员认证证书（风险管理），投标时必须提供以上人员资质证书复印件并加盖投标人公章。</w:t>
            </w:r>
          </w:p>
        </w:tc>
        <w:tc>
          <w:tcPr>
            <w:tcW w:w="851" w:type="dxa"/>
            <w:shd w:val="clear" w:color="auto" w:fill="auto"/>
            <w:vAlign w:val="center"/>
          </w:tcPr>
          <w:p w14:paraId="68823A3F">
            <w:pPr>
              <w:spacing w:line="330" w:lineRule="exact"/>
              <w:jc w:val="center"/>
              <w:rPr>
                <w:rFonts w:ascii="宋体" w:hAnsi="宋体" w:cs="宋体"/>
                <w:szCs w:val="21"/>
              </w:rPr>
            </w:pPr>
            <w:r>
              <w:rPr>
                <w:rFonts w:hint="eastAsia" w:ascii="宋体" w:hAnsi="宋体" w:cs="宋体"/>
                <w:color w:val="000000"/>
                <w:szCs w:val="21"/>
              </w:rPr>
              <w:t>1</w:t>
            </w:r>
          </w:p>
        </w:tc>
        <w:tc>
          <w:tcPr>
            <w:tcW w:w="850" w:type="dxa"/>
            <w:shd w:val="clear" w:color="auto" w:fill="auto"/>
            <w:vAlign w:val="center"/>
          </w:tcPr>
          <w:p w14:paraId="4088BB57">
            <w:pPr>
              <w:spacing w:line="330" w:lineRule="exact"/>
              <w:jc w:val="center"/>
              <w:rPr>
                <w:rFonts w:ascii="宋体" w:hAnsi="宋体" w:cs="宋体"/>
                <w:szCs w:val="21"/>
              </w:rPr>
            </w:pPr>
            <w:r>
              <w:rPr>
                <w:rFonts w:hint="eastAsia" w:ascii="宋体" w:hAnsi="宋体" w:cs="宋体"/>
                <w:color w:val="000000"/>
                <w:szCs w:val="21"/>
              </w:rPr>
              <w:t>项</w:t>
            </w:r>
          </w:p>
        </w:tc>
      </w:tr>
      <w:tr w14:paraId="0E6F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14:paraId="4700D764">
            <w:pPr>
              <w:spacing w:line="330" w:lineRule="exact"/>
              <w:jc w:val="center"/>
              <w:rPr>
                <w:rFonts w:ascii="宋体" w:hAnsi="宋体"/>
                <w:bCs/>
                <w:sz w:val="18"/>
                <w:szCs w:val="18"/>
              </w:rPr>
            </w:pPr>
          </w:p>
          <w:p w14:paraId="5D482AF5">
            <w:pPr>
              <w:spacing w:line="330" w:lineRule="exact"/>
              <w:jc w:val="center"/>
              <w:rPr>
                <w:rFonts w:ascii="宋体" w:hAnsi="宋体"/>
                <w:bCs/>
                <w:sz w:val="18"/>
                <w:szCs w:val="18"/>
              </w:rPr>
            </w:pPr>
          </w:p>
          <w:p w14:paraId="4AD0A1C7">
            <w:pPr>
              <w:spacing w:line="330" w:lineRule="exact"/>
              <w:jc w:val="center"/>
              <w:rPr>
                <w:rFonts w:ascii="宋体" w:hAnsi="宋体"/>
                <w:bCs/>
                <w:sz w:val="18"/>
                <w:szCs w:val="18"/>
              </w:rPr>
            </w:pPr>
          </w:p>
          <w:p w14:paraId="74739273">
            <w:pPr>
              <w:spacing w:line="330" w:lineRule="exact"/>
              <w:jc w:val="center"/>
              <w:rPr>
                <w:rFonts w:ascii="宋体" w:hAnsi="宋体"/>
                <w:bCs/>
                <w:sz w:val="18"/>
                <w:szCs w:val="18"/>
              </w:rPr>
            </w:pPr>
          </w:p>
          <w:p w14:paraId="3E9CB286">
            <w:pPr>
              <w:spacing w:line="330" w:lineRule="exact"/>
              <w:jc w:val="center"/>
              <w:rPr>
                <w:rFonts w:ascii="宋体" w:hAnsi="宋体"/>
                <w:bCs/>
                <w:sz w:val="18"/>
                <w:szCs w:val="18"/>
              </w:rPr>
            </w:pPr>
          </w:p>
          <w:p w14:paraId="7C198257">
            <w:pPr>
              <w:spacing w:line="330" w:lineRule="exact"/>
              <w:jc w:val="center"/>
              <w:rPr>
                <w:rFonts w:ascii="宋体" w:hAnsi="宋体"/>
                <w:bCs/>
                <w:sz w:val="18"/>
                <w:szCs w:val="18"/>
              </w:rPr>
            </w:pPr>
          </w:p>
          <w:p w14:paraId="2453E384">
            <w:pPr>
              <w:spacing w:line="330" w:lineRule="exact"/>
              <w:jc w:val="center"/>
              <w:rPr>
                <w:rFonts w:ascii="宋体" w:hAnsi="宋体"/>
                <w:bCs/>
                <w:sz w:val="18"/>
                <w:szCs w:val="18"/>
              </w:rPr>
            </w:pPr>
          </w:p>
          <w:p w14:paraId="1E36F5EB">
            <w:pPr>
              <w:spacing w:line="330" w:lineRule="exact"/>
              <w:jc w:val="center"/>
              <w:rPr>
                <w:rFonts w:ascii="宋体" w:hAnsi="宋体"/>
                <w:bCs/>
                <w:sz w:val="18"/>
                <w:szCs w:val="18"/>
              </w:rPr>
            </w:pPr>
          </w:p>
          <w:p w14:paraId="30D5B141">
            <w:pPr>
              <w:spacing w:line="330" w:lineRule="exact"/>
              <w:jc w:val="center"/>
              <w:rPr>
                <w:rFonts w:ascii="宋体" w:hAnsi="宋体"/>
                <w:bCs/>
                <w:sz w:val="18"/>
                <w:szCs w:val="18"/>
              </w:rPr>
            </w:pPr>
          </w:p>
          <w:p w14:paraId="140BA701">
            <w:pPr>
              <w:spacing w:line="330" w:lineRule="exact"/>
              <w:jc w:val="center"/>
              <w:rPr>
                <w:rFonts w:ascii="宋体" w:hAnsi="宋体"/>
                <w:bCs/>
                <w:sz w:val="18"/>
                <w:szCs w:val="18"/>
              </w:rPr>
            </w:pPr>
          </w:p>
          <w:p w14:paraId="637D599F">
            <w:pPr>
              <w:spacing w:line="330" w:lineRule="exact"/>
              <w:jc w:val="center"/>
              <w:rPr>
                <w:rFonts w:ascii="宋体" w:hAnsi="宋体"/>
                <w:bCs/>
                <w:sz w:val="18"/>
                <w:szCs w:val="18"/>
              </w:rPr>
            </w:pPr>
          </w:p>
          <w:p w14:paraId="0E82A524">
            <w:pPr>
              <w:spacing w:line="330" w:lineRule="exact"/>
              <w:jc w:val="center"/>
              <w:rPr>
                <w:rFonts w:ascii="宋体" w:hAnsi="宋体"/>
                <w:bCs/>
                <w:sz w:val="18"/>
                <w:szCs w:val="18"/>
              </w:rPr>
            </w:pPr>
          </w:p>
          <w:p w14:paraId="6A19593F">
            <w:pPr>
              <w:spacing w:line="330" w:lineRule="exact"/>
              <w:jc w:val="center"/>
              <w:rPr>
                <w:rFonts w:ascii="宋体" w:hAnsi="宋体"/>
                <w:bCs/>
                <w:sz w:val="18"/>
                <w:szCs w:val="18"/>
              </w:rPr>
            </w:pPr>
          </w:p>
          <w:p w14:paraId="4E350CEF">
            <w:pPr>
              <w:spacing w:line="330" w:lineRule="exact"/>
              <w:jc w:val="center"/>
              <w:rPr>
                <w:rFonts w:ascii="宋体" w:hAnsi="宋体"/>
                <w:bCs/>
                <w:sz w:val="18"/>
                <w:szCs w:val="18"/>
              </w:rPr>
            </w:pPr>
          </w:p>
          <w:p w14:paraId="171E0B1F">
            <w:pPr>
              <w:spacing w:line="330" w:lineRule="exact"/>
              <w:jc w:val="center"/>
              <w:rPr>
                <w:rFonts w:ascii="宋体" w:hAnsi="宋体"/>
                <w:bCs/>
                <w:sz w:val="18"/>
                <w:szCs w:val="18"/>
              </w:rPr>
            </w:pPr>
          </w:p>
          <w:p w14:paraId="3931BABC">
            <w:pPr>
              <w:spacing w:line="330" w:lineRule="exact"/>
              <w:jc w:val="center"/>
              <w:rPr>
                <w:rFonts w:ascii="宋体" w:hAnsi="宋体"/>
                <w:bCs/>
                <w:sz w:val="18"/>
                <w:szCs w:val="18"/>
              </w:rPr>
            </w:pPr>
          </w:p>
          <w:p w14:paraId="41CA1628">
            <w:pPr>
              <w:spacing w:line="330" w:lineRule="exact"/>
              <w:jc w:val="center"/>
              <w:rPr>
                <w:rFonts w:ascii="宋体" w:hAnsi="宋体"/>
                <w:bCs/>
                <w:sz w:val="18"/>
                <w:szCs w:val="18"/>
              </w:rPr>
            </w:pPr>
          </w:p>
          <w:p w14:paraId="438CAC0A">
            <w:pPr>
              <w:spacing w:line="330" w:lineRule="exact"/>
              <w:jc w:val="center"/>
              <w:rPr>
                <w:rFonts w:ascii="宋体" w:hAnsi="宋体"/>
                <w:bCs/>
                <w:sz w:val="18"/>
                <w:szCs w:val="18"/>
              </w:rPr>
            </w:pPr>
          </w:p>
          <w:p w14:paraId="6179A4DC">
            <w:pPr>
              <w:spacing w:line="330" w:lineRule="exact"/>
              <w:jc w:val="center"/>
              <w:rPr>
                <w:rFonts w:ascii="宋体" w:hAnsi="宋体"/>
                <w:bCs/>
                <w:sz w:val="18"/>
                <w:szCs w:val="18"/>
              </w:rPr>
            </w:pPr>
          </w:p>
          <w:p w14:paraId="76895989">
            <w:pPr>
              <w:spacing w:line="330" w:lineRule="exact"/>
              <w:jc w:val="center"/>
              <w:rPr>
                <w:rFonts w:hint="eastAsia" w:ascii="宋体" w:hAnsi="宋体" w:eastAsia="宋体"/>
                <w:bCs/>
                <w:sz w:val="18"/>
                <w:szCs w:val="18"/>
                <w:lang w:val="en-US" w:eastAsia="zh-CN"/>
              </w:rPr>
            </w:pPr>
            <w:r>
              <w:rPr>
                <w:rFonts w:hint="eastAsia" w:ascii="宋体" w:hAnsi="宋体"/>
                <w:bCs/>
                <w:sz w:val="18"/>
                <w:szCs w:val="18"/>
                <w:lang w:val="en-US" w:eastAsia="zh-CN"/>
              </w:rPr>
              <w:t>9</w:t>
            </w:r>
          </w:p>
        </w:tc>
        <w:tc>
          <w:tcPr>
            <w:tcW w:w="1240" w:type="dxa"/>
            <w:shd w:val="clear" w:color="auto" w:fill="auto"/>
            <w:vAlign w:val="center"/>
          </w:tcPr>
          <w:p w14:paraId="06E7E5FA">
            <w:pPr>
              <w:spacing w:line="330" w:lineRule="exact"/>
              <w:jc w:val="both"/>
              <w:rPr>
                <w:rFonts w:ascii="宋体" w:hAnsi="宋体" w:cs="宋体"/>
                <w:sz w:val="18"/>
                <w:szCs w:val="18"/>
              </w:rPr>
            </w:pPr>
          </w:p>
          <w:p w14:paraId="0884F6B7">
            <w:pPr>
              <w:spacing w:line="330" w:lineRule="exact"/>
              <w:jc w:val="both"/>
              <w:rPr>
                <w:rFonts w:ascii="宋体" w:hAnsi="宋体" w:cs="宋体"/>
                <w:sz w:val="18"/>
                <w:szCs w:val="18"/>
              </w:rPr>
            </w:pPr>
          </w:p>
          <w:p w14:paraId="7309C5CC">
            <w:pPr>
              <w:spacing w:line="330" w:lineRule="exact"/>
              <w:jc w:val="both"/>
              <w:rPr>
                <w:rFonts w:ascii="宋体" w:hAnsi="宋体" w:cs="宋体"/>
                <w:sz w:val="18"/>
                <w:szCs w:val="18"/>
              </w:rPr>
            </w:pPr>
          </w:p>
          <w:p w14:paraId="75BEB41C">
            <w:pPr>
              <w:spacing w:line="330" w:lineRule="exact"/>
              <w:jc w:val="both"/>
              <w:rPr>
                <w:rFonts w:ascii="宋体" w:hAnsi="宋体" w:cs="宋体"/>
                <w:sz w:val="18"/>
                <w:szCs w:val="18"/>
              </w:rPr>
            </w:pPr>
          </w:p>
          <w:p w14:paraId="6489DD56">
            <w:pPr>
              <w:spacing w:line="330" w:lineRule="exact"/>
              <w:jc w:val="both"/>
              <w:rPr>
                <w:rFonts w:ascii="宋体" w:hAnsi="宋体" w:cs="宋体"/>
                <w:sz w:val="18"/>
                <w:szCs w:val="18"/>
              </w:rPr>
            </w:pPr>
          </w:p>
          <w:p w14:paraId="2BEF7D8A">
            <w:pPr>
              <w:spacing w:line="330" w:lineRule="exact"/>
              <w:jc w:val="both"/>
              <w:rPr>
                <w:rFonts w:ascii="宋体" w:hAnsi="宋体" w:cs="宋体"/>
                <w:sz w:val="18"/>
                <w:szCs w:val="18"/>
              </w:rPr>
            </w:pPr>
          </w:p>
          <w:p w14:paraId="405A9D6E">
            <w:pPr>
              <w:spacing w:line="330" w:lineRule="exact"/>
              <w:jc w:val="both"/>
              <w:rPr>
                <w:rFonts w:ascii="宋体" w:hAnsi="宋体" w:cs="宋体"/>
                <w:sz w:val="18"/>
                <w:szCs w:val="18"/>
              </w:rPr>
            </w:pPr>
          </w:p>
          <w:p w14:paraId="1879B951">
            <w:pPr>
              <w:spacing w:line="330" w:lineRule="exact"/>
              <w:jc w:val="both"/>
              <w:rPr>
                <w:rFonts w:ascii="宋体" w:hAnsi="宋体" w:cs="宋体"/>
                <w:sz w:val="18"/>
                <w:szCs w:val="18"/>
              </w:rPr>
            </w:pPr>
          </w:p>
          <w:p w14:paraId="5F75F246">
            <w:pPr>
              <w:spacing w:line="330" w:lineRule="exact"/>
              <w:jc w:val="both"/>
              <w:rPr>
                <w:rFonts w:ascii="宋体" w:hAnsi="宋体" w:cs="宋体"/>
                <w:sz w:val="18"/>
                <w:szCs w:val="18"/>
              </w:rPr>
            </w:pPr>
          </w:p>
          <w:p w14:paraId="5C9C73C5">
            <w:pPr>
              <w:spacing w:line="330" w:lineRule="exact"/>
              <w:jc w:val="both"/>
              <w:rPr>
                <w:rFonts w:ascii="宋体" w:hAnsi="宋体" w:cs="宋体"/>
                <w:sz w:val="18"/>
                <w:szCs w:val="18"/>
              </w:rPr>
            </w:pPr>
          </w:p>
          <w:p w14:paraId="1BE9D304">
            <w:pPr>
              <w:spacing w:line="330" w:lineRule="exact"/>
              <w:jc w:val="both"/>
              <w:rPr>
                <w:rFonts w:ascii="宋体" w:hAnsi="宋体" w:cs="宋体"/>
                <w:sz w:val="18"/>
                <w:szCs w:val="18"/>
              </w:rPr>
            </w:pPr>
          </w:p>
          <w:p w14:paraId="6C549983">
            <w:pPr>
              <w:spacing w:line="330" w:lineRule="exact"/>
              <w:jc w:val="both"/>
              <w:rPr>
                <w:rFonts w:ascii="宋体" w:hAnsi="宋体" w:cs="宋体"/>
                <w:sz w:val="18"/>
                <w:szCs w:val="18"/>
              </w:rPr>
            </w:pPr>
          </w:p>
          <w:p w14:paraId="1E735D6A">
            <w:pPr>
              <w:spacing w:line="330" w:lineRule="exact"/>
              <w:jc w:val="both"/>
              <w:rPr>
                <w:rFonts w:ascii="宋体" w:hAnsi="宋体" w:cs="宋体"/>
                <w:sz w:val="18"/>
                <w:szCs w:val="18"/>
              </w:rPr>
            </w:pPr>
          </w:p>
          <w:p w14:paraId="4F0744E2">
            <w:pPr>
              <w:spacing w:line="330" w:lineRule="exact"/>
              <w:jc w:val="both"/>
              <w:rPr>
                <w:rFonts w:ascii="宋体" w:hAnsi="宋体" w:cs="宋体"/>
                <w:sz w:val="18"/>
                <w:szCs w:val="18"/>
              </w:rPr>
            </w:pPr>
          </w:p>
          <w:p w14:paraId="753AE893">
            <w:pPr>
              <w:spacing w:line="330" w:lineRule="exact"/>
              <w:jc w:val="both"/>
              <w:rPr>
                <w:rFonts w:ascii="宋体" w:hAnsi="宋体" w:cs="宋体"/>
                <w:sz w:val="18"/>
                <w:szCs w:val="18"/>
              </w:rPr>
            </w:pPr>
          </w:p>
          <w:p w14:paraId="034281B4">
            <w:pPr>
              <w:spacing w:line="330" w:lineRule="exact"/>
              <w:jc w:val="both"/>
              <w:rPr>
                <w:rFonts w:ascii="宋体" w:hAnsi="宋体" w:cs="宋体"/>
                <w:sz w:val="18"/>
                <w:szCs w:val="18"/>
              </w:rPr>
            </w:pPr>
          </w:p>
          <w:p w14:paraId="48884578">
            <w:pPr>
              <w:spacing w:line="330" w:lineRule="exact"/>
              <w:jc w:val="both"/>
              <w:rPr>
                <w:rFonts w:ascii="宋体" w:hAnsi="宋体" w:cs="宋体"/>
                <w:sz w:val="18"/>
                <w:szCs w:val="18"/>
              </w:rPr>
            </w:pPr>
          </w:p>
          <w:p w14:paraId="7EF4F920">
            <w:pPr>
              <w:spacing w:line="330" w:lineRule="exact"/>
              <w:jc w:val="both"/>
              <w:rPr>
                <w:rFonts w:hint="eastAsia" w:ascii="宋体" w:hAnsi="宋体" w:cs="宋体"/>
                <w:sz w:val="18"/>
                <w:szCs w:val="18"/>
                <w:lang w:val="en-US" w:eastAsia="zh-CN"/>
              </w:rPr>
            </w:pPr>
            <w:r>
              <w:rPr>
                <w:rFonts w:hint="eastAsia" w:ascii="宋体" w:hAnsi="宋体" w:cs="宋体"/>
                <w:sz w:val="18"/>
                <w:szCs w:val="18"/>
                <w:lang w:val="en-US" w:eastAsia="zh-CN"/>
              </w:rPr>
              <w:t>信息集成平台</w:t>
            </w:r>
            <w:r>
              <w:rPr>
                <w:rFonts w:hint="eastAsia" w:ascii="宋体" w:hAnsi="宋体" w:cs="宋体"/>
                <w:sz w:val="18"/>
                <w:szCs w:val="18"/>
              </w:rPr>
              <w:t>商用密评评估（三级）</w:t>
            </w:r>
          </w:p>
        </w:tc>
        <w:tc>
          <w:tcPr>
            <w:tcW w:w="5381" w:type="dxa"/>
            <w:shd w:val="clear" w:color="auto" w:fill="auto"/>
            <w:vAlign w:val="top"/>
          </w:tcPr>
          <w:p w14:paraId="04CFEC90">
            <w:pPr>
              <w:spacing w:line="240" w:lineRule="auto"/>
              <w:jc w:val="both"/>
              <w:rPr>
                <w:rFonts w:ascii="宋体" w:hAnsi="宋体" w:cs="宋体"/>
                <w:b/>
                <w:sz w:val="18"/>
                <w:szCs w:val="18"/>
              </w:rPr>
            </w:pPr>
            <w:r>
              <w:rPr>
                <w:rFonts w:hint="eastAsia" w:ascii="宋体" w:hAnsi="宋体" w:cs="宋体"/>
                <w:b/>
                <w:sz w:val="18"/>
                <w:szCs w:val="18"/>
              </w:rPr>
              <w:t>一、测评服务</w:t>
            </w:r>
          </w:p>
          <w:p w14:paraId="011E429D">
            <w:pPr>
              <w:spacing w:line="240" w:lineRule="auto"/>
              <w:jc w:val="both"/>
              <w:rPr>
                <w:rFonts w:ascii="宋体" w:hAnsi="宋体" w:cs="宋体"/>
                <w:b/>
                <w:bCs/>
                <w:sz w:val="18"/>
                <w:szCs w:val="18"/>
              </w:rPr>
            </w:pPr>
            <w:r>
              <w:rPr>
                <w:rFonts w:hint="eastAsia" w:ascii="宋体" w:hAnsi="宋体" w:cs="宋体"/>
                <w:b/>
                <w:bCs/>
                <w:sz w:val="18"/>
                <w:szCs w:val="18"/>
              </w:rPr>
              <w:t>1、总的要求</w:t>
            </w:r>
          </w:p>
          <w:p w14:paraId="53DD5F47">
            <w:pPr>
              <w:spacing w:line="240" w:lineRule="auto"/>
              <w:ind w:firstLine="360" w:firstLineChars="200"/>
              <w:rPr>
                <w:rFonts w:ascii="宋体" w:hAnsi="宋体" w:cs="宋体"/>
                <w:sz w:val="18"/>
                <w:szCs w:val="18"/>
              </w:rPr>
            </w:pPr>
            <w:r>
              <w:rPr>
                <w:rFonts w:hint="eastAsia" w:ascii="宋体" w:hAnsi="宋体" w:cs="宋体"/>
                <w:sz w:val="18"/>
                <w:szCs w:val="18"/>
              </w:rPr>
              <w:t>为贯彻落实《中华人民共和国密码法》、《商用密码管理条例》与《商用密码应用安全性评估管理办法》中对密码应用与安全性评估要求，拟对</w:t>
            </w:r>
            <w:r>
              <w:rPr>
                <w:rFonts w:hint="eastAsia" w:ascii="宋体" w:hAnsi="宋体" w:cs="宋体"/>
                <w:b/>
                <w:bCs/>
                <w:sz w:val="18"/>
                <w:szCs w:val="18"/>
                <w:lang w:val="en-US" w:eastAsia="zh-CN"/>
              </w:rPr>
              <w:t>信息集成平台系统</w:t>
            </w:r>
            <w:r>
              <w:rPr>
                <w:rFonts w:hint="eastAsia" w:ascii="宋体" w:hAnsi="宋体" w:cs="宋体"/>
                <w:b/>
                <w:bCs/>
                <w:sz w:val="18"/>
                <w:szCs w:val="18"/>
              </w:rPr>
              <w:t>商用密评评估（三级）</w:t>
            </w:r>
            <w:r>
              <w:rPr>
                <w:rFonts w:hint="eastAsia" w:ascii="宋体" w:hAnsi="宋体" w:cs="宋体"/>
                <w:sz w:val="18"/>
                <w:szCs w:val="18"/>
              </w:rPr>
              <w:t>开展密码安全性评估工作，评估</w:t>
            </w:r>
            <w:r>
              <w:rPr>
                <w:rFonts w:hint="eastAsia" w:ascii="宋体" w:hAnsi="宋体" w:cs="宋体"/>
                <w:b/>
                <w:bCs/>
                <w:sz w:val="18"/>
                <w:szCs w:val="18"/>
                <w:lang w:val="en-US" w:eastAsia="zh-CN"/>
              </w:rPr>
              <w:t>信息集成平台系统</w:t>
            </w:r>
            <w:r>
              <w:rPr>
                <w:rFonts w:hint="eastAsia" w:ascii="宋体" w:hAnsi="宋体" w:cs="宋体"/>
                <w:b/>
                <w:bCs/>
                <w:sz w:val="18"/>
                <w:szCs w:val="18"/>
              </w:rPr>
              <w:t>商用密评评估（三级）</w:t>
            </w:r>
            <w:r>
              <w:rPr>
                <w:rFonts w:hint="eastAsia" w:ascii="宋体" w:hAnsi="宋体" w:cs="宋体"/>
                <w:sz w:val="18"/>
                <w:szCs w:val="18"/>
              </w:rPr>
              <w:t>的密码应用是否合规、正确、有效，并通过测评发现其密码保障系统存在的安全隐患和风险，编制被测评系统的密码应用安全性评估报告，并提出有针对性的加强完善密码安全管理和防护建议。编制《商用密码应用与安全性评估整改建议书》、《商用密码应用与安全性评估报告》。</w:t>
            </w:r>
          </w:p>
          <w:p w14:paraId="5270E414">
            <w:pPr>
              <w:spacing w:line="240" w:lineRule="auto"/>
              <w:jc w:val="both"/>
              <w:rPr>
                <w:rFonts w:ascii="宋体" w:hAnsi="宋体" w:cs="宋体"/>
                <w:b/>
                <w:bCs/>
                <w:sz w:val="18"/>
                <w:szCs w:val="18"/>
              </w:rPr>
            </w:pPr>
            <w:r>
              <w:rPr>
                <w:rFonts w:hint="eastAsia" w:ascii="宋体" w:hAnsi="宋体" w:cs="宋体"/>
                <w:b/>
                <w:bCs/>
                <w:sz w:val="18"/>
                <w:szCs w:val="18"/>
              </w:rPr>
              <w:t>2、测评依据标准</w:t>
            </w:r>
          </w:p>
          <w:p w14:paraId="6D837878">
            <w:pPr>
              <w:spacing w:line="240" w:lineRule="auto"/>
              <w:ind w:firstLine="360" w:firstLineChars="200"/>
              <w:rPr>
                <w:rFonts w:ascii="宋体" w:hAnsi="宋体" w:cs="宋体"/>
                <w:sz w:val="18"/>
                <w:szCs w:val="18"/>
              </w:rPr>
            </w:pPr>
            <w:r>
              <w:rPr>
                <w:rFonts w:hint="eastAsia" w:ascii="宋体" w:hAnsi="宋体" w:cs="宋体"/>
                <w:sz w:val="18"/>
                <w:szCs w:val="18"/>
              </w:rPr>
              <w:t>①GB/T 39786-2021《信息安全技术 信息系统密码应用基本要求》</w:t>
            </w:r>
          </w:p>
          <w:p w14:paraId="552D7728">
            <w:pPr>
              <w:spacing w:line="240" w:lineRule="auto"/>
              <w:ind w:firstLine="360" w:firstLineChars="200"/>
              <w:rPr>
                <w:rFonts w:ascii="宋体" w:hAnsi="宋体" w:cs="宋体"/>
                <w:sz w:val="18"/>
                <w:szCs w:val="18"/>
              </w:rPr>
            </w:pPr>
            <w:r>
              <w:rPr>
                <w:rFonts w:hint="eastAsia" w:ascii="宋体" w:hAnsi="宋体" w:cs="宋体"/>
                <w:sz w:val="18"/>
                <w:szCs w:val="18"/>
              </w:rPr>
              <w:t>②GM/T0115-2021《信息系统密码应用测评要求》</w:t>
            </w:r>
          </w:p>
          <w:p w14:paraId="657870E6">
            <w:pPr>
              <w:spacing w:line="240" w:lineRule="auto"/>
              <w:ind w:firstLine="360" w:firstLineChars="200"/>
              <w:rPr>
                <w:rFonts w:ascii="宋体" w:hAnsi="宋体" w:cs="宋体"/>
                <w:sz w:val="18"/>
                <w:szCs w:val="18"/>
              </w:rPr>
            </w:pPr>
            <w:r>
              <w:rPr>
                <w:rFonts w:hint="eastAsia" w:ascii="宋体" w:hAnsi="宋体" w:cs="宋体"/>
                <w:sz w:val="18"/>
                <w:szCs w:val="18"/>
              </w:rPr>
              <w:t>③GM/T0116-2021《信息系统密码应用测评过程指南》</w:t>
            </w:r>
          </w:p>
          <w:p w14:paraId="57C4275D">
            <w:pPr>
              <w:spacing w:line="240" w:lineRule="auto"/>
              <w:ind w:firstLine="360" w:firstLineChars="200"/>
              <w:rPr>
                <w:rFonts w:ascii="宋体" w:hAnsi="宋体" w:cs="宋体"/>
                <w:sz w:val="18"/>
                <w:szCs w:val="18"/>
              </w:rPr>
            </w:pPr>
            <w:r>
              <w:rPr>
                <w:rFonts w:hint="eastAsia" w:ascii="宋体" w:hAnsi="宋体" w:cs="宋体"/>
                <w:sz w:val="18"/>
                <w:szCs w:val="18"/>
              </w:rPr>
              <w:t>④信息系统密码应用高风险判定指引（2021）</w:t>
            </w:r>
          </w:p>
          <w:p w14:paraId="2DE9379B">
            <w:pPr>
              <w:spacing w:line="240" w:lineRule="auto"/>
              <w:ind w:firstLine="360" w:firstLineChars="200"/>
              <w:rPr>
                <w:rFonts w:ascii="宋体" w:hAnsi="宋体" w:cs="宋体"/>
                <w:sz w:val="18"/>
                <w:szCs w:val="18"/>
              </w:rPr>
            </w:pPr>
            <w:r>
              <w:rPr>
                <w:rFonts w:hint="eastAsia" w:ascii="宋体" w:hAnsi="宋体" w:cs="宋体"/>
                <w:sz w:val="18"/>
                <w:szCs w:val="18"/>
              </w:rPr>
              <w:t>⑤商用密码应用安全性评估量化评估规则（2023版）</w:t>
            </w:r>
          </w:p>
          <w:p w14:paraId="6FB4657F">
            <w:pPr>
              <w:spacing w:line="240" w:lineRule="auto"/>
              <w:jc w:val="both"/>
              <w:rPr>
                <w:rFonts w:ascii="宋体" w:hAnsi="宋体" w:cs="宋体"/>
                <w:b/>
                <w:bCs/>
                <w:sz w:val="18"/>
                <w:szCs w:val="18"/>
              </w:rPr>
            </w:pPr>
            <w:r>
              <w:rPr>
                <w:rFonts w:hint="eastAsia" w:ascii="宋体" w:hAnsi="宋体" w:cs="宋体"/>
                <w:b/>
                <w:bCs/>
                <w:sz w:val="18"/>
                <w:szCs w:val="18"/>
              </w:rPr>
              <w:t>3、服务要求</w:t>
            </w:r>
          </w:p>
          <w:p w14:paraId="6269FC08">
            <w:pPr>
              <w:spacing w:line="240" w:lineRule="auto"/>
              <w:ind w:firstLine="360" w:firstLineChars="200"/>
              <w:rPr>
                <w:rFonts w:ascii="宋体" w:hAnsi="宋体" w:cs="宋体"/>
                <w:sz w:val="18"/>
                <w:szCs w:val="18"/>
              </w:rPr>
            </w:pPr>
            <w:r>
              <w:rPr>
                <w:rFonts w:hint="eastAsia" w:ascii="宋体" w:hAnsi="宋体" w:cs="宋体"/>
                <w:sz w:val="18"/>
                <w:szCs w:val="18"/>
              </w:rPr>
              <w:t>3.1.供应商应依据国家密码法规、密码应用相关技术标准，采用科学的测评方法、流程和工作规范开展商用密码应用安全性评估工作。供应商应具备商用密码应用安全性技术测评实施、管理测评实施、系统整体评估能力。供应商为本项目配备能够依据测评结果做出专业判断以及出具测评报告的能力的测评人员，测评人员必须为通过国家密码管理部门（或其授权的机构）组织的考核（即商用密码应用安全性评估人员测评能力考核证书），遵守国家有关法律法规，按照相关标准，为用户提供安全、客观、公正的评估服务，保证评估的质量和效果。</w:t>
            </w:r>
          </w:p>
          <w:p w14:paraId="140D5B4A">
            <w:pPr>
              <w:spacing w:line="240" w:lineRule="auto"/>
              <w:ind w:firstLine="360" w:firstLineChars="200"/>
              <w:rPr>
                <w:rFonts w:ascii="宋体" w:hAnsi="宋体" w:cs="宋体"/>
                <w:sz w:val="18"/>
                <w:szCs w:val="18"/>
              </w:rPr>
            </w:pPr>
            <w:r>
              <w:rPr>
                <w:rFonts w:hint="eastAsia" w:ascii="宋体" w:hAnsi="宋体" w:cs="宋体"/>
                <w:sz w:val="18"/>
                <w:szCs w:val="18"/>
              </w:rPr>
              <w:t>3.2.供应商</w:t>
            </w:r>
            <w:r>
              <w:rPr>
                <w:rFonts w:hint="eastAsia" w:ascii="宋体" w:hAnsi="宋体" w:cs="宋体"/>
                <w:sz w:val="18"/>
                <w:szCs w:val="18"/>
                <w:lang w:val="en-US" w:eastAsia="zh-CN"/>
              </w:rPr>
              <w:t>须提供</w:t>
            </w:r>
            <w:r>
              <w:rPr>
                <w:rFonts w:hint="eastAsia" w:ascii="宋体" w:hAnsi="宋体" w:cs="宋体"/>
                <w:sz w:val="18"/>
                <w:szCs w:val="18"/>
              </w:rPr>
              <w:t>测评方案，有计划、按步骤地开展测评工作，且测评方案应专业性强，对系统现状及需求理解应准确，方案应科学合理，内容应完整、可靠性强，实施方法和技术措施应可操作性和有效性强，在签订密评合同后供应商应立即成立密评工作小组，并严格按照合同履行密评责任。</w:t>
            </w:r>
          </w:p>
          <w:p w14:paraId="0168A10E">
            <w:pPr>
              <w:spacing w:line="240" w:lineRule="auto"/>
              <w:ind w:firstLine="360" w:firstLineChars="200"/>
              <w:rPr>
                <w:rFonts w:ascii="宋体" w:hAnsi="宋体" w:cs="宋体"/>
                <w:sz w:val="18"/>
                <w:szCs w:val="18"/>
              </w:rPr>
            </w:pPr>
            <w:r>
              <w:rPr>
                <w:rFonts w:hint="eastAsia" w:ascii="宋体" w:hAnsi="宋体" w:cs="宋体"/>
                <w:sz w:val="18"/>
                <w:szCs w:val="18"/>
              </w:rPr>
              <w:t>3.3.为保障密评过程中可能涉及的重要数据和敏感信息的安全，供应商应配有相关能力支撑的保密办公区，并具备安全保密管理制度与数据安全能力，采取的安全管理措施应得当，且能够很好保障本项目测评数据的安全，明确对采购人的系统、信息、数据有安全保密的义务，进场测评前必须签订保密协议。</w:t>
            </w:r>
          </w:p>
          <w:p w14:paraId="408247ED">
            <w:pPr>
              <w:spacing w:line="240" w:lineRule="auto"/>
              <w:ind w:firstLine="360" w:firstLineChars="200"/>
              <w:rPr>
                <w:rFonts w:ascii="宋体" w:hAnsi="宋体" w:cs="宋体"/>
                <w:sz w:val="18"/>
                <w:szCs w:val="18"/>
              </w:rPr>
            </w:pPr>
            <w:r>
              <w:rPr>
                <w:rFonts w:hint="eastAsia" w:ascii="宋体" w:hAnsi="宋体" w:cs="宋体"/>
                <w:sz w:val="18"/>
                <w:szCs w:val="18"/>
              </w:rPr>
              <w:t>3.4.供应商在现场测评工作中必须在不影响采购人信息系统正常运行的前提下进行。</w:t>
            </w:r>
          </w:p>
          <w:p w14:paraId="653BD1F5">
            <w:pPr>
              <w:spacing w:line="240" w:lineRule="auto"/>
              <w:ind w:firstLine="360" w:firstLineChars="200"/>
              <w:rPr>
                <w:rFonts w:ascii="宋体" w:hAnsi="宋体" w:cs="宋体"/>
                <w:sz w:val="18"/>
                <w:szCs w:val="18"/>
              </w:rPr>
            </w:pPr>
            <w:r>
              <w:rPr>
                <w:rFonts w:hint="eastAsia" w:ascii="宋体" w:hAnsi="宋体" w:cs="宋体"/>
                <w:sz w:val="18"/>
                <w:szCs w:val="18"/>
              </w:rPr>
              <w:t>3.5.供应商应遵守相应的密评工作制度，包括会议制度、密评文件制度、密评记录制度、工作报告制度等，保证密评工作协调有序的进行。</w:t>
            </w:r>
          </w:p>
          <w:p w14:paraId="635665CB">
            <w:pPr>
              <w:spacing w:line="240" w:lineRule="auto"/>
              <w:ind w:firstLine="360" w:firstLineChars="200"/>
              <w:rPr>
                <w:rFonts w:ascii="宋体" w:hAnsi="宋体" w:cs="宋体"/>
                <w:sz w:val="18"/>
                <w:szCs w:val="18"/>
              </w:rPr>
            </w:pPr>
            <w:r>
              <w:rPr>
                <w:rFonts w:hint="eastAsia" w:ascii="宋体" w:hAnsi="宋体" w:cs="宋体"/>
                <w:sz w:val="18"/>
                <w:szCs w:val="18"/>
              </w:rPr>
              <w:t>3.6.供应商应根据被测系统的具体情况，按合同约定，配备满足密评工作需要的人员、设备和工具。为保障密评实施与合同约定服务周期内的服务响应，供应商应具备一定的测评工具开发能力以及在测评服务地进行系统环境模拟实验能力。</w:t>
            </w:r>
          </w:p>
          <w:p w14:paraId="694736F2">
            <w:pPr>
              <w:spacing w:line="240" w:lineRule="auto"/>
              <w:ind w:firstLine="360" w:firstLineChars="200"/>
              <w:rPr>
                <w:rFonts w:ascii="宋体" w:hAnsi="宋体" w:cs="宋体"/>
                <w:sz w:val="18"/>
                <w:szCs w:val="18"/>
              </w:rPr>
            </w:pPr>
            <w:r>
              <w:rPr>
                <w:rFonts w:hint="eastAsia" w:ascii="宋体" w:hAnsi="宋体" w:cs="宋体"/>
                <w:sz w:val="18"/>
                <w:szCs w:val="18"/>
              </w:rPr>
              <w:t>3.7.供应商</w:t>
            </w:r>
            <w:r>
              <w:rPr>
                <w:rFonts w:hint="eastAsia" w:ascii="宋体" w:hAnsi="宋体" w:cs="宋体"/>
                <w:sz w:val="18"/>
                <w:szCs w:val="18"/>
                <w:lang w:val="en-US" w:eastAsia="zh-CN"/>
              </w:rPr>
              <w:t>须</w:t>
            </w:r>
            <w:r>
              <w:rPr>
                <w:rFonts w:hint="eastAsia" w:ascii="宋体" w:hAnsi="宋体" w:cs="宋体"/>
                <w:sz w:val="18"/>
                <w:szCs w:val="18"/>
              </w:rPr>
              <w:t>具有快速应急响应服务团队，以保证在整个项目过程中不影响委托单位信息系统的正常运行。</w:t>
            </w:r>
          </w:p>
          <w:p w14:paraId="5E6B511B">
            <w:pPr>
              <w:spacing w:line="240" w:lineRule="auto"/>
              <w:ind w:firstLine="360" w:firstLineChars="200"/>
              <w:rPr>
                <w:rFonts w:ascii="宋体" w:hAnsi="宋体" w:cs="宋体"/>
                <w:sz w:val="18"/>
                <w:szCs w:val="18"/>
              </w:rPr>
            </w:pPr>
            <w:r>
              <w:rPr>
                <w:rFonts w:hint="eastAsia" w:ascii="宋体" w:hAnsi="宋体" w:cs="宋体"/>
                <w:sz w:val="18"/>
                <w:szCs w:val="18"/>
              </w:rPr>
              <w:t>3.8.供应商</w:t>
            </w:r>
            <w:r>
              <w:rPr>
                <w:rFonts w:hint="eastAsia" w:ascii="宋体" w:hAnsi="宋体" w:cs="宋体"/>
                <w:sz w:val="18"/>
                <w:szCs w:val="18"/>
                <w:lang w:val="en-US" w:eastAsia="zh-CN"/>
              </w:rPr>
              <w:t>须</w:t>
            </w:r>
            <w:r>
              <w:rPr>
                <w:rFonts w:hint="eastAsia" w:ascii="宋体" w:hAnsi="宋体" w:cs="宋体"/>
                <w:sz w:val="18"/>
                <w:szCs w:val="18"/>
              </w:rPr>
              <w:t>具有质量控制的能力和质量管理体系，以保证测评工作的客观、公正、安全。供应商针对本项目测评过程中的质量管理方案内项目质量管理应完备，项目质量保障措施应科学、可行、完善，项目管理与风险应控制合理。</w:t>
            </w:r>
          </w:p>
          <w:p w14:paraId="32D9575A">
            <w:pPr>
              <w:spacing w:line="240" w:lineRule="auto"/>
              <w:ind w:firstLine="360" w:firstLineChars="200"/>
              <w:rPr>
                <w:rFonts w:ascii="宋体" w:hAnsi="宋体" w:cs="宋体"/>
                <w:sz w:val="18"/>
                <w:szCs w:val="18"/>
              </w:rPr>
            </w:pPr>
            <w:r>
              <w:rPr>
                <w:rFonts w:hint="eastAsia" w:ascii="宋体" w:hAnsi="宋体" w:cs="宋体"/>
                <w:sz w:val="18"/>
                <w:szCs w:val="18"/>
              </w:rPr>
              <w:t>3.9.供应商</w:t>
            </w:r>
            <w:r>
              <w:rPr>
                <w:rFonts w:hint="eastAsia" w:ascii="宋体" w:hAnsi="宋体" w:cs="宋体"/>
                <w:sz w:val="18"/>
                <w:szCs w:val="18"/>
                <w:lang w:val="en-US" w:eastAsia="zh-CN"/>
              </w:rPr>
              <w:t>须</w:t>
            </w:r>
            <w:r>
              <w:rPr>
                <w:rFonts w:hint="eastAsia" w:ascii="宋体" w:hAnsi="宋体" w:cs="宋体"/>
                <w:sz w:val="18"/>
                <w:szCs w:val="18"/>
              </w:rPr>
              <w:t>配备密评网络抓包、密码算法、协议分析工具、随机数检测工具以及常用密码设备，且应具有模拟以及验证被测评系统密码应用方案的能力。</w:t>
            </w:r>
          </w:p>
          <w:p w14:paraId="03D9A77A">
            <w:pPr>
              <w:spacing w:line="240" w:lineRule="auto"/>
              <w:ind w:firstLine="360" w:firstLineChars="200"/>
              <w:rPr>
                <w:rFonts w:ascii="宋体" w:hAnsi="宋体" w:cs="宋体"/>
                <w:sz w:val="18"/>
                <w:szCs w:val="18"/>
              </w:rPr>
            </w:pPr>
            <w:r>
              <w:rPr>
                <w:rFonts w:hint="eastAsia" w:ascii="宋体" w:hAnsi="宋体" w:cs="宋体"/>
                <w:sz w:val="18"/>
                <w:szCs w:val="18"/>
              </w:rPr>
              <w:t>3.10.供应商完成商用密码应用安全性评估工作后，应协助用户在30日内将评估结果报国家密码管理部门备案。</w:t>
            </w:r>
          </w:p>
          <w:p w14:paraId="301DF584">
            <w:pPr>
              <w:spacing w:line="240" w:lineRule="auto"/>
              <w:ind w:firstLine="360" w:firstLineChars="200"/>
              <w:rPr>
                <w:rFonts w:ascii="宋体" w:hAnsi="宋体" w:cs="宋体"/>
                <w:sz w:val="18"/>
                <w:szCs w:val="18"/>
              </w:rPr>
            </w:pPr>
            <w:r>
              <w:rPr>
                <w:rFonts w:hint="eastAsia" w:ascii="宋体" w:hAnsi="宋体" w:cs="宋体"/>
                <w:sz w:val="18"/>
                <w:szCs w:val="18"/>
              </w:rPr>
              <w:t>3.11.供应商在验收时应提交密码安全测评工作的档案。</w:t>
            </w:r>
          </w:p>
          <w:p w14:paraId="2AEDAC4E">
            <w:pPr>
              <w:spacing w:line="240" w:lineRule="auto"/>
              <w:jc w:val="both"/>
              <w:rPr>
                <w:rFonts w:ascii="宋体" w:hAnsi="宋体" w:cs="宋体"/>
                <w:b/>
                <w:bCs/>
                <w:sz w:val="18"/>
                <w:szCs w:val="18"/>
              </w:rPr>
            </w:pPr>
            <w:r>
              <w:rPr>
                <w:rFonts w:hint="eastAsia" w:ascii="宋体" w:hAnsi="宋体" w:cs="宋体"/>
                <w:b/>
                <w:bCs/>
                <w:sz w:val="18"/>
                <w:szCs w:val="18"/>
              </w:rPr>
              <w:t>4、商用密码评估资质要求</w:t>
            </w:r>
          </w:p>
          <w:p w14:paraId="16E43C71">
            <w:pPr>
              <w:spacing w:line="240" w:lineRule="auto"/>
              <w:ind w:firstLine="360" w:firstLineChars="200"/>
              <w:rPr>
                <w:rFonts w:hint="eastAsia" w:ascii="宋体" w:hAnsi="宋体" w:cs="宋体"/>
                <w:sz w:val="18"/>
                <w:szCs w:val="18"/>
              </w:rPr>
            </w:pPr>
            <w:r>
              <w:rPr>
                <w:rFonts w:hint="eastAsia" w:ascii="宋体" w:hAnsi="宋体" w:cs="宋体"/>
                <w:sz w:val="18"/>
                <w:szCs w:val="18"/>
              </w:rPr>
              <w:t xml:space="preserve">4.1. </w:t>
            </w:r>
            <w:r>
              <w:rPr>
                <w:rFonts w:hint="eastAsia" w:ascii="宋体" w:hAnsi="宋体" w:cs="宋体"/>
                <w:sz w:val="18"/>
                <w:szCs w:val="18"/>
                <w:lang w:val="en-US" w:eastAsia="zh-CN"/>
              </w:rPr>
              <w:t>测评机构</w:t>
            </w:r>
            <w:r>
              <w:rPr>
                <w:rFonts w:hint="eastAsia" w:ascii="宋体" w:hAnsi="宋体" w:cs="宋体"/>
                <w:sz w:val="18"/>
                <w:szCs w:val="18"/>
              </w:rPr>
              <w:t>必须在国家密码管理局公告（第42号）的商用密码应用安全性评估试点机构目录中或提供国家密码管理局《国密局字[2021]183号通知》中审批通过的“可在本地区、本行业（领域）开展密码应用安全性评估业资质的密评机构名单”的相关证明材料。提供证书或证明复印件并加盖公章。</w:t>
            </w:r>
          </w:p>
          <w:p w14:paraId="51901B33">
            <w:pPr>
              <w:spacing w:line="240" w:lineRule="auto"/>
              <w:ind w:firstLine="360" w:firstLineChars="200"/>
              <w:rPr>
                <w:rFonts w:hint="eastAsia" w:ascii="宋体" w:hAnsi="宋体" w:cs="宋体"/>
                <w:sz w:val="18"/>
                <w:szCs w:val="18"/>
              </w:rPr>
            </w:pPr>
            <w:r>
              <w:rPr>
                <w:rFonts w:hint="eastAsia" w:ascii="宋体" w:hAnsi="宋体" w:cs="宋体"/>
                <w:sz w:val="18"/>
                <w:szCs w:val="18"/>
              </w:rPr>
              <w:t>4.2项目组成员应具备合格的商用密码应用安全性评估人员测评能力考核证书至少2人。全程协助招标方在网络和信息系统安全方面工作，在本项目进行期间，未经采购人同意，测评过程中不得离场，且中途不得更换人员，也不得将检测任务分包或转包。</w:t>
            </w:r>
          </w:p>
        </w:tc>
        <w:tc>
          <w:tcPr>
            <w:tcW w:w="851" w:type="dxa"/>
            <w:shd w:val="clear" w:color="auto" w:fill="auto"/>
            <w:vAlign w:val="center"/>
          </w:tcPr>
          <w:p w14:paraId="4717FFBC">
            <w:pPr>
              <w:spacing w:line="33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850" w:type="dxa"/>
            <w:shd w:val="clear" w:color="auto" w:fill="auto"/>
            <w:vAlign w:val="center"/>
          </w:tcPr>
          <w:p w14:paraId="46496B89">
            <w:pPr>
              <w:spacing w:line="33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项</w:t>
            </w:r>
          </w:p>
        </w:tc>
      </w:tr>
    </w:tbl>
    <w:p w14:paraId="41652842">
      <w:pPr>
        <w:numPr>
          <w:ilvl w:val="0"/>
          <w:numId w:val="0"/>
        </w:numPr>
        <w:spacing w:line="360" w:lineRule="exact"/>
        <w:ind w:firstLine="0" w:firstLineChars="0"/>
        <w:rPr>
          <w:rFonts w:hint="eastAsia" w:ascii="宋体" w:hAnsi="宋体" w:eastAsia="宋体" w:cs="Times New Roman"/>
          <w:b/>
          <w:kern w:val="2"/>
          <w:sz w:val="24"/>
          <w:szCs w:val="24"/>
          <w:lang w:val="en-US" w:eastAsia="zh-CN" w:bidi="ar-SA"/>
        </w:rPr>
      </w:pPr>
    </w:p>
    <w:p w14:paraId="7A5E56FA">
      <w:pPr>
        <w:numPr>
          <w:ilvl w:val="0"/>
          <w:numId w:val="0"/>
        </w:numPr>
        <w:spacing w:line="360" w:lineRule="exact"/>
        <w:ind w:firstLine="0" w:firstLineChars="0"/>
        <w:rPr>
          <w:rFonts w:hint="eastAsia" w:ascii="宋体" w:hAnsi="宋体" w:eastAsia="宋体" w:cs="Times New Roman"/>
          <w:b/>
          <w:kern w:val="2"/>
          <w:sz w:val="24"/>
          <w:szCs w:val="24"/>
          <w:lang w:val="en-US" w:eastAsia="zh-CN" w:bidi="ar-SA"/>
        </w:rPr>
      </w:pPr>
    </w:p>
    <w:p w14:paraId="499E8C82">
      <w:pPr>
        <w:numPr>
          <w:ilvl w:val="0"/>
          <w:numId w:val="0"/>
        </w:numPr>
        <w:spacing w:line="360" w:lineRule="exact"/>
        <w:ind w:firstLine="0" w:firstLineChars="0"/>
        <w:rPr>
          <w:rFonts w:hint="eastAsia" w:ascii="宋体" w:hAnsi="宋体" w:eastAsia="宋体" w:cs="Times New Roman"/>
          <w:b/>
          <w:kern w:val="2"/>
          <w:sz w:val="24"/>
          <w:szCs w:val="24"/>
          <w:lang w:val="en-US" w:eastAsia="zh-CN" w:bidi="ar-SA"/>
        </w:rPr>
      </w:pPr>
    </w:p>
    <w:p w14:paraId="1B4EF9CB">
      <w:pPr>
        <w:numPr>
          <w:ilvl w:val="0"/>
          <w:numId w:val="0"/>
        </w:numPr>
        <w:spacing w:line="360" w:lineRule="exact"/>
        <w:ind w:firstLine="0" w:firstLineChars="0"/>
        <w:rPr>
          <w:rFonts w:hint="eastAsia" w:ascii="宋体" w:hAnsi="宋体"/>
          <w:b/>
          <w:sz w:val="24"/>
        </w:rPr>
      </w:pPr>
      <w:r>
        <w:rPr>
          <w:rFonts w:hint="eastAsia" w:ascii="宋体" w:hAnsi="宋体" w:eastAsia="宋体" w:cs="Times New Roman"/>
          <w:b/>
          <w:kern w:val="2"/>
          <w:sz w:val="24"/>
          <w:szCs w:val="24"/>
          <w:lang w:val="en-US" w:eastAsia="zh-CN" w:bidi="ar-SA"/>
        </w:rPr>
        <w:t>（二）</w:t>
      </w:r>
      <w:r>
        <w:rPr>
          <w:rFonts w:hint="eastAsia" w:ascii="宋体" w:hAnsi="宋体"/>
          <w:b/>
          <w:sz w:val="24"/>
        </w:rPr>
        <w:t>商务要求</w:t>
      </w:r>
    </w:p>
    <w:tbl>
      <w:tblPr>
        <w:tblStyle w:val="21"/>
        <w:tblpPr w:leftFromText="180" w:rightFromText="180" w:vertAnchor="text" w:horzAnchor="page" w:tblpX="1293" w:tblpY="352"/>
        <w:tblOverlap w:val="never"/>
        <w:tblW w:w="9580" w:type="dxa"/>
        <w:jc w:val="center"/>
        <w:tblLayout w:type="autofit"/>
        <w:tblCellMar>
          <w:top w:w="0" w:type="dxa"/>
          <w:left w:w="108" w:type="dxa"/>
          <w:bottom w:w="0" w:type="dxa"/>
          <w:right w:w="108" w:type="dxa"/>
        </w:tblCellMar>
      </w:tblPr>
      <w:tblGrid>
        <w:gridCol w:w="2372"/>
        <w:gridCol w:w="7208"/>
      </w:tblGrid>
      <w:tr w14:paraId="6E19B133">
        <w:tblPrEx>
          <w:tblCellMar>
            <w:top w:w="0" w:type="dxa"/>
            <w:left w:w="108" w:type="dxa"/>
            <w:bottom w:w="0" w:type="dxa"/>
            <w:right w:w="108" w:type="dxa"/>
          </w:tblCellMar>
        </w:tblPrEx>
        <w:trPr>
          <w:trHeight w:val="2752"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087D363D">
            <w:pPr>
              <w:adjustRightInd w:val="0"/>
              <w:snapToGrid w:val="0"/>
              <w:spacing w:line="300" w:lineRule="exact"/>
              <w:jc w:val="center"/>
              <w:rPr>
                <w:rFonts w:hint="eastAsia" w:ascii="宋体" w:hAnsi="宋体" w:eastAsia="宋体" w:cs="宋体"/>
                <w:b w:val="0"/>
                <w:bCs/>
                <w:spacing w:val="-2"/>
                <w:sz w:val="21"/>
                <w:szCs w:val="21"/>
              </w:rPr>
            </w:pPr>
            <w:r>
              <w:rPr>
                <w:rFonts w:hint="eastAsia" w:ascii="宋体" w:hAnsi="宋体" w:eastAsia="宋体" w:cs="宋体"/>
                <w:b/>
                <w:bCs/>
                <w:sz w:val="21"/>
                <w:szCs w:val="21"/>
              </w:rPr>
              <w:t>售后服务要求</w:t>
            </w:r>
          </w:p>
        </w:tc>
        <w:tc>
          <w:tcPr>
            <w:tcW w:w="7208" w:type="dxa"/>
            <w:tcBorders>
              <w:top w:val="single" w:color="auto" w:sz="4" w:space="0"/>
              <w:left w:val="single" w:color="auto" w:sz="4" w:space="0"/>
              <w:bottom w:val="single" w:color="auto" w:sz="4" w:space="0"/>
              <w:right w:val="single" w:color="auto" w:sz="4" w:space="0"/>
            </w:tcBorders>
            <w:vAlign w:val="center"/>
          </w:tcPr>
          <w:p w14:paraId="3B41E2A3">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1.按国家有关产品“三包”规定执行“三包”，提供≥</w:t>
            </w:r>
            <w:r>
              <w:rPr>
                <w:rFonts w:hint="eastAsia" w:ascii="宋体" w:hAnsi="宋体" w:eastAsia="宋体" w:cs="宋体"/>
                <w:color w:val="auto"/>
                <w:sz w:val="21"/>
                <w:szCs w:val="21"/>
                <w:lang w:val="en-US" w:eastAsia="zh-CN"/>
              </w:rPr>
              <w:t>1年</w:t>
            </w:r>
            <w:r>
              <w:rPr>
                <w:rFonts w:hint="eastAsia" w:ascii="宋体" w:hAnsi="宋体" w:eastAsia="宋体" w:cs="宋体"/>
                <w:sz w:val="21"/>
                <w:szCs w:val="21"/>
                <w:lang w:val="en-US" w:eastAsia="zh-CN"/>
              </w:rPr>
              <w:t>免费维保服务。</w:t>
            </w:r>
          </w:p>
          <w:p w14:paraId="08CB8203">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09A9CE0B">
            <w:pPr>
              <w:spacing w:line="300" w:lineRule="exact"/>
              <w:ind w:firstLine="0" w:firstLineChars="0"/>
              <w:rPr>
                <w:rFonts w:hint="eastAsia"/>
                <w:lang w:val="en-US" w:eastAsia="zh-CN"/>
              </w:rPr>
            </w:pPr>
            <w:r>
              <w:rPr>
                <w:rFonts w:hint="eastAsia" w:ascii="宋体" w:hAnsi="宋体" w:eastAsia="宋体" w:cs="宋体"/>
                <w:sz w:val="21"/>
                <w:szCs w:val="21"/>
                <w:lang w:val="en-US" w:eastAsia="zh-CN"/>
              </w:rPr>
              <w:t>3.本项目相关人员须依据资质要求内容提供相关证明材料和投标供应商为上述人员缴纳的最近6个月内的社保证明材料。</w:t>
            </w:r>
          </w:p>
        </w:tc>
      </w:tr>
      <w:tr w14:paraId="7BDBD8A8">
        <w:tblPrEx>
          <w:tblCellMar>
            <w:top w:w="0" w:type="dxa"/>
            <w:left w:w="108" w:type="dxa"/>
            <w:bottom w:w="0" w:type="dxa"/>
            <w:right w:w="108" w:type="dxa"/>
          </w:tblCellMar>
        </w:tblPrEx>
        <w:trPr>
          <w:trHeight w:val="967"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7D4C28BF">
            <w:pPr>
              <w:adjustRightInd w:val="0"/>
              <w:snapToGrid w:val="0"/>
              <w:spacing w:line="300" w:lineRule="exact"/>
              <w:jc w:val="center"/>
              <w:rPr>
                <w:rFonts w:hint="eastAsia" w:ascii="宋体" w:hAnsi="宋体" w:eastAsia="宋体" w:cs="宋体"/>
                <w:b w:val="0"/>
                <w:bCs/>
                <w:color w:val="auto"/>
                <w:spacing w:val="-2"/>
                <w:sz w:val="21"/>
                <w:szCs w:val="21"/>
              </w:rPr>
            </w:pPr>
            <w:r>
              <w:rPr>
                <w:rFonts w:hint="eastAsia" w:ascii="宋体" w:hAnsi="宋体" w:eastAsia="宋体" w:cs="宋体"/>
                <w:b/>
                <w:bCs/>
                <w:sz w:val="21"/>
                <w:szCs w:val="21"/>
              </w:rPr>
              <w:t>交付期及地点</w:t>
            </w:r>
          </w:p>
        </w:tc>
        <w:tc>
          <w:tcPr>
            <w:tcW w:w="7208" w:type="dxa"/>
            <w:tcBorders>
              <w:top w:val="single" w:color="auto" w:sz="4" w:space="0"/>
              <w:left w:val="single" w:color="auto" w:sz="4" w:space="0"/>
              <w:bottom w:val="single" w:color="auto" w:sz="4" w:space="0"/>
              <w:right w:val="single" w:color="auto" w:sz="4" w:space="0"/>
            </w:tcBorders>
            <w:vAlign w:val="center"/>
          </w:tcPr>
          <w:p w14:paraId="73E9287D">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1.交付期：自签订合同之日起60个工作日内验收合格并交付采购人使用。</w:t>
            </w:r>
          </w:p>
          <w:p w14:paraId="1470C3F1">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2.交付地点：招标人指定地点。</w:t>
            </w:r>
          </w:p>
        </w:tc>
      </w:tr>
      <w:tr w14:paraId="79EA9C0F">
        <w:tblPrEx>
          <w:tblCellMar>
            <w:top w:w="0" w:type="dxa"/>
            <w:left w:w="108" w:type="dxa"/>
            <w:bottom w:w="0" w:type="dxa"/>
            <w:right w:w="108" w:type="dxa"/>
          </w:tblCellMar>
        </w:tblPrEx>
        <w:trPr>
          <w:trHeight w:val="1362"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627F83CD">
            <w:pPr>
              <w:adjustRightInd w:val="0"/>
              <w:snapToGrid w:val="0"/>
              <w:spacing w:line="300" w:lineRule="exact"/>
              <w:jc w:val="center"/>
              <w:rPr>
                <w:rFonts w:hint="eastAsia" w:ascii="宋体" w:hAnsi="宋体" w:eastAsia="宋体" w:cs="宋体"/>
                <w:b w:val="0"/>
                <w:bCs/>
                <w:color w:val="auto"/>
                <w:spacing w:val="-2"/>
                <w:sz w:val="21"/>
                <w:szCs w:val="21"/>
              </w:rPr>
            </w:pPr>
            <w:r>
              <w:rPr>
                <w:rFonts w:hint="eastAsia" w:ascii="宋体" w:hAnsi="宋体" w:eastAsia="宋体" w:cs="宋体"/>
                <w:b/>
                <w:bCs/>
                <w:sz w:val="21"/>
                <w:szCs w:val="21"/>
              </w:rPr>
              <w:t>付款方式</w:t>
            </w:r>
          </w:p>
        </w:tc>
        <w:tc>
          <w:tcPr>
            <w:tcW w:w="7208" w:type="dxa"/>
            <w:tcBorders>
              <w:top w:val="single" w:color="auto" w:sz="4" w:space="0"/>
              <w:left w:val="single" w:color="auto" w:sz="4" w:space="0"/>
              <w:bottom w:val="single" w:color="auto" w:sz="4" w:space="0"/>
              <w:right w:val="single" w:color="auto" w:sz="4" w:space="0"/>
            </w:tcBorders>
            <w:vAlign w:val="center"/>
          </w:tcPr>
          <w:p w14:paraId="087F2FDF">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付款方式：合同签订后，自验收合格（培训指导完成、设备、软件正式使用）收到正规等额、有效发票之日起60个工作日后支付合同价款的95%，合同价款的5%作为履约保证金，质保期满30个工作日后付清（无息）。</w:t>
            </w:r>
          </w:p>
        </w:tc>
      </w:tr>
      <w:tr w14:paraId="4E71C59F">
        <w:tblPrEx>
          <w:tblCellMar>
            <w:top w:w="0" w:type="dxa"/>
            <w:left w:w="108" w:type="dxa"/>
            <w:bottom w:w="0" w:type="dxa"/>
            <w:right w:w="108" w:type="dxa"/>
          </w:tblCellMar>
        </w:tblPrEx>
        <w:trPr>
          <w:trHeight w:val="3772"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75CCCF50">
            <w:pPr>
              <w:adjustRightInd w:val="0"/>
              <w:snapToGrid w:val="0"/>
              <w:spacing w:line="300" w:lineRule="exact"/>
              <w:jc w:val="center"/>
              <w:rPr>
                <w:rFonts w:hint="eastAsia" w:ascii="宋体" w:hAnsi="宋体" w:eastAsia="宋体" w:cs="宋体"/>
                <w:b w:val="0"/>
                <w:bCs/>
                <w:color w:val="auto"/>
                <w:spacing w:val="-2"/>
                <w:sz w:val="21"/>
                <w:szCs w:val="21"/>
              </w:rPr>
            </w:pPr>
            <w:r>
              <w:rPr>
                <w:rFonts w:hint="eastAsia" w:ascii="宋体" w:hAnsi="宋体" w:eastAsia="宋体" w:cs="宋体"/>
                <w:b/>
                <w:bCs/>
                <w:sz w:val="21"/>
                <w:szCs w:val="21"/>
              </w:rPr>
              <w:t>验收标准</w:t>
            </w:r>
          </w:p>
        </w:tc>
        <w:tc>
          <w:tcPr>
            <w:tcW w:w="7208" w:type="dxa"/>
            <w:tcBorders>
              <w:top w:val="single" w:color="auto" w:sz="4" w:space="0"/>
              <w:left w:val="single" w:color="auto" w:sz="4" w:space="0"/>
              <w:bottom w:val="single" w:color="auto" w:sz="4" w:space="0"/>
              <w:right w:val="single" w:color="auto" w:sz="4" w:space="0"/>
            </w:tcBorders>
            <w:vAlign w:val="center"/>
          </w:tcPr>
          <w:p w14:paraId="74687674">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投标人</w:t>
            </w:r>
            <w:r>
              <w:rPr>
                <w:rFonts w:hint="eastAsia" w:ascii="宋体" w:hAnsi="宋体" w:eastAsia="宋体" w:cs="宋体"/>
                <w:sz w:val="21"/>
                <w:szCs w:val="21"/>
                <w:lang w:val="en-US" w:eastAsia="zh-CN"/>
              </w:rPr>
              <w:t>提供的产品必须符合国家强制执行的相关质量标准要求以及产品制造厂家合格产品的出厂质量标准。</w:t>
            </w:r>
          </w:p>
          <w:p w14:paraId="2DFB32B0">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2.产品到货交付后，采购人将根据</w:t>
            </w:r>
            <w:r>
              <w:rPr>
                <w:rFonts w:hint="eastAsia" w:ascii="宋体" w:hAnsi="宋体" w:cs="宋体"/>
                <w:sz w:val="21"/>
                <w:szCs w:val="21"/>
                <w:lang w:val="en-US" w:eastAsia="zh-CN"/>
              </w:rPr>
              <w:t>招标</w:t>
            </w:r>
            <w:r>
              <w:rPr>
                <w:rFonts w:hint="eastAsia" w:ascii="宋体" w:hAnsi="宋体" w:eastAsia="宋体" w:cs="宋体"/>
                <w:sz w:val="21"/>
                <w:szCs w:val="21"/>
                <w:lang w:val="en-US" w:eastAsia="zh-CN"/>
              </w:rPr>
              <w:t>文件要求及</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文件承诺逐条对应进行核验，必要时，采购人有权邀请国家质量监督检验部门或国家认可的检测机构参与共同验收。如产品不满足</w:t>
            </w:r>
            <w:r>
              <w:rPr>
                <w:rFonts w:hint="eastAsia" w:ascii="宋体" w:hAnsi="宋体" w:cs="宋体"/>
                <w:sz w:val="21"/>
                <w:szCs w:val="21"/>
                <w:lang w:val="en-US" w:eastAsia="zh-CN"/>
              </w:rPr>
              <w:t>招标</w:t>
            </w:r>
            <w:r>
              <w:rPr>
                <w:rFonts w:hint="eastAsia" w:ascii="宋体" w:hAnsi="宋体" w:eastAsia="宋体" w:cs="宋体"/>
                <w:sz w:val="21"/>
                <w:szCs w:val="21"/>
                <w:lang w:val="en-US" w:eastAsia="zh-CN"/>
              </w:rPr>
              <w:t>文件要求、</w:t>
            </w:r>
            <w:r>
              <w:rPr>
                <w:rFonts w:hint="eastAsia" w:ascii="宋体" w:hAnsi="宋体" w:cs="宋体"/>
                <w:sz w:val="21"/>
                <w:szCs w:val="21"/>
                <w:lang w:val="en-US" w:eastAsia="zh-CN"/>
              </w:rPr>
              <w:t>投标</w:t>
            </w:r>
            <w:r>
              <w:rPr>
                <w:rFonts w:hint="eastAsia" w:ascii="宋体" w:hAnsi="宋体" w:eastAsia="宋体" w:cs="宋体"/>
                <w:sz w:val="21"/>
                <w:szCs w:val="21"/>
                <w:lang w:val="en-US" w:eastAsia="zh-CN"/>
              </w:rPr>
              <w:t>文件承诺或国家强制执行的相关质量标准要求以及产品制造厂家合格产品的出厂质量标准，采购人有权不予验收，由此造成采购人的经济损失由</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承担全部赔偿责任，验收时所产生的一切费用由</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承担。</w:t>
            </w:r>
          </w:p>
          <w:p w14:paraId="3687373B">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3.项目完成系统建设内容，经稳定运行一周以上可提出验收，</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按医院信息化项目管理制度要求提供有关材料，由采购人组织现场验收。</w:t>
            </w:r>
          </w:p>
          <w:p w14:paraId="0CA480B3">
            <w:p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4.验收其他要求按合同条款执行。</w:t>
            </w:r>
          </w:p>
        </w:tc>
      </w:tr>
      <w:tr w14:paraId="4CF86D78">
        <w:tblPrEx>
          <w:tblCellMar>
            <w:top w:w="0" w:type="dxa"/>
            <w:left w:w="108" w:type="dxa"/>
            <w:bottom w:w="0" w:type="dxa"/>
            <w:right w:w="108" w:type="dxa"/>
          </w:tblCellMar>
        </w:tblPrEx>
        <w:trPr>
          <w:trHeight w:val="1260"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5BD5C748">
            <w:pPr>
              <w:adjustRightInd w:val="0"/>
              <w:snapToGrid w:val="0"/>
              <w:spacing w:line="300" w:lineRule="exact"/>
              <w:jc w:val="center"/>
              <w:rPr>
                <w:rFonts w:hint="eastAsia" w:ascii="宋体" w:hAnsi="宋体" w:eastAsia="宋体" w:cs="宋体"/>
                <w:b w:val="0"/>
                <w:bCs/>
                <w:spacing w:val="-2"/>
                <w:sz w:val="21"/>
                <w:szCs w:val="21"/>
                <w:highlight w:val="none"/>
              </w:rPr>
            </w:pPr>
            <w:r>
              <w:rPr>
                <w:rFonts w:hint="eastAsia" w:ascii="宋体" w:hAnsi="宋体" w:eastAsia="宋体" w:cs="宋体"/>
                <w:b/>
                <w:bCs/>
                <w:sz w:val="21"/>
                <w:szCs w:val="21"/>
                <w:lang w:val="zh-CN"/>
              </w:rPr>
              <w:t>其他要求</w:t>
            </w:r>
          </w:p>
        </w:tc>
        <w:tc>
          <w:tcPr>
            <w:tcW w:w="7208" w:type="dxa"/>
            <w:tcBorders>
              <w:top w:val="single" w:color="auto" w:sz="4" w:space="0"/>
              <w:left w:val="single" w:color="auto" w:sz="4" w:space="0"/>
              <w:bottom w:val="single" w:color="auto" w:sz="4" w:space="0"/>
              <w:right w:val="single" w:color="auto" w:sz="4" w:space="0"/>
            </w:tcBorders>
            <w:vAlign w:val="center"/>
          </w:tcPr>
          <w:p w14:paraId="195BC79A">
            <w:pPr>
              <w:numPr>
                <w:ilvl w:val="0"/>
                <w:numId w:val="3"/>
              </w:num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本项目所提供的软件必须具有合法的版权或使用权，如在本项目范围内使用过程中出现版权或使用权纠纷，应由供应商负责。</w:t>
            </w:r>
          </w:p>
          <w:p w14:paraId="603ED78B">
            <w:pPr>
              <w:numPr>
                <w:ilvl w:val="0"/>
                <w:numId w:val="3"/>
              </w:numPr>
              <w:spacing w:line="3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本项目本项目不接受联合投标，不接受分包或转包。</w:t>
            </w:r>
          </w:p>
          <w:p w14:paraId="1ACB769A">
            <w:pPr>
              <w:spacing w:line="300" w:lineRule="exact"/>
              <w:ind w:firstLine="0" w:firstLineChars="0"/>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color w:val="auto"/>
                <w:szCs w:val="21"/>
              </w:rPr>
              <w:t>以上</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采购需求”（含技术要求和商务要求）条款</w:t>
            </w:r>
            <w:r>
              <w:rPr>
                <w:rFonts w:hint="eastAsia" w:ascii="宋体" w:hAnsi="宋体" w:eastAsia="宋体" w:cs="宋体"/>
                <w:b/>
                <w:bCs/>
                <w:color w:val="auto"/>
                <w:szCs w:val="21"/>
              </w:rPr>
              <w:t>为必须满足的实质性要求，如有1项负偏离的，投标无效。</w:t>
            </w:r>
          </w:p>
        </w:tc>
      </w:tr>
    </w:tbl>
    <w:p w14:paraId="539864AC">
      <w:pPr>
        <w:snapToGrid w:val="0"/>
        <w:spacing w:line="460" w:lineRule="exact"/>
        <w:ind w:firstLine="480" w:firstLineChars="200"/>
        <w:rPr>
          <w:rFonts w:ascii="宋体" w:hAnsi="宋体" w:cs="宋体"/>
          <w:sz w:val="24"/>
        </w:rPr>
      </w:pPr>
    </w:p>
    <w:p w14:paraId="0E35D82F">
      <w:pPr>
        <w:pStyle w:val="16"/>
        <w:rPr>
          <w:rFonts w:ascii="宋体" w:hAnsi="宋体" w:cs="宋体"/>
          <w:sz w:val="24"/>
        </w:rPr>
      </w:pPr>
    </w:p>
    <w:p w14:paraId="40F9F71A">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四、合同主要条款</w:t>
      </w:r>
    </w:p>
    <w:p w14:paraId="173B6F65">
      <w:pPr>
        <w:rPr>
          <w:rFonts w:hint="eastAsia" w:ascii="宋体" w:hAnsi="宋体" w:eastAsia="宋体" w:cs="宋体"/>
          <w:b/>
          <w:sz w:val="24"/>
          <w:szCs w:val="24"/>
        </w:rPr>
      </w:pPr>
    </w:p>
    <w:p w14:paraId="171D62C6">
      <w:pPr>
        <w:rPr>
          <w:rFonts w:hint="eastAsia" w:ascii="宋体" w:hAnsi="宋体" w:eastAsia="宋体" w:cs="宋体"/>
          <w:b/>
          <w:sz w:val="24"/>
          <w:szCs w:val="24"/>
        </w:rPr>
      </w:pPr>
      <w:r>
        <w:rPr>
          <w:rFonts w:hint="eastAsia" w:ascii="宋体" w:hAnsi="宋体" w:eastAsia="宋体" w:cs="宋体"/>
          <w:b/>
          <w:sz w:val="24"/>
          <w:szCs w:val="24"/>
        </w:rPr>
        <w:t xml:space="preserve">委托方（甲方）： </w:t>
      </w:r>
      <w:r>
        <w:rPr>
          <w:rFonts w:hint="eastAsia" w:ascii="宋体" w:hAnsi="宋体" w:eastAsia="宋体" w:cs="宋体"/>
          <w:b/>
          <w:sz w:val="24"/>
          <w:szCs w:val="24"/>
          <w:u w:val="single"/>
        </w:rPr>
        <w:t xml:space="preserve">      桂林市人民医院</w:t>
      </w:r>
      <w:r>
        <w:rPr>
          <w:rFonts w:hint="eastAsia" w:ascii="宋体" w:hAnsi="宋体" w:eastAsia="宋体" w:cs="宋体"/>
          <w:b/>
          <w:sz w:val="24"/>
          <w:szCs w:val="24"/>
        </w:rPr>
        <w:t xml:space="preserve">          </w:t>
      </w:r>
    </w:p>
    <w:p w14:paraId="76E74558">
      <w:pPr>
        <w:rPr>
          <w:rFonts w:hint="eastAsia" w:ascii="宋体" w:hAnsi="宋体" w:eastAsia="宋体" w:cs="宋体"/>
          <w:b/>
          <w:sz w:val="24"/>
          <w:szCs w:val="24"/>
        </w:rPr>
      </w:pPr>
    </w:p>
    <w:p w14:paraId="64D9E0EA">
      <w:pPr>
        <w:rPr>
          <w:rFonts w:hint="eastAsia" w:ascii="宋体" w:hAnsi="宋体" w:eastAsia="宋体" w:cs="宋体"/>
          <w:b/>
          <w:sz w:val="24"/>
          <w:szCs w:val="24"/>
        </w:rPr>
      </w:pPr>
      <w:r>
        <w:rPr>
          <w:rFonts w:hint="eastAsia" w:ascii="宋体" w:hAnsi="宋体" w:eastAsia="宋体" w:cs="宋体"/>
          <w:b/>
          <w:sz w:val="24"/>
          <w:szCs w:val="24"/>
        </w:rPr>
        <w:t xml:space="preserve">受托方（乙方）：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w:t>
      </w:r>
    </w:p>
    <w:p w14:paraId="09386635">
      <w:pPr>
        <w:rPr>
          <w:rFonts w:hint="eastAsia" w:ascii="宋体" w:hAnsi="宋体" w:eastAsia="宋体" w:cs="宋体"/>
          <w:b/>
          <w:sz w:val="24"/>
          <w:szCs w:val="24"/>
        </w:rPr>
      </w:pPr>
    </w:p>
    <w:p w14:paraId="05B1D1E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本合同甲方委托乙方对</w:t>
      </w:r>
      <w:r>
        <w:rPr>
          <w:rFonts w:hint="eastAsia" w:ascii="宋体" w:hAnsi="宋体" w:eastAsia="宋体" w:cs="宋体"/>
          <w:sz w:val="24"/>
          <w:szCs w:val="24"/>
          <w:u w:val="single"/>
        </w:rPr>
        <w:t>桂林市人民医院信息系统进行网络安全等级保护测评和商用密码应用与安全性评估</w:t>
      </w:r>
      <w:r>
        <w:rPr>
          <w:rFonts w:hint="eastAsia" w:ascii="宋体" w:hAnsi="宋体" w:eastAsia="宋体" w:cs="宋体"/>
          <w:sz w:val="24"/>
          <w:szCs w:val="24"/>
        </w:rPr>
        <w:t>，乙方接受委托并进行此测评工作。双方经过平等协商，在真实、充分地表达各自意愿的基础上，依据《中华人民共和国民法典》等相关法律法规的规定，达成如下合同，并由双方共同恪守。</w:t>
      </w:r>
    </w:p>
    <w:p w14:paraId="4DC62501">
      <w:pPr>
        <w:pStyle w:val="9"/>
        <w:ind w:firstLine="0"/>
        <w:jc w:val="left"/>
        <w:rPr>
          <w:rFonts w:hint="eastAsia" w:ascii="宋体" w:hAnsi="宋体" w:eastAsia="宋体" w:cs="宋体"/>
          <w:b/>
          <w:sz w:val="24"/>
          <w:szCs w:val="24"/>
        </w:rPr>
      </w:pPr>
      <w:r>
        <w:rPr>
          <w:rFonts w:hint="eastAsia" w:ascii="宋体" w:hAnsi="宋体" w:eastAsia="宋体" w:cs="宋体"/>
          <w:b/>
          <w:sz w:val="24"/>
          <w:szCs w:val="24"/>
        </w:rPr>
        <w:t>一、测评依据：</w:t>
      </w:r>
    </w:p>
    <w:p w14:paraId="49DD55C1">
      <w:pPr>
        <w:pStyle w:val="9"/>
        <w:ind w:firstLine="0"/>
        <w:jc w:val="left"/>
        <w:rPr>
          <w:rFonts w:hint="eastAsia" w:ascii="宋体" w:hAnsi="宋体" w:eastAsia="宋体" w:cs="宋体"/>
          <w:sz w:val="24"/>
          <w:szCs w:val="24"/>
        </w:rPr>
      </w:pPr>
      <w:r>
        <w:rPr>
          <w:rFonts w:hint="eastAsia" w:ascii="宋体" w:hAnsi="宋体" w:eastAsia="宋体" w:cs="宋体"/>
          <w:sz w:val="24"/>
          <w:szCs w:val="24"/>
        </w:rPr>
        <w:t>1.GB 17859-1999《计算机信息系统安全保护等级划分准则》</w:t>
      </w:r>
    </w:p>
    <w:p w14:paraId="72BC2352">
      <w:pPr>
        <w:pStyle w:val="9"/>
        <w:ind w:firstLine="0"/>
        <w:jc w:val="left"/>
        <w:rPr>
          <w:rFonts w:hint="eastAsia" w:ascii="宋体" w:hAnsi="宋体" w:eastAsia="宋体" w:cs="宋体"/>
          <w:sz w:val="24"/>
          <w:szCs w:val="24"/>
        </w:rPr>
      </w:pPr>
      <w:r>
        <w:rPr>
          <w:rFonts w:hint="eastAsia" w:ascii="宋体" w:hAnsi="宋体" w:eastAsia="宋体" w:cs="宋体"/>
          <w:sz w:val="24"/>
          <w:szCs w:val="24"/>
        </w:rPr>
        <w:t>2.GB/T 22239-2019《信息安全技术 网络安全等级保护基本要求》</w:t>
      </w:r>
    </w:p>
    <w:p w14:paraId="78E4A875">
      <w:pPr>
        <w:pStyle w:val="9"/>
        <w:ind w:firstLine="0"/>
        <w:jc w:val="left"/>
        <w:rPr>
          <w:rFonts w:hint="eastAsia" w:ascii="宋体" w:hAnsi="宋体" w:eastAsia="宋体" w:cs="宋体"/>
          <w:sz w:val="24"/>
          <w:szCs w:val="24"/>
        </w:rPr>
      </w:pPr>
      <w:r>
        <w:rPr>
          <w:rFonts w:hint="eastAsia" w:ascii="宋体" w:hAnsi="宋体" w:eastAsia="宋体" w:cs="宋体"/>
          <w:sz w:val="24"/>
          <w:szCs w:val="24"/>
        </w:rPr>
        <w:t>3.GB/T 22240-20</w:t>
      </w:r>
      <w:bookmarkStart w:id="1" w:name="_Hlk21694911"/>
      <w:r>
        <w:rPr>
          <w:rFonts w:hint="eastAsia" w:ascii="宋体" w:hAnsi="宋体" w:eastAsia="宋体" w:cs="宋体"/>
          <w:sz w:val="24"/>
          <w:szCs w:val="24"/>
        </w:rPr>
        <w:t>20《信息安全技术 网络安全等级保护定级指南》</w:t>
      </w:r>
      <w:bookmarkEnd w:id="1"/>
    </w:p>
    <w:p w14:paraId="0A2CF80F">
      <w:pPr>
        <w:pStyle w:val="9"/>
        <w:ind w:firstLine="0"/>
        <w:jc w:val="left"/>
        <w:rPr>
          <w:rFonts w:hint="eastAsia" w:ascii="宋体" w:hAnsi="宋体" w:eastAsia="宋体" w:cs="宋体"/>
          <w:sz w:val="24"/>
          <w:szCs w:val="24"/>
        </w:rPr>
      </w:pPr>
      <w:r>
        <w:rPr>
          <w:rFonts w:hint="eastAsia" w:ascii="宋体" w:hAnsi="宋体" w:eastAsia="宋体" w:cs="宋体"/>
          <w:sz w:val="24"/>
          <w:szCs w:val="24"/>
        </w:rPr>
        <w:t>4.GB/T 28448-2019《信息安全技术 网络安全等级保护测评要求》</w:t>
      </w:r>
    </w:p>
    <w:p w14:paraId="6ACE7F70">
      <w:pPr>
        <w:pStyle w:val="9"/>
        <w:ind w:firstLine="0"/>
        <w:jc w:val="left"/>
        <w:rPr>
          <w:rFonts w:hint="eastAsia" w:ascii="宋体" w:hAnsi="宋体" w:eastAsia="宋体" w:cs="宋体"/>
          <w:sz w:val="24"/>
          <w:szCs w:val="24"/>
        </w:rPr>
      </w:pPr>
      <w:r>
        <w:rPr>
          <w:rFonts w:hint="eastAsia" w:ascii="宋体" w:hAnsi="宋体" w:eastAsia="宋体" w:cs="宋体"/>
          <w:sz w:val="24"/>
          <w:szCs w:val="24"/>
        </w:rPr>
        <w:t>5.GB/T 28449-2018《信息安全技术 网络安全等级保护测评过程指南》</w:t>
      </w:r>
    </w:p>
    <w:p w14:paraId="56590EF8">
      <w:pPr>
        <w:pStyle w:val="9"/>
        <w:ind w:firstLine="0"/>
        <w:jc w:val="left"/>
        <w:rPr>
          <w:rFonts w:hint="eastAsia" w:ascii="宋体" w:hAnsi="宋体" w:eastAsia="宋体" w:cs="宋体"/>
          <w:sz w:val="24"/>
          <w:szCs w:val="24"/>
        </w:rPr>
      </w:pPr>
      <w:r>
        <w:rPr>
          <w:rFonts w:hint="eastAsia" w:ascii="宋体" w:hAnsi="宋体" w:eastAsia="宋体" w:cs="宋体"/>
          <w:sz w:val="24"/>
          <w:szCs w:val="24"/>
        </w:rPr>
        <w:t>6.GB/T 36958-2018《信息安全技术 网络安全等级保护安全管理中心技术要求》</w:t>
      </w:r>
    </w:p>
    <w:p w14:paraId="2069CB5D">
      <w:pPr>
        <w:pStyle w:val="9"/>
        <w:ind w:firstLine="0"/>
        <w:jc w:val="left"/>
        <w:rPr>
          <w:rFonts w:hint="eastAsia" w:ascii="宋体" w:hAnsi="宋体" w:eastAsia="宋体" w:cs="宋体"/>
          <w:sz w:val="24"/>
          <w:szCs w:val="24"/>
        </w:rPr>
      </w:pPr>
      <w:r>
        <w:rPr>
          <w:rFonts w:hint="eastAsia" w:ascii="宋体" w:hAnsi="宋体" w:eastAsia="宋体" w:cs="宋体"/>
          <w:sz w:val="24"/>
          <w:szCs w:val="24"/>
        </w:rPr>
        <w:t>7.GB/T 39786-2021《信息系统密码应用基本要求》</w:t>
      </w:r>
    </w:p>
    <w:p w14:paraId="69600F5C">
      <w:pPr>
        <w:pStyle w:val="9"/>
        <w:ind w:firstLine="0"/>
        <w:jc w:val="left"/>
        <w:rPr>
          <w:rFonts w:hint="eastAsia" w:ascii="宋体" w:hAnsi="宋体" w:eastAsia="宋体" w:cs="宋体"/>
          <w:sz w:val="24"/>
          <w:szCs w:val="24"/>
        </w:rPr>
      </w:pPr>
      <w:r>
        <w:rPr>
          <w:rFonts w:hint="eastAsia" w:ascii="宋体" w:hAnsi="宋体" w:eastAsia="宋体" w:cs="宋体"/>
          <w:sz w:val="24"/>
          <w:szCs w:val="24"/>
        </w:rPr>
        <w:t>8.GB/T 43206-2023《信息安全技术 信息系统密码应用测评要求》</w:t>
      </w:r>
    </w:p>
    <w:p w14:paraId="5C09A16E">
      <w:pPr>
        <w:pStyle w:val="9"/>
        <w:ind w:firstLine="0"/>
        <w:jc w:val="left"/>
        <w:rPr>
          <w:rFonts w:hint="eastAsia" w:ascii="宋体" w:hAnsi="宋体" w:eastAsia="宋体" w:cs="宋体"/>
          <w:sz w:val="24"/>
          <w:szCs w:val="24"/>
        </w:rPr>
      </w:pPr>
      <w:r>
        <w:rPr>
          <w:rFonts w:hint="eastAsia" w:ascii="宋体" w:hAnsi="宋体" w:eastAsia="宋体" w:cs="宋体"/>
          <w:sz w:val="24"/>
          <w:szCs w:val="24"/>
        </w:rPr>
        <w:t>9.GM/T 0115-2021《信息系统密码应用测评要求》</w:t>
      </w:r>
    </w:p>
    <w:p w14:paraId="5A90C4D1">
      <w:pPr>
        <w:pStyle w:val="9"/>
        <w:ind w:firstLine="0"/>
        <w:jc w:val="left"/>
        <w:rPr>
          <w:rFonts w:hint="eastAsia" w:ascii="宋体" w:hAnsi="宋体" w:eastAsia="宋体" w:cs="宋体"/>
          <w:sz w:val="24"/>
          <w:szCs w:val="24"/>
        </w:rPr>
      </w:pPr>
      <w:r>
        <w:rPr>
          <w:rFonts w:hint="eastAsia" w:ascii="宋体" w:hAnsi="宋体" w:eastAsia="宋体" w:cs="宋体"/>
          <w:sz w:val="24"/>
          <w:szCs w:val="24"/>
        </w:rPr>
        <w:t>10.GM/T 0116-2021《信息系统密码应用测评过程指南》</w:t>
      </w:r>
    </w:p>
    <w:p w14:paraId="5C865B66">
      <w:pPr>
        <w:pStyle w:val="9"/>
        <w:ind w:firstLine="0"/>
        <w:jc w:val="left"/>
        <w:rPr>
          <w:rFonts w:hint="eastAsia" w:ascii="宋体" w:hAnsi="宋体" w:eastAsia="宋体" w:cs="宋体"/>
          <w:sz w:val="24"/>
          <w:szCs w:val="24"/>
        </w:rPr>
      </w:pPr>
      <w:r>
        <w:rPr>
          <w:rFonts w:hint="eastAsia" w:ascii="宋体" w:hAnsi="宋体" w:eastAsia="宋体" w:cs="宋体"/>
          <w:sz w:val="24"/>
          <w:szCs w:val="24"/>
        </w:rPr>
        <w:t>11.特定行业颁布的与网络安全等级保护测评、商用密码应用与安全性评估相关的标准、要求和指南。</w:t>
      </w:r>
    </w:p>
    <w:p w14:paraId="64D790D4">
      <w:pPr>
        <w:pStyle w:val="9"/>
        <w:ind w:firstLine="0"/>
        <w:jc w:val="left"/>
        <w:rPr>
          <w:rFonts w:hint="eastAsia" w:ascii="宋体" w:hAnsi="宋体" w:eastAsia="宋体" w:cs="宋体"/>
          <w:b/>
          <w:bCs/>
          <w:sz w:val="24"/>
          <w:szCs w:val="24"/>
        </w:rPr>
      </w:pPr>
      <w:r>
        <w:rPr>
          <w:rFonts w:hint="eastAsia" w:ascii="宋体" w:hAnsi="宋体" w:eastAsia="宋体" w:cs="宋体"/>
          <w:b/>
          <w:bCs/>
          <w:sz w:val="24"/>
          <w:szCs w:val="24"/>
        </w:rPr>
        <w:t xml:space="preserve">二、测评对象： </w:t>
      </w:r>
    </w:p>
    <w:tbl>
      <w:tblPr>
        <w:tblStyle w:val="2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701"/>
        <w:gridCol w:w="2410"/>
        <w:gridCol w:w="1701"/>
      </w:tblGrid>
      <w:tr w14:paraId="6CDB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02FE255">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序号</w:t>
            </w:r>
          </w:p>
        </w:tc>
        <w:tc>
          <w:tcPr>
            <w:tcW w:w="2835" w:type="dxa"/>
            <w:vAlign w:val="center"/>
          </w:tcPr>
          <w:p w14:paraId="10D3140C">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信息系统名称</w:t>
            </w:r>
          </w:p>
          <w:p w14:paraId="098097E3">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（以最新备案为准）</w:t>
            </w:r>
          </w:p>
        </w:tc>
        <w:tc>
          <w:tcPr>
            <w:tcW w:w="1701" w:type="dxa"/>
            <w:vAlign w:val="center"/>
          </w:tcPr>
          <w:p w14:paraId="418E9041">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安全等级</w:t>
            </w:r>
          </w:p>
        </w:tc>
        <w:tc>
          <w:tcPr>
            <w:tcW w:w="2410" w:type="dxa"/>
            <w:vAlign w:val="center"/>
          </w:tcPr>
          <w:p w14:paraId="2E376464">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1701" w:type="dxa"/>
            <w:vAlign w:val="center"/>
          </w:tcPr>
          <w:p w14:paraId="5BE8A50F">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系统分项报价</w:t>
            </w:r>
          </w:p>
        </w:tc>
      </w:tr>
      <w:tr w14:paraId="3D34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FBCC72E">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1</w:t>
            </w:r>
          </w:p>
        </w:tc>
        <w:tc>
          <w:tcPr>
            <w:tcW w:w="2835" w:type="dxa"/>
            <w:vAlign w:val="center"/>
          </w:tcPr>
          <w:p w14:paraId="32513096">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HIS系统</w:t>
            </w:r>
          </w:p>
        </w:tc>
        <w:tc>
          <w:tcPr>
            <w:tcW w:w="1701" w:type="dxa"/>
            <w:vAlign w:val="center"/>
          </w:tcPr>
          <w:p w14:paraId="0202DBCE">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三级</w:t>
            </w:r>
          </w:p>
        </w:tc>
        <w:tc>
          <w:tcPr>
            <w:tcW w:w="2410" w:type="dxa"/>
            <w:vAlign w:val="center"/>
          </w:tcPr>
          <w:p w14:paraId="5C5643DC">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等保测评</w:t>
            </w:r>
          </w:p>
        </w:tc>
        <w:tc>
          <w:tcPr>
            <w:tcW w:w="1701" w:type="dxa"/>
            <w:vAlign w:val="center"/>
          </w:tcPr>
          <w:p w14:paraId="16491606">
            <w:pPr>
              <w:pStyle w:val="9"/>
              <w:widowControl w:val="0"/>
              <w:ind w:firstLine="0"/>
              <w:jc w:val="center"/>
              <w:rPr>
                <w:rFonts w:hint="eastAsia" w:ascii="宋体" w:hAnsi="宋体" w:eastAsia="宋体" w:cs="宋体"/>
                <w:sz w:val="24"/>
                <w:szCs w:val="24"/>
              </w:rPr>
            </w:pPr>
          </w:p>
        </w:tc>
      </w:tr>
      <w:tr w14:paraId="0868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A5E5CB">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2</w:t>
            </w:r>
          </w:p>
        </w:tc>
        <w:tc>
          <w:tcPr>
            <w:tcW w:w="2835" w:type="dxa"/>
            <w:vAlign w:val="center"/>
          </w:tcPr>
          <w:p w14:paraId="5FDEEB7F">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互联网医院系统</w:t>
            </w:r>
          </w:p>
        </w:tc>
        <w:tc>
          <w:tcPr>
            <w:tcW w:w="1701" w:type="dxa"/>
            <w:vAlign w:val="center"/>
          </w:tcPr>
          <w:p w14:paraId="29499B42">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三级</w:t>
            </w:r>
          </w:p>
        </w:tc>
        <w:tc>
          <w:tcPr>
            <w:tcW w:w="2410" w:type="dxa"/>
            <w:vAlign w:val="center"/>
          </w:tcPr>
          <w:p w14:paraId="32E1901A">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等保测评</w:t>
            </w:r>
          </w:p>
        </w:tc>
        <w:tc>
          <w:tcPr>
            <w:tcW w:w="1701" w:type="dxa"/>
            <w:vAlign w:val="center"/>
          </w:tcPr>
          <w:p w14:paraId="44A4D403">
            <w:pPr>
              <w:pStyle w:val="9"/>
              <w:widowControl w:val="0"/>
              <w:ind w:firstLine="0"/>
              <w:jc w:val="center"/>
              <w:rPr>
                <w:rFonts w:hint="eastAsia" w:ascii="宋体" w:hAnsi="宋体" w:eastAsia="宋体" w:cs="宋体"/>
                <w:sz w:val="24"/>
                <w:szCs w:val="24"/>
              </w:rPr>
            </w:pPr>
          </w:p>
        </w:tc>
      </w:tr>
      <w:tr w14:paraId="4C7B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EE3D7F1">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3</w:t>
            </w:r>
          </w:p>
        </w:tc>
        <w:tc>
          <w:tcPr>
            <w:tcW w:w="2835" w:type="dxa"/>
            <w:vAlign w:val="center"/>
          </w:tcPr>
          <w:p w14:paraId="40A6406F">
            <w:pPr>
              <w:pStyle w:val="9"/>
              <w:widowControl w:val="0"/>
              <w:ind w:firstLine="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信息集成平台系统</w:t>
            </w:r>
          </w:p>
        </w:tc>
        <w:tc>
          <w:tcPr>
            <w:tcW w:w="1701" w:type="dxa"/>
            <w:vAlign w:val="center"/>
          </w:tcPr>
          <w:p w14:paraId="5BEF4651">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三级</w:t>
            </w:r>
          </w:p>
        </w:tc>
        <w:tc>
          <w:tcPr>
            <w:tcW w:w="2410" w:type="dxa"/>
            <w:vAlign w:val="center"/>
          </w:tcPr>
          <w:p w14:paraId="1538D56D">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等保测评</w:t>
            </w:r>
          </w:p>
        </w:tc>
        <w:tc>
          <w:tcPr>
            <w:tcW w:w="1701" w:type="dxa"/>
          </w:tcPr>
          <w:p w14:paraId="54A62755">
            <w:pPr>
              <w:pStyle w:val="9"/>
              <w:widowControl w:val="0"/>
              <w:ind w:firstLine="0"/>
              <w:jc w:val="center"/>
              <w:rPr>
                <w:rFonts w:hint="eastAsia" w:ascii="宋体" w:hAnsi="宋体" w:eastAsia="宋体" w:cs="宋体"/>
                <w:sz w:val="24"/>
                <w:szCs w:val="24"/>
              </w:rPr>
            </w:pPr>
          </w:p>
        </w:tc>
      </w:tr>
      <w:tr w14:paraId="5028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B1D017C">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4</w:t>
            </w:r>
          </w:p>
        </w:tc>
        <w:tc>
          <w:tcPr>
            <w:tcW w:w="2835" w:type="dxa"/>
            <w:shd w:val="clear" w:color="auto" w:fill="auto"/>
            <w:vAlign w:val="center"/>
          </w:tcPr>
          <w:p w14:paraId="468663BA">
            <w:pPr>
              <w:pStyle w:val="9"/>
              <w:widowControl w:val="0"/>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HIS系统</w:t>
            </w:r>
          </w:p>
        </w:tc>
        <w:tc>
          <w:tcPr>
            <w:tcW w:w="1701" w:type="dxa"/>
            <w:shd w:val="clear" w:color="auto" w:fill="auto"/>
            <w:vAlign w:val="center"/>
          </w:tcPr>
          <w:p w14:paraId="3B39DBAF">
            <w:pPr>
              <w:pStyle w:val="9"/>
              <w:widowControl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三级</w:t>
            </w:r>
          </w:p>
        </w:tc>
        <w:tc>
          <w:tcPr>
            <w:tcW w:w="2410" w:type="dxa"/>
            <w:shd w:val="clear" w:color="auto" w:fill="auto"/>
            <w:vAlign w:val="center"/>
          </w:tcPr>
          <w:p w14:paraId="584D0494">
            <w:pPr>
              <w:pStyle w:val="9"/>
              <w:widowControl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商密评估</w:t>
            </w:r>
          </w:p>
        </w:tc>
        <w:tc>
          <w:tcPr>
            <w:tcW w:w="1701" w:type="dxa"/>
          </w:tcPr>
          <w:p w14:paraId="351F6B88">
            <w:pPr>
              <w:pStyle w:val="9"/>
              <w:widowControl w:val="0"/>
              <w:ind w:firstLine="0"/>
              <w:jc w:val="center"/>
              <w:rPr>
                <w:rFonts w:hint="eastAsia" w:ascii="宋体" w:hAnsi="宋体" w:eastAsia="宋体" w:cs="宋体"/>
                <w:sz w:val="24"/>
                <w:szCs w:val="24"/>
              </w:rPr>
            </w:pPr>
          </w:p>
        </w:tc>
      </w:tr>
      <w:tr w14:paraId="2234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E78AD59">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5</w:t>
            </w:r>
          </w:p>
        </w:tc>
        <w:tc>
          <w:tcPr>
            <w:tcW w:w="2835" w:type="dxa"/>
            <w:shd w:val="clear" w:color="auto" w:fill="auto"/>
            <w:vAlign w:val="center"/>
          </w:tcPr>
          <w:p w14:paraId="4CBF2595">
            <w:pPr>
              <w:pStyle w:val="9"/>
              <w:widowControl w:val="0"/>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互联网医院系统</w:t>
            </w:r>
          </w:p>
        </w:tc>
        <w:tc>
          <w:tcPr>
            <w:tcW w:w="1701" w:type="dxa"/>
            <w:shd w:val="clear" w:color="auto" w:fill="auto"/>
            <w:vAlign w:val="center"/>
          </w:tcPr>
          <w:p w14:paraId="7DB91D21">
            <w:pPr>
              <w:pStyle w:val="9"/>
              <w:widowControl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三级</w:t>
            </w:r>
          </w:p>
        </w:tc>
        <w:tc>
          <w:tcPr>
            <w:tcW w:w="2410" w:type="dxa"/>
            <w:shd w:val="clear" w:color="auto" w:fill="auto"/>
            <w:vAlign w:val="center"/>
          </w:tcPr>
          <w:p w14:paraId="27AF627D">
            <w:pPr>
              <w:pStyle w:val="9"/>
              <w:widowControl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商密评估</w:t>
            </w:r>
          </w:p>
        </w:tc>
        <w:tc>
          <w:tcPr>
            <w:tcW w:w="1701" w:type="dxa"/>
            <w:vAlign w:val="center"/>
          </w:tcPr>
          <w:p w14:paraId="7056443A">
            <w:pPr>
              <w:pStyle w:val="9"/>
              <w:widowControl w:val="0"/>
              <w:ind w:firstLine="0"/>
              <w:jc w:val="center"/>
              <w:rPr>
                <w:rFonts w:hint="eastAsia" w:ascii="宋体" w:hAnsi="宋体" w:eastAsia="宋体" w:cs="宋体"/>
                <w:sz w:val="24"/>
                <w:szCs w:val="24"/>
              </w:rPr>
            </w:pPr>
          </w:p>
        </w:tc>
      </w:tr>
      <w:tr w14:paraId="304F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4DC220">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6</w:t>
            </w:r>
          </w:p>
        </w:tc>
        <w:tc>
          <w:tcPr>
            <w:tcW w:w="2835" w:type="dxa"/>
            <w:vAlign w:val="center"/>
          </w:tcPr>
          <w:p w14:paraId="7680788F">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lang w:val="en-US" w:eastAsia="zh-CN"/>
              </w:rPr>
              <w:t>信息集成平台系统</w:t>
            </w:r>
          </w:p>
        </w:tc>
        <w:tc>
          <w:tcPr>
            <w:tcW w:w="1701" w:type="dxa"/>
            <w:vAlign w:val="center"/>
          </w:tcPr>
          <w:p w14:paraId="730E3CB0">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三级</w:t>
            </w:r>
          </w:p>
        </w:tc>
        <w:tc>
          <w:tcPr>
            <w:tcW w:w="2410" w:type="dxa"/>
            <w:vAlign w:val="center"/>
          </w:tcPr>
          <w:p w14:paraId="4DD872C1">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rPr>
              <w:t>商密评估</w:t>
            </w:r>
          </w:p>
        </w:tc>
        <w:tc>
          <w:tcPr>
            <w:tcW w:w="1701" w:type="dxa"/>
            <w:vAlign w:val="center"/>
          </w:tcPr>
          <w:p w14:paraId="66FADE21">
            <w:pPr>
              <w:pStyle w:val="9"/>
              <w:widowControl w:val="0"/>
              <w:ind w:firstLine="0"/>
              <w:jc w:val="center"/>
              <w:rPr>
                <w:rFonts w:hint="eastAsia" w:ascii="宋体" w:hAnsi="宋体" w:eastAsia="宋体" w:cs="宋体"/>
                <w:sz w:val="24"/>
                <w:szCs w:val="24"/>
              </w:rPr>
            </w:pPr>
          </w:p>
        </w:tc>
      </w:tr>
      <w:tr w14:paraId="1026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3BD5FE9">
            <w:pPr>
              <w:pStyle w:val="9"/>
              <w:widowControl w:val="0"/>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35" w:type="dxa"/>
            <w:shd w:val="clear" w:color="auto" w:fill="auto"/>
            <w:vAlign w:val="center"/>
          </w:tcPr>
          <w:p w14:paraId="080320BE">
            <w:pPr>
              <w:pStyle w:val="9"/>
              <w:widowControl w:val="0"/>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HIS系统</w:t>
            </w:r>
          </w:p>
        </w:tc>
        <w:tc>
          <w:tcPr>
            <w:tcW w:w="1701" w:type="dxa"/>
            <w:shd w:val="clear" w:color="auto" w:fill="auto"/>
            <w:vAlign w:val="center"/>
          </w:tcPr>
          <w:p w14:paraId="2B5D61CC">
            <w:pPr>
              <w:pStyle w:val="9"/>
              <w:widowControl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三级</w:t>
            </w:r>
          </w:p>
        </w:tc>
        <w:tc>
          <w:tcPr>
            <w:tcW w:w="2410" w:type="dxa"/>
            <w:shd w:val="clear" w:color="auto" w:fill="auto"/>
            <w:vAlign w:val="center"/>
          </w:tcPr>
          <w:p w14:paraId="502895BD">
            <w:pPr>
              <w:pStyle w:val="9"/>
              <w:widowControl w:val="0"/>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系统差距整改咨询</w:t>
            </w:r>
          </w:p>
        </w:tc>
        <w:tc>
          <w:tcPr>
            <w:tcW w:w="1701" w:type="dxa"/>
            <w:vAlign w:val="center"/>
          </w:tcPr>
          <w:p w14:paraId="50EBA0D0">
            <w:pPr>
              <w:pStyle w:val="9"/>
              <w:widowControl w:val="0"/>
              <w:ind w:firstLine="0"/>
              <w:jc w:val="center"/>
              <w:rPr>
                <w:rFonts w:hint="eastAsia" w:ascii="宋体" w:hAnsi="宋体" w:eastAsia="宋体" w:cs="宋体"/>
                <w:sz w:val="24"/>
                <w:szCs w:val="24"/>
              </w:rPr>
            </w:pPr>
          </w:p>
        </w:tc>
      </w:tr>
      <w:tr w14:paraId="7DED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19D355B">
            <w:pPr>
              <w:pStyle w:val="9"/>
              <w:widowControl w:val="0"/>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835" w:type="dxa"/>
            <w:shd w:val="clear" w:color="auto" w:fill="auto"/>
            <w:vAlign w:val="center"/>
          </w:tcPr>
          <w:p w14:paraId="6B5E3083">
            <w:pPr>
              <w:pStyle w:val="9"/>
              <w:widowControl w:val="0"/>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互联网医院系统</w:t>
            </w:r>
          </w:p>
        </w:tc>
        <w:tc>
          <w:tcPr>
            <w:tcW w:w="1701" w:type="dxa"/>
            <w:shd w:val="clear" w:color="auto" w:fill="auto"/>
            <w:vAlign w:val="center"/>
          </w:tcPr>
          <w:p w14:paraId="56EE07DA">
            <w:pPr>
              <w:pStyle w:val="9"/>
              <w:widowControl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三级</w:t>
            </w:r>
          </w:p>
        </w:tc>
        <w:tc>
          <w:tcPr>
            <w:tcW w:w="2410" w:type="dxa"/>
            <w:shd w:val="clear" w:color="auto" w:fill="auto"/>
            <w:vAlign w:val="center"/>
          </w:tcPr>
          <w:p w14:paraId="2667988C">
            <w:pPr>
              <w:pStyle w:val="9"/>
              <w:widowControl w:val="0"/>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系统差距整改咨询</w:t>
            </w:r>
          </w:p>
        </w:tc>
        <w:tc>
          <w:tcPr>
            <w:tcW w:w="1701" w:type="dxa"/>
            <w:vAlign w:val="center"/>
          </w:tcPr>
          <w:p w14:paraId="78009A05">
            <w:pPr>
              <w:pStyle w:val="9"/>
              <w:widowControl w:val="0"/>
              <w:ind w:firstLine="0"/>
              <w:jc w:val="center"/>
              <w:rPr>
                <w:rFonts w:hint="eastAsia" w:ascii="宋体" w:hAnsi="宋体" w:eastAsia="宋体" w:cs="宋体"/>
                <w:sz w:val="24"/>
                <w:szCs w:val="24"/>
              </w:rPr>
            </w:pPr>
          </w:p>
        </w:tc>
      </w:tr>
      <w:tr w14:paraId="17A0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5441217">
            <w:pPr>
              <w:pStyle w:val="9"/>
              <w:widowControl w:val="0"/>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835" w:type="dxa"/>
            <w:shd w:val="clear" w:color="auto" w:fill="auto"/>
            <w:vAlign w:val="center"/>
          </w:tcPr>
          <w:p w14:paraId="1F0AC61A">
            <w:pPr>
              <w:pStyle w:val="9"/>
              <w:widowControl w:val="0"/>
              <w:ind w:firstLine="0"/>
              <w:jc w:val="center"/>
              <w:rPr>
                <w:rFonts w:hint="eastAsia" w:ascii="宋体" w:hAnsi="宋体" w:eastAsia="宋体" w:cs="宋体"/>
                <w:sz w:val="24"/>
                <w:szCs w:val="24"/>
              </w:rPr>
            </w:pPr>
            <w:r>
              <w:rPr>
                <w:rFonts w:hint="eastAsia" w:ascii="宋体" w:hAnsi="宋体" w:eastAsia="宋体" w:cs="宋体"/>
                <w:sz w:val="24"/>
                <w:szCs w:val="24"/>
                <w:lang w:val="en-US" w:eastAsia="zh-CN"/>
              </w:rPr>
              <w:t>信息集成平台系统</w:t>
            </w:r>
          </w:p>
        </w:tc>
        <w:tc>
          <w:tcPr>
            <w:tcW w:w="1701" w:type="dxa"/>
            <w:shd w:val="clear" w:color="auto" w:fill="auto"/>
            <w:vAlign w:val="center"/>
          </w:tcPr>
          <w:p w14:paraId="442ACCDF">
            <w:pPr>
              <w:pStyle w:val="9"/>
              <w:widowControl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三级</w:t>
            </w:r>
          </w:p>
        </w:tc>
        <w:tc>
          <w:tcPr>
            <w:tcW w:w="2410" w:type="dxa"/>
            <w:shd w:val="clear" w:color="auto" w:fill="auto"/>
            <w:vAlign w:val="center"/>
          </w:tcPr>
          <w:p w14:paraId="5872BC07">
            <w:pPr>
              <w:pStyle w:val="9"/>
              <w:widowControl w:val="0"/>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系统差距整改咨询</w:t>
            </w:r>
          </w:p>
        </w:tc>
        <w:tc>
          <w:tcPr>
            <w:tcW w:w="1701" w:type="dxa"/>
            <w:vAlign w:val="center"/>
          </w:tcPr>
          <w:p w14:paraId="0D1D33AE">
            <w:pPr>
              <w:pStyle w:val="9"/>
              <w:widowControl w:val="0"/>
              <w:ind w:firstLine="0"/>
              <w:jc w:val="center"/>
              <w:rPr>
                <w:rFonts w:hint="eastAsia" w:ascii="宋体" w:hAnsi="宋体" w:eastAsia="宋体" w:cs="宋体"/>
                <w:sz w:val="24"/>
                <w:szCs w:val="24"/>
              </w:rPr>
            </w:pPr>
          </w:p>
        </w:tc>
      </w:tr>
    </w:tbl>
    <w:p w14:paraId="760E1C55">
      <w:pPr>
        <w:spacing w:before="163" w:beforeLines="50" w:line="360" w:lineRule="auto"/>
        <w:jc w:val="left"/>
        <w:outlineLvl w:val="0"/>
        <w:rPr>
          <w:rFonts w:hint="eastAsia" w:ascii="宋体" w:hAnsi="宋体" w:eastAsia="宋体" w:cs="宋体"/>
          <w:b/>
          <w:sz w:val="24"/>
          <w:szCs w:val="24"/>
        </w:rPr>
      </w:pPr>
      <w:r>
        <w:rPr>
          <w:rFonts w:hint="eastAsia" w:ascii="宋体" w:hAnsi="宋体" w:eastAsia="宋体" w:cs="宋体"/>
          <w:b/>
          <w:sz w:val="24"/>
          <w:szCs w:val="24"/>
        </w:rPr>
        <w:t>三、交付物：</w:t>
      </w:r>
    </w:p>
    <w:p w14:paraId="60B31A0B">
      <w:pPr>
        <w:spacing w:before="163" w:before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1.《网络安全等级保护等级测评报告》。</w:t>
      </w:r>
    </w:p>
    <w:p w14:paraId="2E1802EF">
      <w:pPr>
        <w:pStyle w:val="9"/>
        <w:ind w:firstLine="480" w:firstLineChars="200"/>
        <w:jc w:val="left"/>
        <w:rPr>
          <w:rFonts w:hint="eastAsia" w:ascii="宋体" w:hAnsi="宋体" w:eastAsia="宋体" w:cs="宋体"/>
          <w:sz w:val="24"/>
          <w:szCs w:val="24"/>
        </w:rPr>
      </w:pPr>
      <w:r>
        <w:rPr>
          <w:rFonts w:hint="eastAsia" w:ascii="宋体" w:hAnsi="宋体" w:eastAsia="宋体" w:cs="宋体"/>
          <w:sz w:val="24"/>
          <w:szCs w:val="24"/>
        </w:rPr>
        <w:t>纸质版报告一式四份，二份交甲方指定人签收，一份交属地公安局网安支队签收，一份由测评机构存档；</w:t>
      </w:r>
    </w:p>
    <w:p w14:paraId="210B1FC5">
      <w:pPr>
        <w:pStyle w:val="9"/>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电子版报告一式二份，一份交甲方指定人签收，一份交属地公安局网安支队签收，加密刻盘后由测评机构专人送达或以加密通道邮寄送达。</w:t>
      </w:r>
    </w:p>
    <w:p w14:paraId="0571C6D1">
      <w:pPr>
        <w:pStyle w:val="9"/>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2.《商用密码应用与安全性评估报告》。</w:t>
      </w:r>
    </w:p>
    <w:p w14:paraId="660AC700">
      <w:pPr>
        <w:pStyle w:val="9"/>
        <w:ind w:firstLine="480" w:firstLineChars="200"/>
        <w:jc w:val="left"/>
        <w:rPr>
          <w:rFonts w:hint="eastAsia" w:ascii="宋体" w:hAnsi="宋体" w:eastAsia="宋体" w:cs="宋体"/>
          <w:sz w:val="24"/>
          <w:szCs w:val="24"/>
        </w:rPr>
      </w:pPr>
      <w:r>
        <w:rPr>
          <w:rFonts w:hint="eastAsia" w:ascii="宋体" w:hAnsi="宋体" w:eastAsia="宋体" w:cs="宋体"/>
          <w:sz w:val="24"/>
          <w:szCs w:val="24"/>
        </w:rPr>
        <w:t>纸质版报告每个系统一式四份，一份留评估机构存档，二份交被评估系统所在单位，一份提交监管部门。</w:t>
      </w:r>
    </w:p>
    <w:p w14:paraId="2EBC4AF6">
      <w:pPr>
        <w:pStyle w:val="9"/>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电子版报告每个系统一式二份，加密刻盘后由评估机构专人送达或以加密通道邮寄送达。</w:t>
      </w:r>
    </w:p>
    <w:p w14:paraId="6AF7C627">
      <w:pPr>
        <w:pStyle w:val="9"/>
        <w:ind w:firstLine="482" w:firstLineChars="200"/>
        <w:jc w:val="left"/>
        <w:rPr>
          <w:rFonts w:hint="eastAsia" w:ascii="宋体" w:hAnsi="宋体" w:eastAsia="宋体" w:cs="宋体"/>
          <w:b/>
          <w:bCs/>
          <w:sz w:val="24"/>
          <w:szCs w:val="24"/>
          <w:u w:val="single"/>
        </w:rPr>
      </w:pPr>
      <w:r>
        <w:rPr>
          <w:rFonts w:hint="eastAsia" w:ascii="宋体" w:hAnsi="宋体" w:eastAsia="宋体" w:cs="宋体"/>
          <w:b/>
          <w:bCs/>
          <w:sz w:val="24"/>
          <w:szCs w:val="24"/>
          <w:u w:val="single"/>
        </w:rPr>
        <w:t>商用密码应用与安全性评估工作需符合国家密码局〔2022〕454号文件要求，按照国家密码局的规定：本合同将作为附件，附在密评报告后，以供相关主管部门审核查验。</w:t>
      </w:r>
    </w:p>
    <w:p w14:paraId="62B19DFA">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3.差距整改咨询服务，含以下内容：</w:t>
      </w:r>
    </w:p>
    <w:p w14:paraId="6A507ACF">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（1）安全评估服务</w:t>
      </w:r>
    </w:p>
    <w:p w14:paraId="40C6FE44">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14:paraId="09A2BBED">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（2）差距分析服务</w:t>
      </w:r>
    </w:p>
    <w:p w14:paraId="3C7A728C">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包含依照系统准备差距分析表、安全管理差距分析（通过文档、访谈和测试等方式）、安全技术差距分析（通过文档、访谈等方式）、生成等级保护差距分析报告。</w:t>
      </w:r>
    </w:p>
    <w:p w14:paraId="73543C00">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（3）安全规划服务</w:t>
      </w:r>
    </w:p>
    <w:p w14:paraId="51CBB18A">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包含安全需求分析、安全建设与改建方案的制定、制作原信息系统产品加固方案、测评不符合及部分符合项整改建议、制作新的网络拓扑图、制作安全需求分析报告、编制并确认整体信息系统整改方案。</w:t>
      </w:r>
    </w:p>
    <w:p w14:paraId="39D4C8C9">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（4）整改咨询服务</w:t>
      </w:r>
    </w:p>
    <w:p w14:paraId="0FE1E691">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依据等级保护相关技术标准，协助采购方完成需测评信息系统的安全整改咨询服务，完善信息系统安全防护措施，以期使各信息系统达到等级保护基本符合的要求。</w:t>
      </w:r>
    </w:p>
    <w:p w14:paraId="20880DAA">
      <w:pPr>
        <w:pStyle w:val="9"/>
        <w:ind w:firstLine="480" w:firstLineChars="200"/>
        <w:rPr>
          <w:rFonts w:hint="eastAsia" w:ascii="宋体" w:hAnsi="宋体" w:eastAsia="宋体" w:cs="宋体"/>
          <w:sz w:val="24"/>
          <w:szCs w:val="24"/>
        </w:rPr>
      </w:pPr>
      <w:r>
        <w:rPr>
          <w:rFonts w:hint="eastAsia" w:ascii="宋体" w:hAnsi="宋体" w:eastAsia="宋体" w:cs="宋体"/>
          <w:sz w:val="24"/>
          <w:szCs w:val="24"/>
        </w:rPr>
        <w:t>（5）安全咨询服务</w:t>
      </w:r>
    </w:p>
    <w:p w14:paraId="2CF10638">
      <w:pPr>
        <w:pStyle w:val="9"/>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由安全服务商提供的电话、邮件、面谈等方式提供各类信息系统安全咨询和建议服务。（时间1年）</w:t>
      </w:r>
    </w:p>
    <w:p w14:paraId="5395B880">
      <w:pPr>
        <w:spacing w:before="163" w:beforeLines="50" w:line="360" w:lineRule="auto"/>
        <w:jc w:val="left"/>
        <w:outlineLvl w:val="0"/>
        <w:rPr>
          <w:rFonts w:hint="eastAsia" w:ascii="宋体" w:hAnsi="宋体" w:eastAsia="宋体" w:cs="宋体"/>
          <w:b/>
          <w:sz w:val="24"/>
          <w:szCs w:val="24"/>
        </w:rPr>
      </w:pPr>
      <w:r>
        <w:rPr>
          <w:rFonts w:hint="eastAsia" w:ascii="宋体" w:hAnsi="宋体" w:eastAsia="宋体" w:cs="宋体"/>
          <w:b/>
          <w:sz w:val="24"/>
          <w:szCs w:val="24"/>
        </w:rPr>
        <w:t>四、双方的主要义务</w:t>
      </w:r>
    </w:p>
    <w:p w14:paraId="7CC7C6B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1.甲方的主要义务：</w:t>
      </w:r>
    </w:p>
    <w:p w14:paraId="228BEF6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（1）向乙方提供被测信息系统的软硬件文档、管理文件、建设和维护过程文档等测评所需的相关资料。本合同签订之前做过等级保护测评的，须提供相应的测评报告及针对报告做出的整改结果文档；</w:t>
      </w:r>
    </w:p>
    <w:p w14:paraId="6DDC014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（2）在进行现场测评时，配合乙方测评人员的访谈、检查、测试等相关测评活动；配合人员如来自本合同甲方之外单位的，须书面说明其与本合同甲方之间的关系以及证明这种关系的证据；</w:t>
      </w:r>
    </w:p>
    <w:p w14:paraId="1A36A78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（3）测评时全程提供相应的技术协助，提供被测系统资产与甲方关系的证明（包括但不限于自有/代建/代管/代维/服务总包/租赁）；</w:t>
      </w:r>
    </w:p>
    <w:p w14:paraId="1C328B9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（4）提供临时的工作场所（不影响甲方工作正常进行）和打印条件（必要时打印纸乙方自备）。</w:t>
      </w:r>
    </w:p>
    <w:p w14:paraId="7157C23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（5）本合同生效后3个工作日内，甲方将被测系统定级备案表、定级报告及信息系统安全等级保护备案证明(全套复印件）提供给乙方；</w:t>
      </w:r>
    </w:p>
    <w:p w14:paraId="420FD43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（6）确认并为被测系统《网络安全等级保护测评授权书》、《信息系统漏洞扫描和渗透测试授权书》、《网络安全等级测评方案》、《客户满意度调查表》等文档加盖公章。</w:t>
      </w:r>
    </w:p>
    <w:p w14:paraId="403850E8">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确认并为被测评系统《网络安全等级保护测评现场测评启动会议记录》、《测评现场接受/归还文档清单》、《网络安全等级保护测评结果记录》、《网络安全等级保护测评现场测评小结会议记录》、《测评报告发送登记表》等文档签字。</w:t>
      </w:r>
    </w:p>
    <w:p w14:paraId="1C92123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（7）按照本合同约定的方式及时足额支付测评费用。</w:t>
      </w:r>
    </w:p>
    <w:p w14:paraId="5E4CEEC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2.乙方的主要义务：</w:t>
      </w:r>
    </w:p>
    <w:p w14:paraId="15A0527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（1）严格依照相关标准进行测评活动；</w:t>
      </w:r>
    </w:p>
    <w:p w14:paraId="2326FD6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（2）制定和实施信息系统测评方案；</w:t>
      </w:r>
    </w:p>
    <w:p w14:paraId="11538F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（3）按期完成甲方委托的信息系统测评工作；</w:t>
      </w:r>
    </w:p>
    <w:p w14:paraId="7AB629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（4）按本合同约定的期限按时提交测评报告；</w:t>
      </w:r>
    </w:p>
    <w:p w14:paraId="4F371E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（5）在本合同有效期内为甲方提供信息安全技术与服务咨询；</w:t>
      </w:r>
    </w:p>
    <w:p w14:paraId="15D29119">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向甲方递交被测系统《网络安全等级保护测评授权书》、《信息系统漏洞扫描和渗透测试授权书》、《网络安全等级测评方案》、《客户满意度调查表》等文档，在甲方确认并盖章后收回，作为项目证据以备用于监管机构检查。</w:t>
      </w:r>
    </w:p>
    <w:p w14:paraId="79F703FC">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与甲方共同确认被测评系统《网络安全等级保护测评现场测评启动会议记录》、《测评现场接受/归还文档清单》、《网络安全等级保护测评结果记录》、《网络安全等级保护测评现场测评小结会议记录》、《测评报告发送登记表》等文档的内容，经甲方确认并签字后收回，作为项目证据以备用于监管机构检查。</w:t>
      </w:r>
    </w:p>
    <w:p w14:paraId="2369ADBC">
      <w:pPr>
        <w:spacing w:before="163" w:beforeLines="50" w:line="360" w:lineRule="auto"/>
        <w:jc w:val="left"/>
        <w:outlineLvl w:val="0"/>
        <w:rPr>
          <w:rFonts w:hint="eastAsia" w:ascii="宋体" w:hAnsi="宋体" w:eastAsia="宋体" w:cs="宋体"/>
          <w:b/>
          <w:sz w:val="24"/>
          <w:szCs w:val="24"/>
        </w:rPr>
      </w:pPr>
      <w:r>
        <w:rPr>
          <w:rFonts w:hint="eastAsia" w:ascii="宋体" w:hAnsi="宋体" w:eastAsia="宋体" w:cs="宋体"/>
          <w:b/>
          <w:sz w:val="24"/>
          <w:szCs w:val="24"/>
        </w:rPr>
        <w:t>五、履约地点</w:t>
      </w:r>
    </w:p>
    <w:p w14:paraId="2C2922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1.由乙方派遣测评人员到甲方信息系统所处物理位置</w:t>
      </w:r>
      <w:r>
        <w:rPr>
          <w:rFonts w:hint="eastAsia" w:ascii="宋体" w:hAnsi="宋体" w:eastAsia="宋体" w:cs="宋体"/>
          <w:sz w:val="24"/>
          <w:szCs w:val="24"/>
          <w:u w:val="single"/>
        </w:rPr>
        <w:t xml:space="preserve"> 广西壮族自治区桂林市 </w:t>
      </w:r>
      <w:r>
        <w:rPr>
          <w:rFonts w:hint="eastAsia" w:ascii="宋体" w:hAnsi="宋体" w:eastAsia="宋体" w:cs="宋体"/>
          <w:sz w:val="24"/>
          <w:szCs w:val="24"/>
        </w:rPr>
        <w:t>进行测评；</w:t>
      </w:r>
    </w:p>
    <w:p w14:paraId="1F11DE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由于信息系统本身特点或其它甲方认可的原因，需要在甲方以外（两个或两个以上）的地点进行测评时，甲方应负担乙方现场测评人员的差旅和食宿费用。差旅和食宿标准：按财政部和各省、自治区、直辖市财政厅（局）相关文件规定执行。</w:t>
      </w:r>
    </w:p>
    <w:p w14:paraId="2A16A1AB">
      <w:pPr>
        <w:spacing w:before="163" w:beforeLines="50" w:line="360" w:lineRule="auto"/>
        <w:jc w:val="left"/>
        <w:outlineLvl w:val="0"/>
        <w:rPr>
          <w:rFonts w:hint="eastAsia" w:ascii="宋体" w:hAnsi="宋体" w:eastAsia="宋体" w:cs="宋体"/>
          <w:b/>
          <w:color w:val="000000"/>
          <w:sz w:val="24"/>
          <w:szCs w:val="24"/>
        </w:rPr>
      </w:pPr>
      <w:r>
        <w:rPr>
          <w:rFonts w:hint="eastAsia" w:ascii="宋体" w:hAnsi="宋体" w:eastAsia="宋体" w:cs="宋体"/>
          <w:b/>
          <w:color w:val="000000"/>
          <w:sz w:val="24"/>
          <w:szCs w:val="24"/>
        </w:rPr>
        <w:t>六、合同价款及支付</w:t>
      </w:r>
      <w:r>
        <w:rPr>
          <w:rFonts w:hint="eastAsia" w:ascii="宋体" w:hAnsi="宋体" w:eastAsia="宋体" w:cs="宋体"/>
          <w:b/>
          <w:sz w:val="24"/>
          <w:szCs w:val="24"/>
        </w:rPr>
        <w:t>方式、发票类型和交付物交接。</w:t>
      </w:r>
    </w:p>
    <w:p w14:paraId="499A11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1.本合同测评费总额为人民币（大写）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8318D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合同签订后，自双方验收合格（乙方向甲方出具测评报告）且收到乙方开具的正规等额、有效发票之日起60个工作日后支付合同价款的95%，合同价款的5%作为履约保证金，质保期满30个工作日后付清（无息）。</w:t>
      </w:r>
    </w:p>
    <w:p w14:paraId="52E4EDD3">
      <w:pPr>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为保证发票符合甲方的要求，甲方应在本合同中注明所需发票的种类，并完整填写合同签字页中与开具发票相关的内容：甲方注册登记地址、固定电话、统一社会信用代码、开户银行、帐号。</w:t>
      </w:r>
    </w:p>
    <w:p w14:paraId="1B4690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本项目甲方所需要的发票种类为</w:t>
      </w:r>
      <w:r>
        <w:rPr>
          <w:rFonts w:hint="eastAsia" w:ascii="宋体" w:hAnsi="宋体" w:eastAsia="宋体" w:cs="宋体"/>
          <w:sz w:val="24"/>
          <w:szCs w:val="24"/>
          <w:lang w:eastAsia="zh-CN"/>
        </w:rPr>
        <w:t>：</w:t>
      </w:r>
      <w:r>
        <w:rPr>
          <w:rFonts w:hint="eastAsia" w:ascii="宋体" w:hAnsi="宋体" w:eastAsia="宋体" w:cs="宋体"/>
          <w:sz w:val="24"/>
          <w:szCs w:val="24"/>
          <w:u w:val="single"/>
        </w:rPr>
        <w:t>增值税普通发票</w:t>
      </w:r>
    </w:p>
    <w:p w14:paraId="0C1D0C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将测评报告送达甲方指定接收人签收，甲方指定专人（默认为甲方项目联系人）接收并在测评报告送达回单上签章确认。根据公安部门要求，甲方应对乙方的测评及服务做出客观的评价，并将书面评价交乙方人员或快递寄送（邮费由乙方支付）。</w:t>
      </w:r>
    </w:p>
    <w:p w14:paraId="04C37304">
      <w:pPr>
        <w:spacing w:before="163" w:beforeLines="50" w:line="360" w:lineRule="auto"/>
        <w:jc w:val="left"/>
        <w:outlineLvl w:val="0"/>
        <w:rPr>
          <w:rFonts w:hint="eastAsia" w:ascii="宋体" w:hAnsi="宋体" w:eastAsia="宋体" w:cs="宋体"/>
          <w:sz w:val="24"/>
          <w:szCs w:val="24"/>
        </w:rPr>
      </w:pPr>
      <w:r>
        <w:rPr>
          <w:rFonts w:hint="eastAsia" w:ascii="宋体" w:hAnsi="宋体" w:eastAsia="宋体" w:cs="宋体"/>
          <w:b/>
          <w:sz w:val="24"/>
          <w:szCs w:val="24"/>
        </w:rPr>
        <w:t>七、合同履行的期限</w:t>
      </w:r>
    </w:p>
    <w:p w14:paraId="2B8448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本合同的有效期限自合同签订生效之日始，至本合同项下双方各项义务履行完毕之日止。乙方必须在现场测评后不早于25个日历日，不迟于60个日历日内出具测评报告。</w:t>
      </w:r>
    </w:p>
    <w:p w14:paraId="3967D74C">
      <w:pPr>
        <w:spacing w:before="163" w:beforeLines="50" w:line="360" w:lineRule="auto"/>
        <w:jc w:val="left"/>
        <w:outlineLvl w:val="0"/>
        <w:rPr>
          <w:rFonts w:hint="eastAsia" w:ascii="宋体" w:hAnsi="宋体" w:eastAsia="宋体" w:cs="宋体"/>
          <w:b/>
          <w:sz w:val="24"/>
          <w:szCs w:val="24"/>
        </w:rPr>
      </w:pPr>
      <w:r>
        <w:rPr>
          <w:rFonts w:hint="eastAsia" w:ascii="宋体" w:hAnsi="宋体" w:eastAsia="宋体" w:cs="宋体"/>
          <w:b/>
          <w:sz w:val="24"/>
          <w:szCs w:val="24"/>
        </w:rPr>
        <w:t>八、违约责任的认定及承担的方式</w:t>
      </w:r>
    </w:p>
    <w:p w14:paraId="5B2046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w:t>
      </w:r>
      <w:bookmarkStart w:id="2" w:name="_Hlk518220224"/>
      <w:r>
        <w:rPr>
          <w:rFonts w:hint="eastAsia" w:ascii="宋体" w:hAnsi="宋体" w:eastAsia="宋体" w:cs="宋体"/>
          <w:sz w:val="24"/>
          <w:szCs w:val="24"/>
        </w:rPr>
        <w:t>不按本合同约定支付测评费，即为甲方违约；</w:t>
      </w:r>
      <w:bookmarkEnd w:id="2"/>
      <w:r>
        <w:rPr>
          <w:rFonts w:hint="eastAsia" w:ascii="宋体" w:hAnsi="宋体" w:eastAsia="宋体" w:cs="宋体"/>
          <w:sz w:val="24"/>
          <w:szCs w:val="24"/>
        </w:rPr>
        <w:t>乙方不按本合同约定提交测评报告，即为乙方违约。</w:t>
      </w:r>
    </w:p>
    <w:p w14:paraId="30BF52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2.如果一方违约，违约方需支付守约方总合同金额的20%的违约金。</w:t>
      </w:r>
    </w:p>
    <w:p w14:paraId="5A7DC2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3.违约方自逾期之日起，以合同价款为基数，按照每日0.05%的标准支付守约方违约金。如违约方支付的违约金不足以弥补守约方实际损失的，违约方应赔偿守约方所有实际损失。</w:t>
      </w:r>
    </w:p>
    <w:p w14:paraId="6E87F3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4.本合同生效后，如果一方违约，违约方除应当承担违约责任、支付违约金之外，还应当承担守约方向违约方主张权利所产生的一切费用，包括但不限于律师费、诉讼费、公证费、鉴定费等。</w:t>
      </w:r>
    </w:p>
    <w:p w14:paraId="33B6DE2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5.乙方应该开具真实、有效的税务发票，一旦查出乙方提供的发票作假，甲方有权解除协议并且甲方有权利不支付该笔发票款项。</w:t>
      </w:r>
    </w:p>
    <w:p w14:paraId="4D8C8B2D">
      <w:pPr>
        <w:spacing w:before="163" w:beforeLines="50" w:line="360" w:lineRule="auto"/>
        <w:jc w:val="left"/>
        <w:outlineLvl w:val="0"/>
        <w:rPr>
          <w:rFonts w:hint="eastAsia" w:ascii="宋体" w:hAnsi="宋体" w:eastAsia="宋体" w:cs="宋体"/>
          <w:b/>
          <w:bCs/>
          <w:sz w:val="24"/>
          <w:szCs w:val="24"/>
        </w:rPr>
      </w:pPr>
      <w:r>
        <w:rPr>
          <w:rFonts w:hint="eastAsia" w:ascii="宋体" w:hAnsi="宋体" w:eastAsia="宋体" w:cs="宋体"/>
          <w:b/>
          <w:bCs/>
          <w:sz w:val="24"/>
          <w:szCs w:val="24"/>
        </w:rPr>
        <w:t>九、保密条款</w:t>
      </w:r>
    </w:p>
    <w:p w14:paraId="51B2F2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中的任何一方及其工作人员应对本合同签订、履行过程中了解到的涉及到另一方商业秘密的文件资料以及其他尚未公开的有关信息承担保密义务，并采取相应的保密措施。双方应承担的保密义务包括但不限于：</w:t>
      </w:r>
    </w:p>
    <w:p w14:paraId="3C4994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（1）未经一方书面同意，另一方不得将上述保密信息披露给任何第三人。</w:t>
      </w:r>
    </w:p>
    <w:p w14:paraId="66CF63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双方因履行与本合同而产生的标的物或衍生物（包括但不限于《测评报告》、《整改建议》或《测评相关说明》等），均应承担保密义务。任何时候、任何情况下均不得以任何形式在局域网、广域网或互联网展示或传播。</w:t>
      </w:r>
    </w:p>
    <w:p w14:paraId="43F3FE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（3）不得将保密信息用于本合同签订、履行以外的其他目的。</w:t>
      </w:r>
    </w:p>
    <w:p w14:paraId="2787B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（4）在本合同履行完成后，及时将有关资料和信息返还对方或按对方要求作适当处理。</w:t>
      </w:r>
    </w:p>
    <w:p w14:paraId="5FA02B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2.本合同的终止、撤销、解除不应影响本条约定的效力。在双方合作终止后，本保密条款对双方仍具有约束力。</w:t>
      </w:r>
    </w:p>
    <w:p w14:paraId="2EDDCD23">
      <w:pPr>
        <w:spacing w:before="163" w:beforeLines="50" w:line="360" w:lineRule="auto"/>
        <w:jc w:val="left"/>
        <w:outlineLvl w:val="0"/>
        <w:rPr>
          <w:rFonts w:hint="eastAsia" w:ascii="宋体" w:hAnsi="宋体" w:eastAsia="宋体" w:cs="宋体"/>
          <w:b/>
          <w:bCs/>
          <w:sz w:val="24"/>
          <w:szCs w:val="24"/>
        </w:rPr>
      </w:pPr>
      <w:r>
        <w:rPr>
          <w:rFonts w:hint="eastAsia" w:ascii="宋体" w:hAnsi="宋体" w:eastAsia="宋体" w:cs="宋体"/>
          <w:b/>
          <w:bCs/>
          <w:sz w:val="24"/>
          <w:szCs w:val="24"/>
        </w:rPr>
        <w:t>十、特别条款</w:t>
      </w:r>
    </w:p>
    <w:p w14:paraId="404E64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1.乙方秉持“独立性、公正性和诚实性”的原则，依照网络安全等级保护的相关标准进行测评，测评结果不受任何前置条件的限制。如果甲方预设测评结果，当测评结果不满足甲方要求时，乙方出具</w:t>
      </w:r>
      <w:bookmarkStart w:id="3" w:name="_Hlk21700366"/>
      <w:r>
        <w:rPr>
          <w:rFonts w:hint="eastAsia" w:ascii="宋体" w:hAnsi="宋体" w:eastAsia="宋体" w:cs="宋体"/>
          <w:sz w:val="24"/>
          <w:szCs w:val="24"/>
        </w:rPr>
        <w:t>《信息系统整改意见书》</w:t>
      </w:r>
      <w:bookmarkEnd w:id="3"/>
      <w:r>
        <w:rPr>
          <w:rFonts w:hint="eastAsia" w:ascii="宋体" w:hAnsi="宋体" w:eastAsia="宋体" w:cs="宋体"/>
          <w:sz w:val="24"/>
          <w:szCs w:val="24"/>
        </w:rPr>
        <w:t>，甲方自行整改，但甲方的整改不影响其按本合同“六”的约定向乙方支付测评费用。甲方整改完毕后，乙方为甲方免费复测一次并出具测评报告。</w:t>
      </w:r>
    </w:p>
    <w:p w14:paraId="67385C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2.甲方整改时间超过60天或预计超过60天的，甲方应向乙方出具书面的</w:t>
      </w:r>
      <w:bookmarkStart w:id="4" w:name="_Hlk21700494"/>
      <w:r>
        <w:rPr>
          <w:rFonts w:hint="eastAsia" w:ascii="宋体" w:hAnsi="宋体" w:eastAsia="宋体" w:cs="宋体"/>
          <w:sz w:val="24"/>
          <w:szCs w:val="24"/>
        </w:rPr>
        <w:t>《信息系统整改说明》</w:t>
      </w:r>
      <w:bookmarkEnd w:id="4"/>
      <w:r>
        <w:rPr>
          <w:rFonts w:hint="eastAsia" w:ascii="宋体" w:hAnsi="宋体" w:eastAsia="宋体" w:cs="宋体"/>
          <w:sz w:val="24"/>
          <w:szCs w:val="24"/>
        </w:rPr>
        <w:t>；超过90天（整改起始时间为甲方收到《信息系统整改意见书》之日）仍未整改完毕的，乙方必须按照初次测评的结果出具测评报告，以满足监管方要求，报告内附《信息系统整改意见书》和《信息系统整改说明》。</w:t>
      </w:r>
    </w:p>
    <w:p w14:paraId="1339DC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3.根据公安部门的要求，本合同项下被测评信息系统测评的连续总时长为6个月，期间为：自本合同签字盖章生效之日起至出具测评报告之日止。</w:t>
      </w:r>
    </w:p>
    <w:p w14:paraId="197BDE24">
      <w:pPr>
        <w:spacing w:before="163" w:beforeLines="50" w:line="360" w:lineRule="auto"/>
        <w:jc w:val="left"/>
        <w:outlineLvl w:val="0"/>
        <w:rPr>
          <w:rFonts w:hint="eastAsia" w:ascii="宋体" w:hAnsi="宋体" w:eastAsia="宋体" w:cs="宋体"/>
          <w:sz w:val="24"/>
          <w:szCs w:val="24"/>
        </w:rPr>
      </w:pPr>
      <w:r>
        <w:rPr>
          <w:rFonts w:hint="eastAsia" w:ascii="宋体" w:hAnsi="宋体" w:eastAsia="宋体" w:cs="宋体"/>
          <w:b/>
          <w:sz w:val="24"/>
          <w:szCs w:val="24"/>
        </w:rPr>
        <w:t>十一、争议解决</w:t>
      </w:r>
    </w:p>
    <w:p w14:paraId="1BC7D79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甲、乙双方因履行本合同所发生的一切争议，应通过友好协商解决；如协商不成，本合同任何一方均可向</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所在地人民法院提起诉讼。</w:t>
      </w:r>
    </w:p>
    <w:p w14:paraId="6C732B14">
      <w:pPr>
        <w:spacing w:before="163" w:beforeLines="50" w:line="360" w:lineRule="auto"/>
        <w:jc w:val="left"/>
        <w:outlineLvl w:val="0"/>
        <w:rPr>
          <w:rFonts w:hint="eastAsia" w:ascii="宋体" w:hAnsi="宋体" w:eastAsia="宋体" w:cs="宋体"/>
          <w:b/>
          <w:sz w:val="24"/>
          <w:szCs w:val="24"/>
        </w:rPr>
      </w:pPr>
      <w:r>
        <w:rPr>
          <w:rFonts w:hint="eastAsia" w:ascii="宋体" w:hAnsi="宋体" w:eastAsia="宋体" w:cs="宋体"/>
          <w:b/>
          <w:sz w:val="24"/>
          <w:szCs w:val="24"/>
        </w:rPr>
        <w:t>十二、其他</w:t>
      </w:r>
    </w:p>
    <w:p w14:paraId="3E2B7C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本合同一式肆份，甲方执贰份，乙方执贰份，在双方法定代表人或授权代表签字且加盖单位公章或合同专用章之日起生效。</w:t>
      </w:r>
    </w:p>
    <w:p w14:paraId="55908166">
      <w:pPr>
        <w:rPr>
          <w:rFonts w:asciiTheme="majorBidi" w:hAnsiTheme="majorBidi" w:cstheme="majorBidi"/>
        </w:rPr>
      </w:pPr>
    </w:p>
    <w:tbl>
      <w:tblPr>
        <w:tblStyle w:val="21"/>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15"/>
        <w:gridCol w:w="2548"/>
        <w:gridCol w:w="1418"/>
        <w:gridCol w:w="2410"/>
      </w:tblGrid>
      <w:tr w14:paraId="31A9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832" w:type="dxa"/>
            <w:vMerge w:val="restart"/>
            <w:vAlign w:val="center"/>
          </w:tcPr>
          <w:p w14:paraId="4913FA8C">
            <w:pPr>
              <w:jc w:val="center"/>
              <w:rPr>
                <w:b/>
                <w:bCs/>
              </w:rPr>
            </w:pPr>
            <w:r>
              <w:rPr>
                <w:b/>
                <w:bCs/>
              </w:rPr>
              <w:t>委</w:t>
            </w:r>
          </w:p>
          <w:p w14:paraId="4A71B5A8">
            <w:pPr>
              <w:jc w:val="center"/>
              <w:rPr>
                <w:b/>
                <w:bCs/>
              </w:rPr>
            </w:pPr>
          </w:p>
          <w:p w14:paraId="5FE3F250">
            <w:pPr>
              <w:jc w:val="center"/>
              <w:rPr>
                <w:b/>
                <w:bCs/>
              </w:rPr>
            </w:pPr>
            <w:r>
              <w:rPr>
                <w:b/>
                <w:bCs/>
              </w:rPr>
              <w:t>托</w:t>
            </w:r>
          </w:p>
          <w:p w14:paraId="2CDCFB0C">
            <w:pPr>
              <w:jc w:val="center"/>
              <w:rPr>
                <w:b/>
                <w:bCs/>
              </w:rPr>
            </w:pPr>
          </w:p>
          <w:p w14:paraId="01F2BCD8">
            <w:pPr>
              <w:jc w:val="center"/>
              <w:rPr>
                <w:b/>
                <w:bCs/>
              </w:rPr>
            </w:pPr>
            <w:r>
              <w:rPr>
                <w:b/>
                <w:bCs/>
              </w:rPr>
              <w:t>方</w:t>
            </w:r>
          </w:p>
          <w:p w14:paraId="039AB734">
            <w:pPr>
              <w:jc w:val="center"/>
              <w:rPr>
                <w:b/>
                <w:bCs/>
              </w:rPr>
            </w:pPr>
          </w:p>
          <w:p w14:paraId="7A188695">
            <w:pPr>
              <w:jc w:val="center"/>
              <w:rPr>
                <w:b/>
                <w:bCs/>
              </w:rPr>
            </w:pPr>
            <w:r>
              <w:rPr>
                <w:b/>
                <w:bCs/>
              </w:rPr>
              <w:t>(甲</w:t>
            </w:r>
          </w:p>
          <w:p w14:paraId="6CE124BC">
            <w:pPr>
              <w:jc w:val="center"/>
              <w:rPr>
                <w:b/>
                <w:bCs/>
              </w:rPr>
            </w:pPr>
          </w:p>
          <w:p w14:paraId="70D70381">
            <w:pPr>
              <w:jc w:val="center"/>
              <w:rPr>
                <w:b/>
                <w:bCs/>
              </w:rPr>
            </w:pPr>
            <w:r>
              <w:rPr>
                <w:b/>
                <w:bCs/>
              </w:rPr>
              <w:t>方)</w:t>
            </w:r>
          </w:p>
        </w:tc>
        <w:tc>
          <w:tcPr>
            <w:tcW w:w="1715" w:type="dxa"/>
            <w:vAlign w:val="center"/>
          </w:tcPr>
          <w:p w14:paraId="7AA495C3">
            <w:pPr>
              <w:jc w:val="center"/>
              <w:rPr>
                <w:sz w:val="21"/>
                <w:szCs w:val="21"/>
              </w:rPr>
            </w:pPr>
            <w:r>
              <w:rPr>
                <w:sz w:val="21"/>
                <w:szCs w:val="21"/>
              </w:rPr>
              <w:t>单位名称</w:t>
            </w:r>
          </w:p>
        </w:tc>
        <w:tc>
          <w:tcPr>
            <w:tcW w:w="6376" w:type="dxa"/>
            <w:gridSpan w:val="3"/>
            <w:vAlign w:val="center"/>
          </w:tcPr>
          <w:p w14:paraId="4B52700C">
            <w:pPr>
              <w:jc w:val="center"/>
              <w:rPr>
                <w:b/>
                <w:bCs/>
                <w:sz w:val="21"/>
                <w:szCs w:val="21"/>
              </w:rPr>
            </w:pPr>
            <w:r>
              <w:rPr>
                <w:rFonts w:hint="eastAsia"/>
                <w:b/>
                <w:bCs/>
                <w:sz w:val="21"/>
                <w:szCs w:val="21"/>
              </w:rPr>
              <w:t>桂林市人民医院</w:t>
            </w:r>
          </w:p>
          <w:p w14:paraId="1081CE6A">
            <w:pPr>
              <w:jc w:val="center"/>
              <w:rPr>
                <w:sz w:val="21"/>
                <w:szCs w:val="21"/>
              </w:rPr>
            </w:pPr>
            <w:r>
              <w:rPr>
                <w:b/>
                <w:bCs/>
                <w:sz w:val="21"/>
                <w:szCs w:val="21"/>
              </w:rPr>
              <w:t>（盖章）</w:t>
            </w:r>
          </w:p>
        </w:tc>
      </w:tr>
      <w:tr w14:paraId="4D4A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32" w:type="dxa"/>
            <w:vMerge w:val="continue"/>
            <w:vAlign w:val="center"/>
          </w:tcPr>
          <w:p w14:paraId="5C214762">
            <w:pPr>
              <w:jc w:val="center"/>
              <w:rPr>
                <w:b/>
                <w:bCs/>
              </w:rPr>
            </w:pPr>
          </w:p>
        </w:tc>
        <w:tc>
          <w:tcPr>
            <w:tcW w:w="1715" w:type="dxa"/>
            <w:vAlign w:val="center"/>
          </w:tcPr>
          <w:p w14:paraId="29FFEC15">
            <w:pPr>
              <w:jc w:val="center"/>
              <w:rPr>
                <w:sz w:val="21"/>
                <w:szCs w:val="21"/>
              </w:rPr>
            </w:pPr>
            <w:r>
              <w:rPr>
                <w:sz w:val="21"/>
                <w:szCs w:val="21"/>
              </w:rPr>
              <w:t>法定代表人</w:t>
            </w:r>
          </w:p>
          <w:p w14:paraId="5A6FA0C7">
            <w:pPr>
              <w:jc w:val="center"/>
            </w:pPr>
            <w:r>
              <w:rPr>
                <w:rFonts w:hint="eastAsia"/>
                <w:sz w:val="21"/>
                <w:szCs w:val="21"/>
              </w:rPr>
              <w:t>或委托代理人</w:t>
            </w:r>
          </w:p>
        </w:tc>
        <w:tc>
          <w:tcPr>
            <w:tcW w:w="2548" w:type="dxa"/>
            <w:vAlign w:val="center"/>
          </w:tcPr>
          <w:p w14:paraId="49ADC229">
            <w:pPr>
              <w:jc w:val="center"/>
              <w:rPr>
                <w:sz w:val="21"/>
                <w:szCs w:val="21"/>
              </w:rPr>
            </w:pPr>
          </w:p>
        </w:tc>
        <w:tc>
          <w:tcPr>
            <w:tcW w:w="1418" w:type="dxa"/>
            <w:vAlign w:val="center"/>
          </w:tcPr>
          <w:p w14:paraId="05577600">
            <w:pPr>
              <w:jc w:val="center"/>
              <w:rPr>
                <w:sz w:val="21"/>
                <w:szCs w:val="21"/>
              </w:rPr>
            </w:pPr>
            <w:r>
              <w:rPr>
                <w:sz w:val="21"/>
                <w:szCs w:val="21"/>
              </w:rPr>
              <w:t>签章日期</w:t>
            </w:r>
          </w:p>
        </w:tc>
        <w:tc>
          <w:tcPr>
            <w:tcW w:w="2410" w:type="dxa"/>
            <w:vAlign w:val="center"/>
          </w:tcPr>
          <w:p w14:paraId="1AAD8ADF">
            <w:pPr>
              <w:jc w:val="center"/>
              <w:rPr>
                <w:sz w:val="21"/>
                <w:szCs w:val="21"/>
              </w:rPr>
            </w:pPr>
          </w:p>
        </w:tc>
      </w:tr>
      <w:tr w14:paraId="727C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832" w:type="dxa"/>
            <w:vMerge w:val="continue"/>
            <w:vAlign w:val="center"/>
          </w:tcPr>
          <w:p w14:paraId="10E221A3">
            <w:pPr>
              <w:jc w:val="center"/>
              <w:rPr>
                <w:b/>
                <w:bCs/>
              </w:rPr>
            </w:pPr>
          </w:p>
        </w:tc>
        <w:tc>
          <w:tcPr>
            <w:tcW w:w="1715" w:type="dxa"/>
            <w:vAlign w:val="center"/>
          </w:tcPr>
          <w:p w14:paraId="720ABCD8">
            <w:pPr>
              <w:jc w:val="center"/>
              <w:rPr>
                <w:sz w:val="21"/>
                <w:szCs w:val="21"/>
              </w:rPr>
            </w:pPr>
            <w:r>
              <w:rPr>
                <w:sz w:val="21"/>
                <w:szCs w:val="21"/>
              </w:rPr>
              <w:t>经办人签字</w:t>
            </w:r>
          </w:p>
          <w:p w14:paraId="22D7E680">
            <w:pPr>
              <w:jc w:val="center"/>
              <w:rPr>
                <w:sz w:val="21"/>
                <w:szCs w:val="21"/>
              </w:rPr>
            </w:pPr>
            <w:r>
              <w:rPr>
                <w:sz w:val="21"/>
                <w:szCs w:val="21"/>
              </w:rPr>
              <w:t>及日期</w:t>
            </w:r>
          </w:p>
        </w:tc>
        <w:tc>
          <w:tcPr>
            <w:tcW w:w="2548" w:type="dxa"/>
            <w:vAlign w:val="center"/>
          </w:tcPr>
          <w:p w14:paraId="51855477">
            <w:pPr>
              <w:jc w:val="center"/>
              <w:rPr>
                <w:sz w:val="21"/>
                <w:szCs w:val="21"/>
              </w:rPr>
            </w:pPr>
          </w:p>
        </w:tc>
        <w:tc>
          <w:tcPr>
            <w:tcW w:w="1418" w:type="dxa"/>
            <w:vAlign w:val="center"/>
          </w:tcPr>
          <w:p w14:paraId="5158F53C">
            <w:pPr>
              <w:jc w:val="center"/>
              <w:rPr>
                <w:sz w:val="21"/>
                <w:szCs w:val="21"/>
              </w:rPr>
            </w:pPr>
            <w:r>
              <w:rPr>
                <w:sz w:val="21"/>
                <w:szCs w:val="21"/>
              </w:rPr>
              <w:t>经办人</w:t>
            </w:r>
          </w:p>
          <w:p w14:paraId="537AFE99">
            <w:pPr>
              <w:jc w:val="center"/>
              <w:rPr>
                <w:sz w:val="21"/>
                <w:szCs w:val="21"/>
              </w:rPr>
            </w:pPr>
            <w:r>
              <w:rPr>
                <w:sz w:val="21"/>
                <w:szCs w:val="21"/>
              </w:rPr>
              <w:t>联系方式</w:t>
            </w:r>
          </w:p>
        </w:tc>
        <w:tc>
          <w:tcPr>
            <w:tcW w:w="2410" w:type="dxa"/>
            <w:vAlign w:val="center"/>
          </w:tcPr>
          <w:p w14:paraId="41FADE1F">
            <w:pPr>
              <w:jc w:val="center"/>
              <w:rPr>
                <w:sz w:val="21"/>
                <w:szCs w:val="21"/>
              </w:rPr>
            </w:pPr>
          </w:p>
        </w:tc>
      </w:tr>
      <w:tr w14:paraId="42B5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2" w:type="dxa"/>
            <w:vMerge w:val="continue"/>
            <w:vAlign w:val="center"/>
          </w:tcPr>
          <w:p w14:paraId="2ADC152B">
            <w:pPr>
              <w:jc w:val="center"/>
              <w:rPr>
                <w:b/>
                <w:bCs/>
              </w:rPr>
            </w:pPr>
          </w:p>
        </w:tc>
        <w:tc>
          <w:tcPr>
            <w:tcW w:w="1715" w:type="dxa"/>
            <w:vAlign w:val="center"/>
          </w:tcPr>
          <w:p w14:paraId="771A9A99">
            <w:pPr>
              <w:jc w:val="center"/>
              <w:rPr>
                <w:sz w:val="21"/>
                <w:szCs w:val="21"/>
              </w:rPr>
            </w:pPr>
            <w:r>
              <w:rPr>
                <w:sz w:val="21"/>
                <w:szCs w:val="21"/>
              </w:rPr>
              <w:t>通讯地址</w:t>
            </w:r>
          </w:p>
        </w:tc>
        <w:tc>
          <w:tcPr>
            <w:tcW w:w="6376" w:type="dxa"/>
            <w:gridSpan w:val="3"/>
            <w:vAlign w:val="center"/>
          </w:tcPr>
          <w:p w14:paraId="57B68C26">
            <w:pPr>
              <w:jc w:val="center"/>
              <w:rPr>
                <w:sz w:val="21"/>
                <w:szCs w:val="21"/>
              </w:rPr>
            </w:pPr>
          </w:p>
        </w:tc>
      </w:tr>
      <w:tr w14:paraId="4C59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32" w:type="dxa"/>
            <w:vMerge w:val="continue"/>
            <w:vAlign w:val="center"/>
          </w:tcPr>
          <w:p w14:paraId="273D3436">
            <w:pPr>
              <w:jc w:val="center"/>
              <w:rPr>
                <w:b/>
                <w:bCs/>
              </w:rPr>
            </w:pPr>
          </w:p>
        </w:tc>
        <w:tc>
          <w:tcPr>
            <w:tcW w:w="8091" w:type="dxa"/>
            <w:gridSpan w:val="4"/>
            <w:vAlign w:val="center"/>
          </w:tcPr>
          <w:p w14:paraId="477BC6D2">
            <w:pPr>
              <w:jc w:val="left"/>
              <w:rPr>
                <w:b/>
                <w:bCs/>
                <w:sz w:val="21"/>
                <w:szCs w:val="21"/>
              </w:rPr>
            </w:pPr>
            <w:r>
              <w:rPr>
                <w:b/>
                <w:bCs/>
                <w:sz w:val="21"/>
                <w:szCs w:val="21"/>
              </w:rPr>
              <w:t>甲方开票信息：</w:t>
            </w:r>
          </w:p>
          <w:p w14:paraId="2C79E7F1">
            <w:pPr>
              <w:jc w:val="left"/>
              <w:rPr>
                <w:sz w:val="21"/>
                <w:szCs w:val="21"/>
              </w:rPr>
            </w:pPr>
            <w:r>
              <w:rPr>
                <w:sz w:val="21"/>
                <w:szCs w:val="21"/>
              </w:rPr>
              <w:t>名称：</w:t>
            </w:r>
          </w:p>
          <w:p w14:paraId="30E50029">
            <w:pPr>
              <w:jc w:val="left"/>
              <w:rPr>
                <w:sz w:val="21"/>
                <w:szCs w:val="21"/>
              </w:rPr>
            </w:pPr>
            <w:r>
              <w:rPr>
                <w:sz w:val="21"/>
                <w:szCs w:val="21"/>
              </w:rPr>
              <w:t>税号：</w:t>
            </w:r>
          </w:p>
          <w:p w14:paraId="7705132B">
            <w:pPr>
              <w:jc w:val="left"/>
              <w:rPr>
                <w:sz w:val="21"/>
                <w:szCs w:val="21"/>
              </w:rPr>
            </w:pPr>
            <w:r>
              <w:rPr>
                <w:sz w:val="21"/>
                <w:szCs w:val="21"/>
              </w:rPr>
              <w:t>地址，电话：</w:t>
            </w:r>
          </w:p>
          <w:p w14:paraId="7C81D54F">
            <w:pPr>
              <w:jc w:val="left"/>
              <w:rPr>
                <w:sz w:val="21"/>
                <w:szCs w:val="21"/>
              </w:rPr>
            </w:pPr>
            <w:r>
              <w:rPr>
                <w:sz w:val="21"/>
                <w:szCs w:val="21"/>
              </w:rPr>
              <w:t>开户行账号：</w:t>
            </w:r>
          </w:p>
          <w:p w14:paraId="6BAC3AF9">
            <w:pPr>
              <w:jc w:val="left"/>
              <w:rPr>
                <w:sz w:val="21"/>
                <w:szCs w:val="21"/>
              </w:rPr>
            </w:pPr>
            <w:r>
              <w:rPr>
                <w:sz w:val="21"/>
                <w:szCs w:val="21"/>
              </w:rPr>
              <w:t>开户银行：</w:t>
            </w:r>
          </w:p>
        </w:tc>
      </w:tr>
      <w:tr w14:paraId="24FC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32" w:type="dxa"/>
            <w:vMerge w:val="restart"/>
            <w:vAlign w:val="center"/>
          </w:tcPr>
          <w:p w14:paraId="7B4B5AA0">
            <w:pPr>
              <w:jc w:val="center"/>
              <w:rPr>
                <w:b/>
                <w:bCs/>
              </w:rPr>
            </w:pPr>
            <w:r>
              <w:rPr>
                <w:b/>
                <w:bCs/>
              </w:rPr>
              <w:t>受</w:t>
            </w:r>
          </w:p>
          <w:p w14:paraId="777013E4">
            <w:pPr>
              <w:jc w:val="center"/>
              <w:rPr>
                <w:b/>
                <w:bCs/>
              </w:rPr>
            </w:pPr>
          </w:p>
          <w:p w14:paraId="67DE86D5">
            <w:pPr>
              <w:jc w:val="center"/>
              <w:rPr>
                <w:b/>
                <w:bCs/>
              </w:rPr>
            </w:pPr>
            <w:r>
              <w:rPr>
                <w:b/>
                <w:bCs/>
              </w:rPr>
              <w:t>托</w:t>
            </w:r>
          </w:p>
          <w:p w14:paraId="7955C4CB">
            <w:pPr>
              <w:jc w:val="center"/>
              <w:rPr>
                <w:b/>
                <w:bCs/>
              </w:rPr>
            </w:pPr>
          </w:p>
          <w:p w14:paraId="02C2C949">
            <w:pPr>
              <w:jc w:val="center"/>
              <w:rPr>
                <w:b/>
                <w:bCs/>
              </w:rPr>
            </w:pPr>
            <w:r>
              <w:rPr>
                <w:b/>
                <w:bCs/>
              </w:rPr>
              <w:t>方</w:t>
            </w:r>
          </w:p>
          <w:p w14:paraId="36423DE1">
            <w:pPr>
              <w:jc w:val="center"/>
              <w:rPr>
                <w:b/>
                <w:bCs/>
              </w:rPr>
            </w:pPr>
          </w:p>
          <w:p w14:paraId="0C81F1A7">
            <w:pPr>
              <w:jc w:val="center"/>
              <w:rPr>
                <w:b/>
                <w:bCs/>
              </w:rPr>
            </w:pPr>
            <w:r>
              <w:rPr>
                <w:b/>
                <w:bCs/>
              </w:rPr>
              <w:t>(乙</w:t>
            </w:r>
          </w:p>
          <w:p w14:paraId="19F90940">
            <w:pPr>
              <w:jc w:val="center"/>
              <w:rPr>
                <w:b/>
                <w:bCs/>
              </w:rPr>
            </w:pPr>
          </w:p>
          <w:p w14:paraId="3F681E55">
            <w:pPr>
              <w:jc w:val="center"/>
              <w:rPr>
                <w:b/>
                <w:bCs/>
              </w:rPr>
            </w:pPr>
            <w:r>
              <w:rPr>
                <w:b/>
                <w:bCs/>
              </w:rPr>
              <w:t>方)</w:t>
            </w:r>
          </w:p>
        </w:tc>
        <w:tc>
          <w:tcPr>
            <w:tcW w:w="1715" w:type="dxa"/>
            <w:vAlign w:val="center"/>
          </w:tcPr>
          <w:p w14:paraId="411F950E">
            <w:pPr>
              <w:jc w:val="center"/>
              <w:rPr>
                <w:sz w:val="21"/>
                <w:szCs w:val="21"/>
              </w:rPr>
            </w:pPr>
            <w:r>
              <w:rPr>
                <w:sz w:val="21"/>
                <w:szCs w:val="21"/>
              </w:rPr>
              <w:t>单位名称</w:t>
            </w:r>
          </w:p>
        </w:tc>
        <w:tc>
          <w:tcPr>
            <w:tcW w:w="6376" w:type="dxa"/>
            <w:gridSpan w:val="3"/>
            <w:vAlign w:val="center"/>
          </w:tcPr>
          <w:p w14:paraId="615DD13D">
            <w:pPr>
              <w:jc w:val="center"/>
              <w:rPr>
                <w:sz w:val="21"/>
                <w:szCs w:val="21"/>
              </w:rPr>
            </w:pPr>
            <w:r>
              <w:rPr>
                <w:b/>
                <w:bCs/>
                <w:sz w:val="21"/>
                <w:szCs w:val="21"/>
              </w:rPr>
              <w:t>（盖章）</w:t>
            </w:r>
          </w:p>
        </w:tc>
      </w:tr>
      <w:tr w14:paraId="2DF2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32" w:type="dxa"/>
            <w:vMerge w:val="continue"/>
            <w:vAlign w:val="center"/>
          </w:tcPr>
          <w:p w14:paraId="13724E1B">
            <w:pPr>
              <w:jc w:val="center"/>
              <w:rPr>
                <w:sz w:val="21"/>
                <w:szCs w:val="21"/>
              </w:rPr>
            </w:pPr>
          </w:p>
        </w:tc>
        <w:tc>
          <w:tcPr>
            <w:tcW w:w="1715" w:type="dxa"/>
            <w:vAlign w:val="center"/>
          </w:tcPr>
          <w:p w14:paraId="29D84B5D">
            <w:pPr>
              <w:jc w:val="center"/>
              <w:rPr>
                <w:sz w:val="21"/>
                <w:szCs w:val="21"/>
              </w:rPr>
            </w:pPr>
            <w:r>
              <w:rPr>
                <w:sz w:val="21"/>
                <w:szCs w:val="21"/>
              </w:rPr>
              <w:t>法定代表人签章</w:t>
            </w:r>
          </w:p>
        </w:tc>
        <w:tc>
          <w:tcPr>
            <w:tcW w:w="2548" w:type="dxa"/>
            <w:vAlign w:val="center"/>
          </w:tcPr>
          <w:p w14:paraId="37D542B4">
            <w:pPr>
              <w:jc w:val="center"/>
              <w:rPr>
                <w:sz w:val="21"/>
                <w:szCs w:val="21"/>
              </w:rPr>
            </w:pPr>
          </w:p>
        </w:tc>
        <w:tc>
          <w:tcPr>
            <w:tcW w:w="1418" w:type="dxa"/>
            <w:vAlign w:val="center"/>
          </w:tcPr>
          <w:p w14:paraId="3BAD5A85">
            <w:pPr>
              <w:jc w:val="center"/>
              <w:rPr>
                <w:sz w:val="21"/>
                <w:szCs w:val="21"/>
              </w:rPr>
            </w:pPr>
            <w:r>
              <w:rPr>
                <w:sz w:val="21"/>
                <w:szCs w:val="21"/>
              </w:rPr>
              <w:t>签章日期</w:t>
            </w:r>
          </w:p>
        </w:tc>
        <w:tc>
          <w:tcPr>
            <w:tcW w:w="2410" w:type="dxa"/>
            <w:vAlign w:val="center"/>
          </w:tcPr>
          <w:p w14:paraId="3BB9E373">
            <w:pPr>
              <w:jc w:val="center"/>
              <w:rPr>
                <w:sz w:val="21"/>
                <w:szCs w:val="21"/>
              </w:rPr>
            </w:pPr>
          </w:p>
        </w:tc>
      </w:tr>
      <w:tr w14:paraId="2AD7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32" w:type="dxa"/>
            <w:vMerge w:val="continue"/>
            <w:vAlign w:val="center"/>
          </w:tcPr>
          <w:p w14:paraId="1198ABA7">
            <w:pPr>
              <w:jc w:val="center"/>
              <w:rPr>
                <w:sz w:val="21"/>
                <w:szCs w:val="21"/>
              </w:rPr>
            </w:pPr>
          </w:p>
        </w:tc>
        <w:tc>
          <w:tcPr>
            <w:tcW w:w="1715" w:type="dxa"/>
            <w:vAlign w:val="center"/>
          </w:tcPr>
          <w:p w14:paraId="693497D6">
            <w:pPr>
              <w:jc w:val="center"/>
              <w:rPr>
                <w:sz w:val="21"/>
                <w:szCs w:val="21"/>
              </w:rPr>
            </w:pPr>
            <w:r>
              <w:rPr>
                <w:sz w:val="21"/>
                <w:szCs w:val="21"/>
              </w:rPr>
              <w:t>经办人签字</w:t>
            </w:r>
          </w:p>
          <w:p w14:paraId="49EAD299">
            <w:pPr>
              <w:jc w:val="center"/>
              <w:rPr>
                <w:sz w:val="21"/>
                <w:szCs w:val="21"/>
              </w:rPr>
            </w:pPr>
            <w:r>
              <w:rPr>
                <w:sz w:val="21"/>
                <w:szCs w:val="21"/>
              </w:rPr>
              <w:t>及日期</w:t>
            </w:r>
          </w:p>
        </w:tc>
        <w:tc>
          <w:tcPr>
            <w:tcW w:w="2548" w:type="dxa"/>
            <w:vAlign w:val="center"/>
          </w:tcPr>
          <w:p w14:paraId="278A8B69">
            <w:pPr>
              <w:jc w:val="center"/>
              <w:rPr>
                <w:sz w:val="21"/>
                <w:szCs w:val="21"/>
              </w:rPr>
            </w:pPr>
          </w:p>
        </w:tc>
        <w:tc>
          <w:tcPr>
            <w:tcW w:w="1418" w:type="dxa"/>
            <w:vAlign w:val="center"/>
          </w:tcPr>
          <w:p w14:paraId="558C8989">
            <w:pPr>
              <w:jc w:val="center"/>
              <w:rPr>
                <w:sz w:val="21"/>
                <w:szCs w:val="21"/>
              </w:rPr>
            </w:pPr>
            <w:r>
              <w:rPr>
                <w:sz w:val="21"/>
                <w:szCs w:val="21"/>
              </w:rPr>
              <w:t>经办人</w:t>
            </w:r>
          </w:p>
          <w:p w14:paraId="76CD3629">
            <w:pPr>
              <w:jc w:val="center"/>
              <w:rPr>
                <w:sz w:val="21"/>
                <w:szCs w:val="21"/>
              </w:rPr>
            </w:pPr>
            <w:r>
              <w:rPr>
                <w:sz w:val="21"/>
                <w:szCs w:val="21"/>
              </w:rPr>
              <w:t>联系方式</w:t>
            </w:r>
          </w:p>
        </w:tc>
        <w:tc>
          <w:tcPr>
            <w:tcW w:w="2410" w:type="dxa"/>
            <w:vAlign w:val="center"/>
          </w:tcPr>
          <w:p w14:paraId="750FE715">
            <w:pPr>
              <w:jc w:val="center"/>
              <w:rPr>
                <w:sz w:val="21"/>
                <w:szCs w:val="21"/>
              </w:rPr>
            </w:pPr>
          </w:p>
        </w:tc>
      </w:tr>
      <w:tr w14:paraId="2302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32" w:type="dxa"/>
            <w:vMerge w:val="continue"/>
            <w:vAlign w:val="center"/>
          </w:tcPr>
          <w:p w14:paraId="7CEBF248">
            <w:pPr>
              <w:jc w:val="center"/>
              <w:rPr>
                <w:sz w:val="21"/>
                <w:szCs w:val="21"/>
              </w:rPr>
            </w:pPr>
          </w:p>
        </w:tc>
        <w:tc>
          <w:tcPr>
            <w:tcW w:w="1715" w:type="dxa"/>
            <w:vAlign w:val="center"/>
          </w:tcPr>
          <w:p w14:paraId="1F320C4F">
            <w:pPr>
              <w:jc w:val="center"/>
              <w:rPr>
                <w:sz w:val="21"/>
                <w:szCs w:val="21"/>
              </w:rPr>
            </w:pPr>
            <w:r>
              <w:rPr>
                <w:sz w:val="21"/>
                <w:szCs w:val="21"/>
              </w:rPr>
              <w:t>通讯地址</w:t>
            </w:r>
          </w:p>
        </w:tc>
        <w:tc>
          <w:tcPr>
            <w:tcW w:w="6376" w:type="dxa"/>
            <w:gridSpan w:val="3"/>
            <w:vAlign w:val="center"/>
          </w:tcPr>
          <w:p w14:paraId="5B0DEA27">
            <w:pPr>
              <w:jc w:val="center"/>
              <w:rPr>
                <w:sz w:val="21"/>
                <w:szCs w:val="21"/>
              </w:rPr>
            </w:pPr>
          </w:p>
        </w:tc>
      </w:tr>
      <w:tr w14:paraId="74E4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832" w:type="dxa"/>
            <w:vMerge w:val="continue"/>
            <w:vAlign w:val="center"/>
          </w:tcPr>
          <w:p w14:paraId="6746EE4E">
            <w:pPr>
              <w:jc w:val="center"/>
              <w:rPr>
                <w:sz w:val="21"/>
                <w:szCs w:val="21"/>
              </w:rPr>
            </w:pPr>
          </w:p>
        </w:tc>
        <w:tc>
          <w:tcPr>
            <w:tcW w:w="8091" w:type="dxa"/>
            <w:gridSpan w:val="4"/>
            <w:vAlign w:val="center"/>
          </w:tcPr>
          <w:p w14:paraId="124CBC69">
            <w:pPr>
              <w:rPr>
                <w:b/>
                <w:bCs/>
                <w:sz w:val="21"/>
                <w:szCs w:val="21"/>
              </w:rPr>
            </w:pPr>
            <w:r>
              <w:rPr>
                <w:b/>
                <w:bCs/>
                <w:sz w:val="21"/>
                <w:szCs w:val="21"/>
              </w:rPr>
              <w:t>乙方收款信息：</w:t>
            </w:r>
          </w:p>
          <w:p w14:paraId="5F66B4C7">
            <w:pPr>
              <w:rPr>
                <w:sz w:val="21"/>
                <w:szCs w:val="21"/>
              </w:rPr>
            </w:pPr>
            <w:r>
              <w:rPr>
                <w:sz w:val="21"/>
                <w:szCs w:val="21"/>
              </w:rPr>
              <w:t>收款账户名称：</w:t>
            </w:r>
          </w:p>
          <w:p w14:paraId="61FECBEA">
            <w:pPr>
              <w:rPr>
                <w:sz w:val="21"/>
                <w:szCs w:val="21"/>
              </w:rPr>
            </w:pPr>
            <w:r>
              <w:rPr>
                <w:sz w:val="21"/>
                <w:szCs w:val="21"/>
              </w:rPr>
              <w:t>收款账号：</w:t>
            </w:r>
          </w:p>
          <w:p w14:paraId="7A8D6812">
            <w:pPr>
              <w:jc w:val="left"/>
              <w:rPr>
                <w:sz w:val="21"/>
                <w:szCs w:val="21"/>
              </w:rPr>
            </w:pPr>
            <w:r>
              <w:rPr>
                <w:sz w:val="21"/>
                <w:szCs w:val="21"/>
              </w:rPr>
              <w:t>收款账户开户行：</w:t>
            </w:r>
          </w:p>
        </w:tc>
      </w:tr>
    </w:tbl>
    <w:p w14:paraId="640DD9A9">
      <w:pPr>
        <w:pStyle w:val="17"/>
      </w:pPr>
    </w:p>
    <w:p w14:paraId="106243DC">
      <w:pPr>
        <w:rPr>
          <w:rFonts w:ascii="宋体" w:hAnsi="宋体" w:cs="宋体"/>
          <w:b/>
          <w:sz w:val="24"/>
        </w:rPr>
      </w:pPr>
      <w:r>
        <w:rPr>
          <w:rFonts w:hint="eastAsia" w:ascii="宋体" w:hAnsi="宋体" w:cs="宋体"/>
          <w:b/>
          <w:sz w:val="24"/>
        </w:rPr>
        <w:br w:type="page"/>
      </w:r>
    </w:p>
    <w:p w14:paraId="7E02883E">
      <w:pPr>
        <w:pStyle w:val="4"/>
        <w:numPr>
          <w:ilvl w:val="0"/>
          <w:numId w:val="4"/>
        </w:numPr>
        <w:spacing w:line="460" w:lineRule="exact"/>
        <w:ind w:left="0"/>
        <w:jc w:val="center"/>
        <w:rPr>
          <w:w w:val="95"/>
          <w:sz w:val="30"/>
          <w:szCs w:val="30"/>
        </w:rPr>
      </w:pPr>
      <w:r>
        <w:rPr>
          <w:rFonts w:hint="eastAsia"/>
          <w:w w:val="95"/>
          <w:sz w:val="30"/>
          <w:szCs w:val="30"/>
        </w:rPr>
        <w:t xml:space="preserve"> 评分标准</w:t>
      </w:r>
    </w:p>
    <w:p w14:paraId="72B5BFA2">
      <w:pPr>
        <w:rPr>
          <w:w w:val="95"/>
          <w:sz w:val="30"/>
          <w:szCs w:val="30"/>
        </w:rPr>
      </w:pPr>
    </w:p>
    <w:tbl>
      <w:tblPr>
        <w:tblStyle w:val="21"/>
        <w:tblW w:w="83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5924"/>
        <w:gridCol w:w="851"/>
      </w:tblGrid>
      <w:tr w14:paraId="3796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41" w:type="dxa"/>
            <w:vAlign w:val="center"/>
          </w:tcPr>
          <w:p w14:paraId="37C6154B">
            <w:pPr>
              <w:adjustRightInd w:val="0"/>
              <w:snapToGrid w:val="0"/>
              <w:spacing w:line="360" w:lineRule="auto"/>
              <w:jc w:val="center"/>
              <w:rPr>
                <w:rFonts w:hint="eastAsia" w:ascii="等线" w:hAnsi="等线" w:eastAsia="等线" w:cs="等线"/>
                <w:b/>
                <w:szCs w:val="21"/>
              </w:rPr>
            </w:pPr>
            <w:r>
              <w:rPr>
                <w:rFonts w:hint="eastAsia" w:ascii="等线" w:hAnsi="等线" w:eastAsia="等线" w:cs="等线"/>
                <w:b/>
                <w:szCs w:val="21"/>
              </w:rPr>
              <w:t>评审细则</w:t>
            </w:r>
          </w:p>
        </w:tc>
        <w:tc>
          <w:tcPr>
            <w:tcW w:w="5924" w:type="dxa"/>
            <w:vAlign w:val="center"/>
          </w:tcPr>
          <w:p w14:paraId="0B41F1D7">
            <w:pPr>
              <w:adjustRightInd w:val="0"/>
              <w:snapToGrid w:val="0"/>
              <w:spacing w:line="360" w:lineRule="auto"/>
              <w:jc w:val="center"/>
              <w:rPr>
                <w:rFonts w:hint="eastAsia" w:ascii="等线" w:hAnsi="等线" w:eastAsia="等线" w:cs="等线"/>
                <w:b/>
                <w:szCs w:val="21"/>
              </w:rPr>
            </w:pPr>
            <w:r>
              <w:rPr>
                <w:rFonts w:hint="eastAsia" w:ascii="等线" w:hAnsi="等线" w:eastAsia="等线" w:cs="等线"/>
                <w:b/>
                <w:szCs w:val="21"/>
              </w:rPr>
              <w:t>评分标准</w:t>
            </w:r>
          </w:p>
        </w:tc>
        <w:tc>
          <w:tcPr>
            <w:tcW w:w="851" w:type="dxa"/>
            <w:vAlign w:val="center"/>
          </w:tcPr>
          <w:p w14:paraId="354847FB">
            <w:pPr>
              <w:adjustRightInd w:val="0"/>
              <w:snapToGrid w:val="0"/>
              <w:spacing w:line="360" w:lineRule="auto"/>
              <w:jc w:val="center"/>
              <w:rPr>
                <w:rFonts w:hint="eastAsia" w:ascii="等线" w:hAnsi="等线" w:eastAsia="等线" w:cs="等线"/>
                <w:b/>
                <w:szCs w:val="21"/>
              </w:rPr>
            </w:pPr>
            <w:r>
              <w:rPr>
                <w:rFonts w:hint="eastAsia" w:ascii="等线" w:hAnsi="等线" w:eastAsia="等线" w:cs="等线"/>
                <w:b/>
                <w:szCs w:val="21"/>
              </w:rPr>
              <w:t>分值</w:t>
            </w:r>
          </w:p>
        </w:tc>
      </w:tr>
      <w:tr w14:paraId="74C7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1" w:type="dxa"/>
            <w:vAlign w:val="center"/>
          </w:tcPr>
          <w:p w14:paraId="6F69F3B3">
            <w:pPr>
              <w:adjustRightInd w:val="0"/>
              <w:snapToGrid w:val="0"/>
              <w:spacing w:line="360" w:lineRule="auto"/>
              <w:rPr>
                <w:rFonts w:hint="eastAsia" w:ascii="等线" w:hAnsi="等线" w:eastAsia="等线" w:cs="等线"/>
                <w:kern w:val="0"/>
                <w:szCs w:val="21"/>
              </w:rPr>
            </w:pPr>
          </w:p>
          <w:p w14:paraId="55198057">
            <w:pPr>
              <w:adjustRightInd w:val="0"/>
              <w:snapToGrid w:val="0"/>
              <w:spacing w:line="360" w:lineRule="auto"/>
              <w:rPr>
                <w:rFonts w:hint="eastAsia" w:ascii="等线" w:hAnsi="等线" w:eastAsia="等线" w:cs="等线"/>
                <w:kern w:val="0"/>
                <w:szCs w:val="21"/>
              </w:rPr>
            </w:pPr>
            <w:r>
              <w:rPr>
                <w:rFonts w:hint="eastAsia" w:ascii="等线" w:hAnsi="等线" w:eastAsia="等线" w:cs="等线"/>
                <w:kern w:val="0"/>
                <w:szCs w:val="21"/>
              </w:rPr>
              <w:t>测评服务方案</w:t>
            </w:r>
          </w:p>
        </w:tc>
        <w:tc>
          <w:tcPr>
            <w:tcW w:w="5924" w:type="dxa"/>
            <w:vAlign w:val="center"/>
          </w:tcPr>
          <w:p w14:paraId="020AC80A">
            <w:pPr>
              <w:spacing w:line="360" w:lineRule="auto"/>
              <w:ind w:right="-10"/>
              <w:jc w:val="left"/>
              <w:rPr>
                <w:rFonts w:hint="eastAsia" w:ascii="等线" w:hAnsi="等线" w:eastAsia="等线" w:cs="等线"/>
                <w:b/>
                <w:bCs/>
                <w:color w:val="000000" w:themeColor="text1"/>
                <w:sz w:val="18"/>
                <w:szCs w:val="18"/>
                <w14:textFill>
                  <w14:solidFill>
                    <w14:schemeClr w14:val="tx1"/>
                  </w14:solidFill>
                </w14:textFill>
              </w:rPr>
            </w:pPr>
            <w:r>
              <w:rPr>
                <w:rFonts w:hint="eastAsia" w:ascii="等线" w:hAnsi="等线" w:eastAsia="等线" w:cs="等线"/>
                <w:b/>
                <w:bCs/>
                <w:color w:val="000000" w:themeColor="text1"/>
                <w:sz w:val="18"/>
                <w:szCs w:val="18"/>
                <w14:textFill>
                  <w14:solidFill>
                    <w14:schemeClr w14:val="tx1"/>
                  </w14:solidFill>
                </w14:textFill>
              </w:rPr>
              <w:t>1.根据供应商提供的测评工作方案</w:t>
            </w:r>
            <w:r>
              <w:rPr>
                <w:rFonts w:hint="eastAsia" w:ascii="等线" w:hAnsi="等线" w:eastAsia="等线" w:cs="等线"/>
                <w:b/>
                <w:bCs/>
                <w:color w:val="000000" w:themeColor="text1"/>
                <w:sz w:val="18"/>
                <w:szCs w:val="18"/>
                <w:lang w:eastAsia="zh-Hans"/>
                <w14:textFill>
                  <w14:solidFill>
                    <w14:schemeClr w14:val="tx1"/>
                  </w14:solidFill>
                </w14:textFill>
              </w:rPr>
              <w:t>，</w:t>
            </w:r>
            <w:r>
              <w:rPr>
                <w:rFonts w:hint="eastAsia" w:ascii="等线" w:hAnsi="等线" w:eastAsia="等线" w:cs="等线"/>
                <w:b/>
                <w:bCs/>
                <w:color w:val="000000" w:themeColor="text1"/>
                <w:sz w:val="18"/>
                <w:szCs w:val="18"/>
                <w14:textFill>
                  <w14:solidFill>
                    <w14:schemeClr w14:val="tx1"/>
                  </w14:solidFill>
                </w14:textFill>
              </w:rPr>
              <w:t>根据其对等保的理解，从测评实施计划、人员配备、技术培训以及安全服务等方面，由评标委员会进行综合评审。评标委员会从方案科学性、合理性、可行性、全面性四个方面进行综合比较：</w:t>
            </w:r>
          </w:p>
          <w:p w14:paraId="1B2729B4">
            <w:pPr>
              <w:pStyle w:val="11"/>
              <w:adjustRightInd w:val="0"/>
              <w:snapToGrid w:val="0"/>
              <w:spacing w:line="360" w:lineRule="auto"/>
              <w:rPr>
                <w:rFonts w:hint="eastAsia" w:ascii="等线" w:hAnsi="等线" w:eastAsia="等线" w:cs="等线"/>
                <w:snapToGrid w:val="0"/>
                <w:color w:val="000000" w:themeColor="text1"/>
                <w:sz w:val="18"/>
                <w:szCs w:val="18"/>
                <w14:textFill>
                  <w14:solidFill>
                    <w14:schemeClr w14:val="tx1"/>
                  </w14:solidFill>
                </w14:textFill>
              </w:rPr>
            </w:pPr>
            <w:r>
              <w:rPr>
                <w:rFonts w:hint="eastAsia" w:ascii="等线" w:hAnsi="等线" w:eastAsia="等线" w:cs="等线"/>
                <w:color w:val="000000" w:themeColor="text1"/>
                <w:sz w:val="18"/>
                <w:szCs w:val="18"/>
                <w:lang w:val="en-US" w:eastAsia="zh-CN"/>
                <w14:textFill>
                  <w14:solidFill>
                    <w14:schemeClr w14:val="tx1"/>
                  </w14:solidFill>
                </w14:textFill>
              </w:rPr>
              <w:t>一档：</w:t>
            </w:r>
            <w:r>
              <w:rPr>
                <w:rFonts w:hint="eastAsia" w:ascii="等线" w:hAnsi="等线" w:eastAsia="等线" w:cs="等线"/>
                <w:color w:val="000000" w:themeColor="text1"/>
                <w:sz w:val="18"/>
                <w:szCs w:val="18"/>
                <w14:textFill>
                  <w14:solidFill>
                    <w14:schemeClr w14:val="tx1"/>
                  </w14:solidFill>
                </w14:textFill>
              </w:rPr>
              <w:t>等保测评服务方案结构规范合理,内容全面详实,紧密贴合采购人等保测评实际需求,具有较高的可执行性,且具有网络安全配置审核服务工具、一站式等保测评持续服务工具、端口扫描类工具的，得</w:t>
            </w:r>
            <w:r>
              <w:rPr>
                <w:rFonts w:hint="eastAsia" w:ascii="等线" w:hAnsi="等线" w:eastAsia="等线" w:cs="等线"/>
                <w:snapToGrid w:val="0"/>
                <w:color w:val="000000" w:themeColor="text1"/>
                <w:sz w:val="18"/>
                <w:szCs w:val="18"/>
                <w14:textFill>
                  <w14:solidFill>
                    <w14:schemeClr w14:val="tx1"/>
                  </w14:solidFill>
                </w14:textFill>
              </w:rPr>
              <w:t>10分。</w:t>
            </w:r>
          </w:p>
          <w:p w14:paraId="7B2A4CCD">
            <w:pPr>
              <w:widowControl/>
              <w:kinsoku w:val="0"/>
              <w:autoSpaceDE w:val="0"/>
              <w:autoSpaceDN w:val="0"/>
              <w:adjustRightInd w:val="0"/>
              <w:snapToGrid w:val="0"/>
              <w:spacing w:line="360" w:lineRule="auto"/>
              <w:jc w:val="left"/>
              <w:textAlignment w:val="baseline"/>
              <w:rPr>
                <w:rFonts w:hint="eastAsia" w:ascii="等线" w:hAnsi="等线" w:eastAsia="等线" w:cs="等线"/>
                <w:snapToGrid w:val="0"/>
                <w:color w:val="000000" w:themeColor="text1"/>
                <w:kern w:val="0"/>
                <w:sz w:val="18"/>
                <w:szCs w:val="18"/>
                <w14:textFill>
                  <w14:solidFill>
                    <w14:schemeClr w14:val="tx1"/>
                  </w14:solidFill>
                </w14:textFill>
              </w:rPr>
            </w:pPr>
            <w:r>
              <w:rPr>
                <w:rFonts w:hint="eastAsia" w:ascii="等线" w:hAnsi="等线" w:eastAsia="等线" w:cs="等线"/>
                <w:snapToGrid w:val="0"/>
                <w:color w:val="000000" w:themeColor="text1"/>
                <w:kern w:val="0"/>
                <w:sz w:val="18"/>
                <w:szCs w:val="18"/>
                <w:lang w:val="en-US" w:eastAsia="zh-CN"/>
                <w14:textFill>
                  <w14:solidFill>
                    <w14:schemeClr w14:val="tx1"/>
                  </w14:solidFill>
                </w14:textFill>
              </w:rPr>
              <w:t>二档：</w:t>
            </w:r>
            <w:r>
              <w:rPr>
                <w:rFonts w:hint="eastAsia" w:ascii="等线" w:hAnsi="等线" w:eastAsia="等线" w:cs="等线"/>
                <w:snapToGrid w:val="0"/>
                <w:color w:val="000000" w:themeColor="text1"/>
                <w:kern w:val="0"/>
                <w:sz w:val="18"/>
                <w:szCs w:val="18"/>
                <w14:textFill>
                  <w14:solidFill>
                    <w14:schemeClr w14:val="tx1"/>
                  </w14:solidFill>
                </w14:textFill>
              </w:rPr>
              <w:t>等保测评服务</w:t>
            </w:r>
            <w:r>
              <w:rPr>
                <w:rFonts w:hint="eastAsia" w:ascii="等线" w:hAnsi="等线" w:eastAsia="等线" w:cs="等线"/>
                <w:color w:val="000000" w:themeColor="text1"/>
                <w:sz w:val="18"/>
                <w:szCs w:val="18"/>
                <w14:textFill>
                  <w14:solidFill>
                    <w14:schemeClr w14:val="tx1"/>
                  </w14:solidFill>
                </w14:textFill>
              </w:rPr>
              <w:t>方案结构较为规范合理,内容较为全面详实,贴合采购人等保测评实际需求,具有一定的可执行性,且具有端口扫描类工具的，</w:t>
            </w:r>
            <w:r>
              <w:rPr>
                <w:rFonts w:hint="eastAsia" w:ascii="等线" w:hAnsi="等线" w:eastAsia="等线" w:cs="等线"/>
                <w:snapToGrid w:val="0"/>
                <w:color w:val="000000" w:themeColor="text1"/>
                <w:kern w:val="0"/>
                <w:sz w:val="18"/>
                <w:szCs w:val="18"/>
                <w14:textFill>
                  <w14:solidFill>
                    <w14:schemeClr w14:val="tx1"/>
                  </w14:solidFill>
                </w14:textFill>
              </w:rPr>
              <w:t>得5分。</w:t>
            </w:r>
          </w:p>
          <w:p w14:paraId="72DDF820">
            <w:pPr>
              <w:widowControl/>
              <w:kinsoku w:val="0"/>
              <w:autoSpaceDE w:val="0"/>
              <w:autoSpaceDN w:val="0"/>
              <w:adjustRightInd w:val="0"/>
              <w:snapToGrid w:val="0"/>
              <w:spacing w:line="360" w:lineRule="auto"/>
              <w:jc w:val="left"/>
              <w:textAlignment w:val="baseline"/>
              <w:rPr>
                <w:rFonts w:hint="eastAsia" w:ascii="等线" w:hAnsi="等线" w:eastAsia="等线" w:cs="等线"/>
                <w:snapToGrid w:val="0"/>
                <w:color w:val="000000" w:themeColor="text1"/>
                <w:kern w:val="0"/>
                <w:sz w:val="18"/>
                <w:szCs w:val="18"/>
                <w14:textFill>
                  <w14:solidFill>
                    <w14:schemeClr w14:val="tx1"/>
                  </w14:solidFill>
                </w14:textFill>
              </w:rPr>
            </w:pPr>
            <w:r>
              <w:rPr>
                <w:rFonts w:hint="eastAsia" w:ascii="等线" w:hAnsi="等线" w:eastAsia="等线" w:cs="等线"/>
                <w:snapToGrid w:val="0"/>
                <w:color w:val="000000" w:themeColor="text1"/>
                <w:kern w:val="0"/>
                <w:sz w:val="18"/>
                <w:szCs w:val="18"/>
                <w:lang w:val="en-US" w:eastAsia="zh-CN"/>
                <w14:textFill>
                  <w14:solidFill>
                    <w14:schemeClr w14:val="tx1"/>
                  </w14:solidFill>
                </w14:textFill>
              </w:rPr>
              <w:t>三档：</w:t>
            </w:r>
            <w:r>
              <w:rPr>
                <w:rFonts w:hint="eastAsia" w:ascii="等线" w:hAnsi="等线" w:eastAsia="等线" w:cs="等线"/>
                <w:snapToGrid w:val="0"/>
                <w:color w:val="000000" w:themeColor="text1"/>
                <w:kern w:val="0"/>
                <w:sz w:val="18"/>
                <w:szCs w:val="18"/>
                <w14:textFill>
                  <w14:solidFill>
                    <w14:schemeClr w14:val="tx1"/>
                  </w14:solidFill>
                </w14:textFill>
              </w:rPr>
              <w:t>等保测评服务</w:t>
            </w:r>
            <w:r>
              <w:rPr>
                <w:rFonts w:hint="eastAsia" w:ascii="等线" w:hAnsi="等线" w:eastAsia="等线" w:cs="等线"/>
                <w:color w:val="000000" w:themeColor="text1"/>
                <w:sz w:val="18"/>
                <w:szCs w:val="18"/>
                <w14:textFill>
                  <w14:solidFill>
                    <w14:schemeClr w14:val="tx1"/>
                  </w14:solidFill>
                </w14:textFill>
              </w:rPr>
              <w:t>方案结构基本规范合理,内容基本全面详实,基本贴合采购人等保测评实际需求,可执行性一般</w:t>
            </w:r>
            <w:r>
              <w:rPr>
                <w:rFonts w:hint="eastAsia" w:ascii="等线" w:hAnsi="等线" w:eastAsia="等线" w:cs="等线"/>
                <w:snapToGrid w:val="0"/>
                <w:color w:val="000000" w:themeColor="text1"/>
                <w:kern w:val="0"/>
                <w:sz w:val="18"/>
                <w:szCs w:val="18"/>
                <w14:textFill>
                  <w14:solidFill>
                    <w14:schemeClr w14:val="tx1"/>
                  </w14:solidFill>
                </w14:textFill>
              </w:rPr>
              <w:t>，得2分。</w:t>
            </w:r>
          </w:p>
          <w:p w14:paraId="111E7F00">
            <w:pPr>
              <w:spacing w:line="360" w:lineRule="auto"/>
              <w:ind w:right="-10"/>
              <w:jc w:val="left"/>
              <w:rPr>
                <w:rFonts w:hint="eastAsia" w:ascii="等线" w:hAnsi="等线" w:eastAsia="等线" w:cs="等线"/>
                <w:color w:val="000000" w:themeColor="text1"/>
                <w:sz w:val="18"/>
                <w:szCs w:val="18"/>
                <w14:textFill>
                  <w14:solidFill>
                    <w14:schemeClr w14:val="tx1"/>
                  </w14:solidFill>
                </w14:textFill>
              </w:rPr>
            </w:pPr>
            <w:r>
              <w:rPr>
                <w:rFonts w:hint="eastAsia" w:ascii="等线" w:hAnsi="等线" w:eastAsia="等线" w:cs="等线"/>
                <w:snapToGrid w:val="0"/>
                <w:color w:val="000000" w:themeColor="text1"/>
                <w:kern w:val="0"/>
                <w:sz w:val="18"/>
                <w:szCs w:val="18"/>
                <w:lang w:val="en-US" w:eastAsia="zh-CN"/>
                <w14:textFill>
                  <w14:solidFill>
                    <w14:schemeClr w14:val="tx1"/>
                  </w14:solidFill>
                </w14:textFill>
              </w:rPr>
              <w:t>四档：</w:t>
            </w:r>
            <w:r>
              <w:rPr>
                <w:rFonts w:hint="eastAsia" w:ascii="等线" w:hAnsi="等线" w:eastAsia="等线" w:cs="等线"/>
                <w:snapToGrid w:val="0"/>
                <w:color w:val="000000" w:themeColor="text1"/>
                <w:kern w:val="0"/>
                <w:sz w:val="18"/>
                <w:szCs w:val="18"/>
                <w14:textFill>
                  <w14:solidFill>
                    <w14:schemeClr w14:val="tx1"/>
                  </w14:solidFill>
                </w14:textFill>
              </w:rPr>
              <w:t>项目人员组织配备及工期方案安排与关键节点控制均存在较大偏差或未提供的不得分。</w:t>
            </w:r>
          </w:p>
          <w:p w14:paraId="240A07A4">
            <w:pPr>
              <w:spacing w:line="360" w:lineRule="auto"/>
              <w:ind w:right="-10"/>
              <w:jc w:val="left"/>
              <w:rPr>
                <w:rFonts w:hint="eastAsia" w:ascii="等线" w:hAnsi="等线" w:eastAsia="等线" w:cs="等线"/>
                <w:b/>
                <w:bCs/>
                <w:color w:val="000000" w:themeColor="text1"/>
                <w:sz w:val="18"/>
                <w:szCs w:val="18"/>
                <w14:textFill>
                  <w14:solidFill>
                    <w14:schemeClr w14:val="tx1"/>
                  </w14:solidFill>
                </w14:textFill>
              </w:rPr>
            </w:pPr>
            <w:r>
              <w:rPr>
                <w:rFonts w:hint="eastAsia" w:ascii="等线" w:hAnsi="等线" w:eastAsia="等线" w:cs="等线"/>
                <w:b/>
                <w:bCs/>
                <w:color w:val="000000" w:themeColor="text1"/>
                <w:sz w:val="18"/>
                <w:szCs w:val="18"/>
                <w14:textFill>
                  <w14:solidFill>
                    <w14:schemeClr w14:val="tx1"/>
                  </w14:solidFill>
                </w14:textFill>
              </w:rPr>
              <w:t>注：须提供针对本项目的</w:t>
            </w:r>
            <w:r>
              <w:rPr>
                <w:rFonts w:hint="eastAsia" w:ascii="等线" w:hAnsi="等线" w:eastAsia="等线" w:cs="等线"/>
                <w:b/>
                <w:bCs/>
                <w:color w:val="000000" w:themeColor="text1"/>
                <w:sz w:val="18"/>
                <w:szCs w:val="18"/>
                <w:lang w:eastAsia="zh-Hans"/>
                <w14:textFill>
                  <w14:solidFill>
                    <w14:schemeClr w14:val="tx1"/>
                  </w14:solidFill>
                </w14:textFill>
              </w:rPr>
              <w:t>网络安全等级保护测评</w:t>
            </w:r>
            <w:r>
              <w:rPr>
                <w:rFonts w:hint="eastAsia" w:ascii="等线" w:hAnsi="等线" w:eastAsia="等线" w:cs="等线"/>
                <w:b/>
                <w:bCs/>
                <w:color w:val="000000" w:themeColor="text1"/>
                <w:sz w:val="18"/>
                <w:szCs w:val="18"/>
                <w14:textFill>
                  <w14:solidFill>
                    <w14:schemeClr w14:val="tx1"/>
                  </w14:solidFill>
                </w14:textFill>
              </w:rPr>
              <w:t>方案。</w:t>
            </w:r>
          </w:p>
          <w:p w14:paraId="03708136">
            <w:pPr>
              <w:widowControl/>
              <w:kinsoku w:val="0"/>
              <w:autoSpaceDE w:val="0"/>
              <w:autoSpaceDN w:val="0"/>
              <w:adjustRightInd w:val="0"/>
              <w:snapToGrid w:val="0"/>
              <w:spacing w:line="360" w:lineRule="auto"/>
              <w:jc w:val="left"/>
              <w:textAlignment w:val="baseline"/>
              <w:rPr>
                <w:rFonts w:hint="eastAsia" w:ascii="等线" w:hAnsi="等线" w:eastAsia="等线" w:cs="等线"/>
                <w:b/>
                <w:bCs/>
                <w:snapToGrid w:val="0"/>
                <w:color w:val="000000" w:themeColor="text1"/>
                <w:kern w:val="0"/>
                <w:sz w:val="18"/>
                <w:szCs w:val="18"/>
                <w14:textFill>
                  <w14:solidFill>
                    <w14:schemeClr w14:val="tx1"/>
                  </w14:solidFill>
                </w14:textFill>
              </w:rPr>
            </w:pPr>
            <w:r>
              <w:rPr>
                <w:rFonts w:hint="eastAsia" w:ascii="等线" w:hAnsi="等线" w:eastAsia="等线" w:cs="等线"/>
                <w:b/>
                <w:bCs/>
                <w:color w:val="000000" w:themeColor="text1"/>
                <w:sz w:val="18"/>
                <w:szCs w:val="18"/>
                <w14:textFill>
                  <w14:solidFill>
                    <w14:schemeClr w14:val="tx1"/>
                  </w14:solidFill>
                </w14:textFill>
              </w:rPr>
              <w:t>2.</w:t>
            </w:r>
            <w:r>
              <w:rPr>
                <w:rFonts w:hint="eastAsia" w:ascii="等线" w:hAnsi="等线" w:eastAsia="等线" w:cs="等线"/>
                <w:b/>
                <w:bCs/>
                <w:snapToGrid w:val="0"/>
                <w:color w:val="000000" w:themeColor="text1"/>
                <w:kern w:val="0"/>
                <w:sz w:val="18"/>
                <w:szCs w:val="18"/>
                <w14:textFill>
                  <w14:solidFill>
                    <w14:schemeClr w14:val="tx1"/>
                  </w14:solidFill>
                </w14:textFill>
              </w:rPr>
              <w:t>根据供应商提供的密评项目实施方案，包含但不限于项目人员配备、工期计划安排、密评工具以及项目实施过程等方面进行综合评审：</w:t>
            </w:r>
          </w:p>
          <w:p w14:paraId="4A81ED46">
            <w:pPr>
              <w:pStyle w:val="11"/>
              <w:adjustRightInd w:val="0"/>
              <w:snapToGrid w:val="0"/>
              <w:spacing w:line="360" w:lineRule="auto"/>
              <w:rPr>
                <w:rFonts w:hint="eastAsia" w:ascii="等线" w:hAnsi="等线" w:eastAsia="等线" w:cs="等线"/>
                <w:snapToGrid w:val="0"/>
                <w:color w:val="000000" w:themeColor="text1"/>
                <w:sz w:val="18"/>
                <w:szCs w:val="18"/>
                <w14:textFill>
                  <w14:solidFill>
                    <w14:schemeClr w14:val="tx1"/>
                  </w14:solidFill>
                </w14:textFill>
              </w:rPr>
            </w:pPr>
            <w:r>
              <w:rPr>
                <w:rFonts w:hint="eastAsia" w:ascii="等线" w:hAnsi="等线" w:eastAsia="等线" w:cs="等线"/>
                <w:color w:val="000000" w:themeColor="text1"/>
                <w:sz w:val="18"/>
                <w:szCs w:val="18"/>
                <w:lang w:val="en-US" w:eastAsia="zh-CN"/>
                <w14:textFill>
                  <w14:solidFill>
                    <w14:schemeClr w14:val="tx1"/>
                  </w14:solidFill>
                </w14:textFill>
              </w:rPr>
              <w:t>一档：</w:t>
            </w:r>
            <w:r>
              <w:rPr>
                <w:rFonts w:hint="eastAsia" w:ascii="等线" w:hAnsi="等线" w:eastAsia="等线" w:cs="等线"/>
                <w:snapToGrid w:val="0"/>
                <w:color w:val="000000" w:themeColor="text1"/>
                <w:sz w:val="18"/>
                <w:szCs w:val="18"/>
                <w14:textFill>
                  <w14:solidFill>
                    <w14:schemeClr w14:val="tx1"/>
                  </w14:solidFill>
                </w14:textFill>
              </w:rPr>
              <w:t>密评</w:t>
            </w:r>
            <w:r>
              <w:rPr>
                <w:rFonts w:hint="eastAsia" w:ascii="等线" w:hAnsi="等线" w:eastAsia="等线" w:cs="等线"/>
                <w:color w:val="000000" w:themeColor="text1"/>
                <w:sz w:val="18"/>
                <w:szCs w:val="18"/>
                <w14:textFill>
                  <w14:solidFill>
                    <w14:schemeClr w14:val="tx1"/>
                  </w14:solidFill>
                </w14:textFill>
              </w:rPr>
              <w:t>方案结构规范合理,内容全面详实,紧密贴合采购人商用密码应用安全性评估实际需求,具有较高的可执行性,且具有商用密码应用安全性测评服务工具、商用密码应用安全性评估服务工具、端口扫描类工具的，得</w:t>
            </w:r>
            <w:r>
              <w:rPr>
                <w:rFonts w:hint="eastAsia" w:ascii="等线" w:hAnsi="等线" w:eastAsia="等线" w:cs="等线"/>
                <w:snapToGrid w:val="0"/>
                <w:color w:val="000000" w:themeColor="text1"/>
                <w:sz w:val="18"/>
                <w:szCs w:val="18"/>
                <w14:textFill>
                  <w14:solidFill>
                    <w14:schemeClr w14:val="tx1"/>
                  </w14:solidFill>
                </w14:textFill>
              </w:rPr>
              <w:t>10分。</w:t>
            </w:r>
          </w:p>
          <w:p w14:paraId="29820E2E">
            <w:pPr>
              <w:widowControl/>
              <w:kinsoku w:val="0"/>
              <w:autoSpaceDE w:val="0"/>
              <w:autoSpaceDN w:val="0"/>
              <w:adjustRightInd w:val="0"/>
              <w:snapToGrid w:val="0"/>
              <w:spacing w:line="360" w:lineRule="auto"/>
              <w:jc w:val="left"/>
              <w:textAlignment w:val="baseline"/>
              <w:rPr>
                <w:rFonts w:hint="eastAsia" w:ascii="等线" w:hAnsi="等线" w:eastAsia="等线" w:cs="等线"/>
                <w:snapToGrid w:val="0"/>
                <w:color w:val="000000" w:themeColor="text1"/>
                <w:kern w:val="0"/>
                <w:sz w:val="18"/>
                <w:szCs w:val="18"/>
                <w14:textFill>
                  <w14:solidFill>
                    <w14:schemeClr w14:val="tx1"/>
                  </w14:solidFill>
                </w14:textFill>
              </w:rPr>
            </w:pPr>
            <w:r>
              <w:rPr>
                <w:rFonts w:hint="eastAsia" w:ascii="等线" w:hAnsi="等线" w:eastAsia="等线" w:cs="等线"/>
                <w:snapToGrid w:val="0"/>
                <w:color w:val="000000" w:themeColor="text1"/>
                <w:kern w:val="0"/>
                <w:sz w:val="18"/>
                <w:szCs w:val="18"/>
                <w:lang w:val="en-US" w:eastAsia="zh-CN"/>
                <w14:textFill>
                  <w14:solidFill>
                    <w14:schemeClr w14:val="tx1"/>
                  </w14:solidFill>
                </w14:textFill>
              </w:rPr>
              <w:t>二档：</w:t>
            </w:r>
            <w:r>
              <w:rPr>
                <w:rFonts w:hint="eastAsia" w:ascii="等线" w:hAnsi="等线" w:eastAsia="等线" w:cs="等线"/>
                <w:snapToGrid w:val="0"/>
                <w:color w:val="000000" w:themeColor="text1"/>
                <w:kern w:val="0"/>
                <w:sz w:val="18"/>
                <w:szCs w:val="18"/>
                <w14:textFill>
                  <w14:solidFill>
                    <w14:schemeClr w14:val="tx1"/>
                  </w14:solidFill>
                </w14:textFill>
              </w:rPr>
              <w:t>密评</w:t>
            </w:r>
            <w:r>
              <w:rPr>
                <w:rFonts w:hint="eastAsia" w:ascii="等线" w:hAnsi="等线" w:eastAsia="等线" w:cs="等线"/>
                <w:color w:val="000000" w:themeColor="text1"/>
                <w:sz w:val="18"/>
                <w:szCs w:val="18"/>
                <w14:textFill>
                  <w14:solidFill>
                    <w14:schemeClr w14:val="tx1"/>
                  </w14:solidFill>
                </w14:textFill>
              </w:rPr>
              <w:t>方案结构较为规范合理,内容较为全面详实,贴合采购人商用密码应用安全性评估实际需求,具有一定的可执行性,且具有端口扫描类工具的，</w:t>
            </w:r>
            <w:r>
              <w:rPr>
                <w:rFonts w:hint="eastAsia" w:ascii="等线" w:hAnsi="等线" w:eastAsia="等线" w:cs="等线"/>
                <w:snapToGrid w:val="0"/>
                <w:color w:val="000000" w:themeColor="text1"/>
                <w:kern w:val="0"/>
                <w:sz w:val="18"/>
                <w:szCs w:val="18"/>
                <w14:textFill>
                  <w14:solidFill>
                    <w14:schemeClr w14:val="tx1"/>
                  </w14:solidFill>
                </w14:textFill>
              </w:rPr>
              <w:t>得5分。</w:t>
            </w:r>
          </w:p>
          <w:p w14:paraId="2BC5B5D9">
            <w:pPr>
              <w:widowControl/>
              <w:kinsoku w:val="0"/>
              <w:autoSpaceDE w:val="0"/>
              <w:autoSpaceDN w:val="0"/>
              <w:adjustRightInd w:val="0"/>
              <w:snapToGrid w:val="0"/>
              <w:spacing w:line="360" w:lineRule="auto"/>
              <w:jc w:val="left"/>
              <w:textAlignment w:val="baseline"/>
              <w:rPr>
                <w:rFonts w:hint="eastAsia" w:ascii="等线" w:hAnsi="等线" w:eastAsia="等线" w:cs="等线"/>
                <w:snapToGrid w:val="0"/>
                <w:color w:val="000000" w:themeColor="text1"/>
                <w:kern w:val="0"/>
                <w:sz w:val="18"/>
                <w:szCs w:val="18"/>
                <w14:textFill>
                  <w14:solidFill>
                    <w14:schemeClr w14:val="tx1"/>
                  </w14:solidFill>
                </w14:textFill>
              </w:rPr>
            </w:pPr>
            <w:r>
              <w:rPr>
                <w:rFonts w:hint="eastAsia" w:ascii="等线" w:hAnsi="等线" w:eastAsia="等线" w:cs="等线"/>
                <w:snapToGrid w:val="0"/>
                <w:color w:val="000000" w:themeColor="text1"/>
                <w:kern w:val="0"/>
                <w:sz w:val="18"/>
                <w:szCs w:val="18"/>
                <w:lang w:val="en-US" w:eastAsia="zh-CN"/>
                <w14:textFill>
                  <w14:solidFill>
                    <w14:schemeClr w14:val="tx1"/>
                  </w14:solidFill>
                </w14:textFill>
              </w:rPr>
              <w:t>三档：</w:t>
            </w:r>
            <w:r>
              <w:rPr>
                <w:rFonts w:hint="eastAsia" w:ascii="等线" w:hAnsi="等线" w:eastAsia="等线" w:cs="等线"/>
                <w:snapToGrid w:val="0"/>
                <w:color w:val="000000" w:themeColor="text1"/>
                <w:kern w:val="0"/>
                <w:sz w:val="18"/>
                <w:szCs w:val="18"/>
                <w14:textFill>
                  <w14:solidFill>
                    <w14:schemeClr w14:val="tx1"/>
                  </w14:solidFill>
                </w14:textFill>
              </w:rPr>
              <w:t>密评</w:t>
            </w:r>
            <w:r>
              <w:rPr>
                <w:rFonts w:hint="eastAsia" w:ascii="等线" w:hAnsi="等线" w:eastAsia="等线" w:cs="等线"/>
                <w:color w:val="000000" w:themeColor="text1"/>
                <w:sz w:val="18"/>
                <w:szCs w:val="18"/>
                <w14:textFill>
                  <w14:solidFill>
                    <w14:schemeClr w14:val="tx1"/>
                  </w14:solidFill>
                </w14:textFill>
              </w:rPr>
              <w:t>方案结构基本规范合理,内容基本全面详实,基本贴合采购人商用密码应用安全性评估实际需求,可执行性一般</w:t>
            </w:r>
            <w:r>
              <w:rPr>
                <w:rFonts w:hint="eastAsia" w:ascii="等线" w:hAnsi="等线" w:eastAsia="等线" w:cs="等线"/>
                <w:snapToGrid w:val="0"/>
                <w:color w:val="000000" w:themeColor="text1"/>
                <w:kern w:val="0"/>
                <w:sz w:val="18"/>
                <w:szCs w:val="18"/>
                <w14:textFill>
                  <w14:solidFill>
                    <w14:schemeClr w14:val="tx1"/>
                  </w14:solidFill>
                </w14:textFill>
              </w:rPr>
              <w:t>，得2分。</w:t>
            </w:r>
          </w:p>
          <w:p w14:paraId="027F7657">
            <w:pPr>
              <w:widowControl/>
              <w:kinsoku w:val="0"/>
              <w:autoSpaceDE w:val="0"/>
              <w:autoSpaceDN w:val="0"/>
              <w:adjustRightInd w:val="0"/>
              <w:snapToGrid w:val="0"/>
              <w:spacing w:line="360" w:lineRule="auto"/>
              <w:jc w:val="left"/>
              <w:textAlignment w:val="baseline"/>
              <w:rPr>
                <w:rFonts w:hint="eastAsia" w:ascii="等线" w:hAnsi="等线" w:eastAsia="等线" w:cs="等线"/>
                <w:snapToGrid w:val="0"/>
                <w:color w:val="000000" w:themeColor="text1"/>
                <w:kern w:val="0"/>
                <w:sz w:val="18"/>
                <w:szCs w:val="18"/>
                <w14:textFill>
                  <w14:solidFill>
                    <w14:schemeClr w14:val="tx1"/>
                  </w14:solidFill>
                </w14:textFill>
              </w:rPr>
            </w:pPr>
            <w:r>
              <w:rPr>
                <w:rFonts w:hint="eastAsia" w:ascii="等线" w:hAnsi="等线" w:eastAsia="等线" w:cs="等线"/>
                <w:snapToGrid w:val="0"/>
                <w:color w:val="000000" w:themeColor="text1"/>
                <w:kern w:val="0"/>
                <w:sz w:val="18"/>
                <w:szCs w:val="18"/>
                <w:lang w:val="en-US" w:eastAsia="zh-CN"/>
                <w14:textFill>
                  <w14:solidFill>
                    <w14:schemeClr w14:val="tx1"/>
                  </w14:solidFill>
                </w14:textFill>
              </w:rPr>
              <w:t>四档：</w:t>
            </w:r>
            <w:r>
              <w:rPr>
                <w:rFonts w:hint="eastAsia" w:ascii="等线" w:hAnsi="等线" w:eastAsia="等线" w:cs="等线"/>
                <w:snapToGrid w:val="0"/>
                <w:color w:val="000000" w:themeColor="text1"/>
                <w:kern w:val="0"/>
                <w:sz w:val="18"/>
                <w:szCs w:val="18"/>
                <w14:textFill>
                  <w14:solidFill>
                    <w14:schemeClr w14:val="tx1"/>
                  </w14:solidFill>
                </w14:textFill>
              </w:rPr>
              <w:t>项目人员组织配备及工期方案安排与关键节点控制均存在较大偏差或未提供的不得分。</w:t>
            </w:r>
          </w:p>
          <w:p w14:paraId="65A824D8">
            <w:pPr>
              <w:widowControl/>
              <w:kinsoku w:val="0"/>
              <w:autoSpaceDE w:val="0"/>
              <w:autoSpaceDN w:val="0"/>
              <w:adjustRightInd w:val="0"/>
              <w:snapToGrid w:val="0"/>
              <w:spacing w:line="360" w:lineRule="auto"/>
              <w:jc w:val="left"/>
              <w:textAlignment w:val="baseline"/>
              <w:rPr>
                <w:rFonts w:hint="eastAsia" w:ascii="等线" w:hAnsi="等线" w:eastAsia="等线" w:cs="等线"/>
                <w:sz w:val="18"/>
                <w:szCs w:val="18"/>
              </w:rPr>
            </w:pPr>
            <w:r>
              <w:rPr>
                <w:rFonts w:hint="eastAsia" w:ascii="等线" w:hAnsi="等线" w:eastAsia="等线" w:cs="等线"/>
                <w:b/>
                <w:bCs/>
                <w:color w:val="000000" w:themeColor="text1"/>
                <w:sz w:val="18"/>
                <w:szCs w:val="18"/>
                <w14:textFill>
                  <w14:solidFill>
                    <w14:schemeClr w14:val="tx1"/>
                  </w14:solidFill>
                </w14:textFill>
              </w:rPr>
              <w:t>注：须提供针对本项目的商用密码应用安全性评估</w:t>
            </w:r>
            <w:r>
              <w:rPr>
                <w:rFonts w:hint="eastAsia" w:ascii="等线" w:hAnsi="等线" w:eastAsia="等线" w:cs="等线"/>
                <w:b/>
                <w:bCs/>
                <w:color w:val="000000" w:themeColor="text1"/>
                <w:sz w:val="18"/>
                <w:szCs w:val="18"/>
                <w:lang w:eastAsia="zh-Hans"/>
                <w14:textFill>
                  <w14:solidFill>
                    <w14:schemeClr w14:val="tx1"/>
                  </w14:solidFill>
                </w14:textFill>
              </w:rPr>
              <w:t>测评</w:t>
            </w:r>
            <w:r>
              <w:rPr>
                <w:rFonts w:hint="eastAsia" w:ascii="等线" w:hAnsi="等线" w:eastAsia="等线" w:cs="等线"/>
                <w:b/>
                <w:bCs/>
                <w:color w:val="000000" w:themeColor="text1"/>
                <w:sz w:val="18"/>
                <w:szCs w:val="18"/>
                <w14:textFill>
                  <w14:solidFill>
                    <w14:schemeClr w14:val="tx1"/>
                  </w14:solidFill>
                </w14:textFill>
              </w:rPr>
              <w:t>方案。</w:t>
            </w:r>
          </w:p>
        </w:tc>
        <w:tc>
          <w:tcPr>
            <w:tcW w:w="851" w:type="dxa"/>
            <w:vAlign w:val="center"/>
          </w:tcPr>
          <w:p w14:paraId="513546CD">
            <w:pPr>
              <w:adjustRightInd w:val="0"/>
              <w:snapToGrid w:val="0"/>
              <w:spacing w:line="360" w:lineRule="auto"/>
              <w:jc w:val="center"/>
              <w:rPr>
                <w:rFonts w:hint="eastAsia" w:ascii="等线" w:hAnsi="等线" w:eastAsia="等线" w:cs="等线"/>
                <w:kern w:val="0"/>
                <w:szCs w:val="21"/>
              </w:rPr>
            </w:pPr>
            <w:r>
              <w:rPr>
                <w:rFonts w:hint="eastAsia" w:ascii="等线" w:hAnsi="等线" w:eastAsia="等线" w:cs="等线"/>
                <w:color w:val="000000"/>
                <w:kern w:val="0"/>
                <w:szCs w:val="21"/>
              </w:rPr>
              <w:t>20分</w:t>
            </w:r>
          </w:p>
        </w:tc>
      </w:tr>
      <w:tr w14:paraId="3E03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1" w:type="dxa"/>
            <w:vAlign w:val="center"/>
          </w:tcPr>
          <w:p w14:paraId="7E32E2CB">
            <w:pPr>
              <w:adjustRightInd w:val="0"/>
              <w:snapToGrid w:val="0"/>
              <w:spacing w:line="360" w:lineRule="auto"/>
              <w:jc w:val="left"/>
              <w:rPr>
                <w:rFonts w:hint="eastAsia" w:ascii="等线" w:hAnsi="等线" w:eastAsia="等线" w:cs="等线"/>
                <w:kern w:val="0"/>
                <w:szCs w:val="21"/>
              </w:rPr>
            </w:pPr>
            <w:r>
              <w:rPr>
                <w:rFonts w:hint="eastAsia" w:ascii="等线" w:hAnsi="等线" w:eastAsia="等线" w:cs="等线"/>
                <w:kern w:val="0"/>
                <w:szCs w:val="21"/>
              </w:rPr>
              <w:t>售后服务方案</w:t>
            </w:r>
          </w:p>
        </w:tc>
        <w:tc>
          <w:tcPr>
            <w:tcW w:w="5924" w:type="dxa"/>
            <w:vAlign w:val="center"/>
          </w:tcPr>
          <w:p w14:paraId="4281D61A">
            <w:pPr>
              <w:widowControl/>
              <w:kinsoku w:val="0"/>
              <w:autoSpaceDE w:val="0"/>
              <w:autoSpaceDN w:val="0"/>
              <w:adjustRightInd w:val="0"/>
              <w:snapToGrid w:val="0"/>
              <w:spacing w:line="360" w:lineRule="auto"/>
              <w:jc w:val="left"/>
              <w:textAlignment w:val="baseline"/>
              <w:rPr>
                <w:rFonts w:hint="eastAsia" w:ascii="等线" w:hAnsi="等线" w:eastAsia="等线" w:cs="等线"/>
                <w:b/>
                <w:bCs/>
                <w:color w:val="000000" w:themeColor="text1"/>
                <w:sz w:val="18"/>
                <w:szCs w:val="18"/>
                <w14:textFill>
                  <w14:solidFill>
                    <w14:schemeClr w14:val="tx1"/>
                  </w14:solidFill>
                </w14:textFill>
              </w:rPr>
            </w:pPr>
            <w:r>
              <w:rPr>
                <w:rFonts w:hint="eastAsia" w:ascii="等线" w:hAnsi="等线" w:eastAsia="等线" w:cs="等线"/>
                <w:b/>
                <w:bCs/>
                <w:color w:val="000000" w:themeColor="text1"/>
                <w:sz w:val="18"/>
                <w:szCs w:val="18"/>
                <w14:textFill>
                  <w14:solidFill>
                    <w14:schemeClr w14:val="tx1"/>
                  </w14:solidFill>
                </w14:textFill>
              </w:rPr>
              <w:t>根据供应商提供的售后服务方案，综合其售后服务水平、服务方式、响应时间、解决时限等方面进行评审：</w:t>
            </w:r>
          </w:p>
          <w:p w14:paraId="27A00970">
            <w:pPr>
              <w:widowControl/>
              <w:numPr>
                <w:ilvl w:val="0"/>
                <w:numId w:val="5"/>
              </w:numPr>
              <w:kinsoku w:val="0"/>
              <w:autoSpaceDE w:val="0"/>
              <w:autoSpaceDN w:val="0"/>
              <w:adjustRightInd w:val="0"/>
              <w:snapToGrid w:val="0"/>
              <w:spacing w:line="360" w:lineRule="auto"/>
              <w:jc w:val="left"/>
              <w:textAlignment w:val="baseline"/>
              <w:rPr>
                <w:rFonts w:hint="eastAsia" w:ascii="等线" w:hAnsi="等线" w:eastAsia="等线" w:cs="等线"/>
                <w:color w:val="000000" w:themeColor="text1"/>
                <w:sz w:val="18"/>
                <w:szCs w:val="18"/>
                <w14:textFill>
                  <w14:solidFill>
                    <w14:schemeClr w14:val="tx1"/>
                  </w14:solidFill>
                </w14:textFill>
              </w:rPr>
            </w:pPr>
            <w:r>
              <w:rPr>
                <w:rFonts w:hint="eastAsia" w:ascii="等线" w:hAnsi="等线" w:eastAsia="等线" w:cs="等线"/>
                <w:color w:val="000000" w:themeColor="text1"/>
                <w:sz w:val="18"/>
                <w:szCs w:val="18"/>
                <w14:textFill>
                  <w14:solidFill>
                    <w14:schemeClr w14:val="tx1"/>
                  </w14:solidFill>
                </w14:textFill>
              </w:rPr>
              <w:t>具有科学详细的售后服务方案体系，有项目技术支持团队，且承诺为本项目投入售后服务人员6人以上（含6人）具有网络安全或者信息安全等级测评师证书且具有国家商用密码应用安全性评估人员测评能力考核小组颁发的人员测评能力考核通过的售后服务队伍。能够提供细致、全面的与评估相关的技术指导及支撑服务，以适应等保测评及商用密码在应用过程中可能存在的政策或技术新要求；技术援助电话、现场服务条件及到位时间等内容能够充分满足或优于采购人的实际需求；针对本项目具有明确详细的售后服务工作流程，售后及维护服务内容响应到位的，得10分；</w:t>
            </w:r>
          </w:p>
          <w:p w14:paraId="4BD99F81">
            <w:pPr>
              <w:pStyle w:val="11"/>
              <w:numPr>
                <w:ilvl w:val="0"/>
                <w:numId w:val="5"/>
              </w:numPr>
              <w:adjustRightInd w:val="0"/>
              <w:snapToGrid w:val="0"/>
              <w:spacing w:line="360" w:lineRule="auto"/>
              <w:rPr>
                <w:rFonts w:hint="eastAsia" w:ascii="等线" w:hAnsi="等线" w:eastAsia="等线" w:cs="等线"/>
                <w:color w:val="000000" w:themeColor="text1"/>
                <w:sz w:val="18"/>
                <w:szCs w:val="18"/>
                <w14:textFill>
                  <w14:solidFill>
                    <w14:schemeClr w14:val="tx1"/>
                  </w14:solidFill>
                </w14:textFill>
              </w:rPr>
            </w:pPr>
            <w:r>
              <w:rPr>
                <w:rFonts w:hint="eastAsia" w:ascii="等线" w:hAnsi="等线" w:eastAsia="等线" w:cs="等线"/>
                <w:color w:val="000000" w:themeColor="text1"/>
                <w:sz w:val="18"/>
                <w:szCs w:val="18"/>
                <w14:textFill>
                  <w14:solidFill>
                    <w14:schemeClr w14:val="tx1"/>
                  </w14:solidFill>
                </w14:textFill>
              </w:rPr>
              <w:t>具有完整的售后服务方案，但缺乏针对性，有项目技术支持人员、满足采购文件规定的要求及采购人的实际需求，且承诺为本项目投入售后服务人员5人以上（含5人）具有网络安全或者信息安全等级测评师证书且具有国家商用密码应用安全性评估人员测评能力考核小组颁发的人员测评能力考核通过的售后服务队伍。具有售后服务工作流程，售后服务承诺合理，部分措施能够满足与评估相关的技术指导及支撑需要，服务方式单一的，得5分；</w:t>
            </w:r>
          </w:p>
          <w:p w14:paraId="5F4B3181">
            <w:pPr>
              <w:pStyle w:val="11"/>
              <w:adjustRightInd w:val="0"/>
              <w:snapToGrid w:val="0"/>
              <w:spacing w:line="360" w:lineRule="auto"/>
              <w:rPr>
                <w:rFonts w:hint="eastAsia" w:ascii="等线" w:hAnsi="等线" w:eastAsia="等线" w:cs="等线"/>
                <w:color w:val="000000" w:themeColor="text1"/>
                <w:sz w:val="18"/>
                <w:szCs w:val="18"/>
                <w14:textFill>
                  <w14:solidFill>
                    <w14:schemeClr w14:val="tx1"/>
                  </w14:solidFill>
                </w14:textFill>
              </w:rPr>
            </w:pPr>
            <w:r>
              <w:rPr>
                <w:rFonts w:hint="eastAsia" w:ascii="等线" w:hAnsi="等线" w:eastAsia="等线" w:cs="等线"/>
                <w:color w:val="000000" w:themeColor="text1"/>
                <w:sz w:val="18"/>
                <w:szCs w:val="18"/>
                <w14:textFill>
                  <w14:solidFill>
                    <w14:schemeClr w14:val="tx1"/>
                  </w14:solidFill>
                </w14:textFill>
              </w:rPr>
              <w:t>3.提供售后服务方案；且承诺为本项目投入售后服务人员4人以上（含4人）具有网络安全或者信息安全等级测评师证书且具有国家商用密码应用安全性评估人员测评能力考核小组颁发的人员测评能力考核通过的售后服务队伍。提供的售后服务工作流程和售后服务承诺基本满足招标要求的，得3分。</w:t>
            </w:r>
          </w:p>
          <w:p w14:paraId="6ED8B597">
            <w:pPr>
              <w:spacing w:line="360" w:lineRule="auto"/>
              <w:jc w:val="left"/>
              <w:rPr>
                <w:rFonts w:hint="eastAsia" w:ascii="等线" w:hAnsi="等线" w:eastAsia="等线" w:cs="等线"/>
                <w:sz w:val="18"/>
                <w:szCs w:val="18"/>
              </w:rPr>
            </w:pPr>
            <w:r>
              <w:rPr>
                <w:rFonts w:hint="eastAsia" w:ascii="等线" w:hAnsi="等线" w:eastAsia="等线" w:cs="等线"/>
                <w:color w:val="000000" w:themeColor="text1"/>
                <w:sz w:val="18"/>
                <w:szCs w:val="18"/>
                <w14:textFill>
                  <w14:solidFill>
                    <w14:schemeClr w14:val="tx1"/>
                  </w14:solidFill>
                </w14:textFill>
              </w:rPr>
              <w:t>4.未提供相关内容的不得分。</w:t>
            </w:r>
          </w:p>
        </w:tc>
        <w:tc>
          <w:tcPr>
            <w:tcW w:w="851" w:type="dxa"/>
            <w:vAlign w:val="center"/>
          </w:tcPr>
          <w:p w14:paraId="59C9F5F8">
            <w:pPr>
              <w:adjustRightInd w:val="0"/>
              <w:snapToGrid w:val="0"/>
              <w:spacing w:line="360" w:lineRule="auto"/>
              <w:jc w:val="left"/>
              <w:rPr>
                <w:rFonts w:hint="eastAsia" w:ascii="等线" w:hAnsi="等线" w:eastAsia="等线" w:cs="等线"/>
                <w:kern w:val="0"/>
                <w:szCs w:val="21"/>
              </w:rPr>
            </w:pPr>
            <w:r>
              <w:rPr>
                <w:rFonts w:hint="eastAsia" w:ascii="等线" w:hAnsi="等线" w:eastAsia="等线" w:cs="等线"/>
                <w:kern w:val="0"/>
                <w:szCs w:val="21"/>
              </w:rPr>
              <w:t>10分</w:t>
            </w:r>
          </w:p>
        </w:tc>
      </w:tr>
      <w:tr w14:paraId="3EE1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1" w:type="dxa"/>
            <w:vAlign w:val="center"/>
          </w:tcPr>
          <w:p w14:paraId="7F94DD1F">
            <w:pPr>
              <w:adjustRightInd w:val="0"/>
              <w:snapToGrid w:val="0"/>
              <w:spacing w:line="360" w:lineRule="auto"/>
              <w:jc w:val="center"/>
              <w:rPr>
                <w:rFonts w:hint="eastAsia" w:ascii="等线" w:hAnsi="等线" w:eastAsia="等线" w:cs="等线"/>
                <w:kern w:val="0"/>
                <w:szCs w:val="21"/>
              </w:rPr>
            </w:pPr>
            <w:r>
              <w:rPr>
                <w:rFonts w:hint="eastAsia" w:ascii="等线" w:hAnsi="等线" w:eastAsia="等线" w:cs="等线"/>
                <w:kern w:val="0"/>
                <w:szCs w:val="21"/>
              </w:rPr>
              <w:t>投标人资质</w:t>
            </w:r>
          </w:p>
        </w:tc>
        <w:tc>
          <w:tcPr>
            <w:tcW w:w="5924" w:type="dxa"/>
            <w:vAlign w:val="center"/>
          </w:tcPr>
          <w:p w14:paraId="40A07AA7">
            <w:pPr>
              <w:spacing w:line="440" w:lineRule="exact"/>
              <w:jc w:val="left"/>
              <w:rPr>
                <w:rFonts w:hint="eastAsia" w:ascii="等线" w:hAnsi="等线" w:eastAsia="等线" w:cs="等线"/>
                <w:sz w:val="18"/>
                <w:szCs w:val="18"/>
              </w:rPr>
            </w:pPr>
            <w:r>
              <w:rPr>
                <w:rFonts w:hint="eastAsia" w:ascii="等线" w:hAnsi="等线" w:eastAsia="等线" w:cs="等线"/>
                <w:sz w:val="18"/>
                <w:szCs w:val="18"/>
              </w:rPr>
              <w:t>1、具有ISO质量管理体系统认证证书(范围：网络安全等级保护测评、信息安全风险评估、商用密码应用与安全性评估)、具有ISO信息安全管理体系统认证证书（范围：网络安全等级保护测评和风险评估相关的信息安全管理活动信息安全适用性声明A/0</w:t>
            </w:r>
            <w:r>
              <w:rPr>
                <w:rFonts w:ascii="等线" w:hAnsi="等线" w:eastAsia="等线" w:cs="等线"/>
                <w:sz w:val="18"/>
                <w:szCs w:val="18"/>
              </w:rPr>
              <w:t>）</w:t>
            </w:r>
            <w:r>
              <w:rPr>
                <w:rFonts w:hint="eastAsia" w:ascii="等线" w:hAnsi="等线" w:eastAsia="等线" w:cs="等线"/>
                <w:sz w:val="18"/>
                <w:szCs w:val="18"/>
              </w:rPr>
              <w:t>、具有ISO信息技术服务管理体系认证证书（范围：向外部客户提供网络安全等级保护测评服务），具有ISO业务连续性管理体系认证证书（范围：网络安全等级保护测评和风险评估相关的业务连续性管理活动）、每提供1个得1分，满分4分。</w:t>
            </w:r>
          </w:p>
          <w:p w14:paraId="10F15932">
            <w:pPr>
              <w:spacing w:line="440" w:lineRule="exact"/>
              <w:jc w:val="left"/>
              <w:rPr>
                <w:rFonts w:hint="eastAsia" w:ascii="等线" w:hAnsi="等线" w:eastAsia="等线" w:cs="等线"/>
                <w:sz w:val="18"/>
                <w:szCs w:val="18"/>
              </w:rPr>
            </w:pPr>
            <w:r>
              <w:rPr>
                <w:rFonts w:hint="eastAsia" w:ascii="等线" w:hAnsi="等线" w:eastAsia="等线" w:cs="等线"/>
                <w:sz w:val="18"/>
                <w:szCs w:val="18"/>
              </w:rPr>
              <w:t>2、具中国合格评定国家认可委员会（CNAS）颁发的检验机构认可证书的，得2分。</w:t>
            </w:r>
          </w:p>
          <w:p w14:paraId="631334FE">
            <w:pPr>
              <w:spacing w:line="440" w:lineRule="exact"/>
              <w:jc w:val="left"/>
              <w:rPr>
                <w:rFonts w:hint="eastAsia" w:ascii="等线" w:hAnsi="等线" w:eastAsia="等线" w:cs="等线"/>
                <w:sz w:val="18"/>
                <w:szCs w:val="18"/>
              </w:rPr>
            </w:pPr>
            <w:r>
              <w:rPr>
                <w:rFonts w:hint="eastAsia" w:ascii="等线" w:hAnsi="等线" w:eastAsia="等线" w:cs="等线"/>
                <w:sz w:val="18"/>
                <w:szCs w:val="18"/>
              </w:rPr>
              <w:t>3、具有由国家认证认可监督管理机构颁发的检验检测机构资质认定证书（CMA）的，得2分。</w:t>
            </w:r>
          </w:p>
          <w:p w14:paraId="6A4C487C">
            <w:pPr>
              <w:spacing w:line="400" w:lineRule="exact"/>
              <w:rPr>
                <w:rFonts w:hint="eastAsia" w:ascii="等线" w:hAnsi="等线" w:eastAsia="等线" w:cs="等线"/>
                <w:sz w:val="18"/>
                <w:szCs w:val="18"/>
              </w:rPr>
            </w:pPr>
            <w:r>
              <w:rPr>
                <w:rFonts w:hint="eastAsia" w:ascii="等线" w:hAnsi="等线" w:eastAsia="等线" w:cs="等线"/>
                <w:sz w:val="18"/>
                <w:szCs w:val="18"/>
              </w:rPr>
              <w:t>4、具有ITSS信息技术服务标准符合性证书得2分。</w:t>
            </w:r>
          </w:p>
          <w:p w14:paraId="1D0AE2DD">
            <w:pPr>
              <w:spacing w:line="440" w:lineRule="exact"/>
              <w:jc w:val="left"/>
              <w:rPr>
                <w:rFonts w:hint="eastAsia" w:ascii="等线" w:hAnsi="等线" w:eastAsia="等线" w:cs="等线"/>
                <w:sz w:val="18"/>
                <w:szCs w:val="18"/>
              </w:rPr>
            </w:pPr>
            <w:r>
              <w:rPr>
                <w:rFonts w:hint="eastAsia" w:ascii="等线" w:hAnsi="等线" w:eastAsia="等线" w:cs="等线"/>
                <w:sz w:val="18"/>
                <w:szCs w:val="18"/>
              </w:rPr>
              <w:t>5、具有开展等保测评及商用密码应用安全性评估服务的相关测评工具计算机软件著作权登记证书，每提供一个的</w:t>
            </w:r>
            <w:r>
              <w:rPr>
                <w:rFonts w:hint="eastAsia" w:ascii="等线" w:hAnsi="等线" w:eastAsia="等线" w:cs="等线"/>
                <w:sz w:val="18"/>
                <w:szCs w:val="18"/>
                <w:lang w:val="en-US" w:eastAsia="zh-CN"/>
              </w:rPr>
              <w:t>2</w:t>
            </w:r>
            <w:r>
              <w:rPr>
                <w:rFonts w:hint="eastAsia" w:ascii="等线" w:hAnsi="等线" w:eastAsia="等线" w:cs="等线"/>
                <w:sz w:val="18"/>
                <w:szCs w:val="18"/>
              </w:rPr>
              <w:t>分。（提供复印件加盖公章）最高得</w:t>
            </w:r>
            <w:r>
              <w:rPr>
                <w:rFonts w:hint="eastAsia" w:ascii="等线" w:hAnsi="等线" w:eastAsia="等线" w:cs="等线"/>
                <w:sz w:val="18"/>
                <w:szCs w:val="18"/>
                <w:lang w:val="en-US" w:eastAsia="zh-CN"/>
              </w:rPr>
              <w:t>10</w:t>
            </w:r>
            <w:r>
              <w:rPr>
                <w:rFonts w:hint="eastAsia" w:ascii="等线" w:hAnsi="等线" w:eastAsia="等线" w:cs="等线"/>
                <w:sz w:val="18"/>
                <w:szCs w:val="18"/>
              </w:rPr>
              <w:t>分。</w:t>
            </w:r>
          </w:p>
          <w:p w14:paraId="77653F1B">
            <w:pPr>
              <w:spacing w:line="440" w:lineRule="exact"/>
              <w:jc w:val="left"/>
              <w:rPr>
                <w:rFonts w:hint="eastAsia" w:ascii="等线" w:hAnsi="等线" w:eastAsia="等线" w:cs="等线"/>
                <w:sz w:val="18"/>
                <w:szCs w:val="18"/>
              </w:rPr>
            </w:pPr>
            <w:r>
              <w:rPr>
                <w:rFonts w:hint="eastAsia" w:ascii="等线" w:hAnsi="等线" w:eastAsia="等线" w:cs="等线"/>
                <w:sz w:val="18"/>
                <w:szCs w:val="18"/>
              </w:rPr>
              <w:t>注：投标文件中须提供证书复印件或证明材料。</w:t>
            </w:r>
          </w:p>
        </w:tc>
        <w:tc>
          <w:tcPr>
            <w:tcW w:w="851" w:type="dxa"/>
            <w:vAlign w:val="center"/>
          </w:tcPr>
          <w:p w14:paraId="61ED5511">
            <w:pPr>
              <w:adjustRightInd w:val="0"/>
              <w:snapToGrid w:val="0"/>
              <w:spacing w:line="360" w:lineRule="auto"/>
              <w:jc w:val="left"/>
              <w:rPr>
                <w:rFonts w:hint="eastAsia" w:ascii="等线" w:hAnsi="等线" w:eastAsia="等线" w:cs="等线"/>
                <w:kern w:val="0"/>
                <w:szCs w:val="21"/>
              </w:rPr>
            </w:pPr>
            <w:r>
              <w:rPr>
                <w:rFonts w:hint="eastAsia" w:ascii="等线" w:hAnsi="等线" w:eastAsia="等线" w:cs="等线"/>
                <w:kern w:val="0"/>
                <w:szCs w:val="21"/>
              </w:rPr>
              <w:t>20分</w:t>
            </w:r>
          </w:p>
        </w:tc>
      </w:tr>
      <w:tr w14:paraId="030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41" w:type="dxa"/>
            <w:vAlign w:val="center"/>
          </w:tcPr>
          <w:p w14:paraId="542CE218">
            <w:pPr>
              <w:adjustRightInd w:val="0"/>
              <w:snapToGrid w:val="0"/>
              <w:spacing w:line="360" w:lineRule="auto"/>
              <w:jc w:val="center"/>
              <w:rPr>
                <w:rFonts w:hint="eastAsia" w:ascii="等线" w:hAnsi="等线" w:eastAsia="等线" w:cs="等线"/>
                <w:kern w:val="0"/>
                <w:szCs w:val="21"/>
              </w:rPr>
            </w:pPr>
            <w:r>
              <w:rPr>
                <w:rFonts w:hint="eastAsia" w:ascii="等线" w:hAnsi="等线" w:eastAsia="等线" w:cs="等线"/>
                <w:kern w:val="0"/>
                <w:szCs w:val="21"/>
              </w:rPr>
              <w:t>企业业绩</w:t>
            </w:r>
          </w:p>
        </w:tc>
        <w:tc>
          <w:tcPr>
            <w:tcW w:w="5924" w:type="dxa"/>
            <w:vAlign w:val="center"/>
          </w:tcPr>
          <w:p w14:paraId="5B5CEFF4">
            <w:pPr>
              <w:adjustRightInd w:val="0"/>
              <w:snapToGrid w:val="0"/>
              <w:spacing w:line="360" w:lineRule="auto"/>
              <w:rPr>
                <w:rFonts w:hint="eastAsia" w:ascii="等线" w:hAnsi="等线" w:eastAsia="等线" w:cs="等线"/>
                <w:sz w:val="18"/>
                <w:szCs w:val="18"/>
                <w:highlight w:val="none"/>
              </w:rPr>
            </w:pPr>
            <w:r>
              <w:rPr>
                <w:rFonts w:hint="eastAsia" w:ascii="等线" w:hAnsi="等线" w:eastAsia="等线" w:cs="等线"/>
                <w:sz w:val="18"/>
                <w:szCs w:val="18"/>
              </w:rPr>
              <w:t>自2022年1月1日以来（以合同签订时间为准），</w:t>
            </w:r>
            <w:r>
              <w:rPr>
                <w:rFonts w:hint="eastAsia" w:ascii="等线" w:hAnsi="等线" w:eastAsia="等线" w:cs="等线"/>
                <w:sz w:val="18"/>
                <w:szCs w:val="18"/>
                <w:lang w:val="en-US" w:eastAsia="zh-CN"/>
              </w:rPr>
              <w:t>投标人</w:t>
            </w:r>
            <w:r>
              <w:rPr>
                <w:rFonts w:hint="eastAsia" w:ascii="等线" w:hAnsi="等线" w:eastAsia="等线" w:cs="等线"/>
                <w:sz w:val="18"/>
                <w:szCs w:val="18"/>
                <w:highlight w:val="none"/>
              </w:rPr>
              <w:t>具有</w:t>
            </w:r>
            <w:r>
              <w:rPr>
                <w:rFonts w:hint="eastAsia" w:ascii="等线" w:hAnsi="等线" w:eastAsia="等线" w:cs="等线"/>
                <w:sz w:val="18"/>
                <w:szCs w:val="18"/>
                <w:highlight w:val="none"/>
                <w:lang w:val="en-US" w:eastAsia="zh-CN"/>
              </w:rPr>
              <w:t>同一</w:t>
            </w:r>
            <w:r>
              <w:rPr>
                <w:rFonts w:hint="eastAsia" w:ascii="等线" w:hAnsi="等线" w:eastAsia="等线" w:cs="等线"/>
                <w:sz w:val="18"/>
                <w:szCs w:val="18"/>
                <w:highlight w:val="none"/>
              </w:rPr>
              <w:t>信息系统</w:t>
            </w:r>
            <w:r>
              <w:rPr>
                <w:rFonts w:hint="eastAsia" w:ascii="等线" w:hAnsi="等线" w:eastAsia="等线" w:cs="等线"/>
                <w:sz w:val="18"/>
                <w:szCs w:val="18"/>
                <w:highlight w:val="none"/>
                <w:lang w:val="en-US" w:eastAsia="zh-CN"/>
              </w:rPr>
              <w:t>进行</w:t>
            </w:r>
            <w:r>
              <w:rPr>
                <w:rFonts w:hint="eastAsia" w:ascii="等线" w:hAnsi="等线" w:eastAsia="等线" w:cs="等线"/>
                <w:sz w:val="18"/>
                <w:szCs w:val="18"/>
                <w:highlight w:val="none"/>
              </w:rPr>
              <w:t>等保测评及商密评估服务</w:t>
            </w:r>
            <w:r>
              <w:rPr>
                <w:rFonts w:hint="eastAsia" w:ascii="等线" w:hAnsi="等线" w:eastAsia="等线" w:cs="等线"/>
                <w:sz w:val="18"/>
                <w:szCs w:val="18"/>
                <w:highlight w:val="none"/>
                <w:lang w:val="en-US" w:eastAsia="zh-CN"/>
              </w:rPr>
              <w:t>合同</w:t>
            </w:r>
            <w:r>
              <w:rPr>
                <w:rFonts w:hint="eastAsia" w:ascii="等线" w:hAnsi="等线" w:eastAsia="等线" w:cs="等线"/>
                <w:sz w:val="18"/>
                <w:szCs w:val="18"/>
                <w:highlight w:val="none"/>
              </w:rPr>
              <w:t>案例，每提供一个得</w:t>
            </w:r>
            <w:r>
              <w:rPr>
                <w:rFonts w:hint="eastAsia" w:ascii="等线" w:hAnsi="等线" w:eastAsia="等线" w:cs="等线"/>
                <w:sz w:val="18"/>
                <w:szCs w:val="18"/>
                <w:highlight w:val="none"/>
                <w:lang w:val="en-US" w:eastAsia="zh-CN"/>
              </w:rPr>
              <w:t>1</w:t>
            </w:r>
            <w:r>
              <w:rPr>
                <w:rFonts w:hint="eastAsia" w:ascii="等线" w:hAnsi="等线" w:eastAsia="等线" w:cs="等线"/>
                <w:sz w:val="18"/>
                <w:szCs w:val="18"/>
                <w:highlight w:val="none"/>
              </w:rPr>
              <w:t>分，最多得</w:t>
            </w:r>
            <w:r>
              <w:rPr>
                <w:rFonts w:hint="eastAsia" w:ascii="等线" w:hAnsi="等线" w:eastAsia="等线" w:cs="等线"/>
                <w:sz w:val="18"/>
                <w:szCs w:val="18"/>
                <w:highlight w:val="none"/>
                <w:lang w:val="en-US" w:eastAsia="zh-CN"/>
              </w:rPr>
              <w:t>5</w:t>
            </w:r>
            <w:r>
              <w:rPr>
                <w:rFonts w:hint="eastAsia" w:ascii="等线" w:hAnsi="等线" w:eastAsia="等线" w:cs="等线"/>
                <w:sz w:val="18"/>
                <w:szCs w:val="18"/>
                <w:highlight w:val="none"/>
              </w:rPr>
              <w:t>分。</w:t>
            </w:r>
          </w:p>
          <w:p w14:paraId="52710F27">
            <w:pPr>
              <w:adjustRightInd w:val="0"/>
              <w:snapToGrid w:val="0"/>
              <w:spacing w:line="360" w:lineRule="auto"/>
              <w:rPr>
                <w:rFonts w:hint="eastAsia" w:ascii="等线" w:hAnsi="等线" w:eastAsia="等线" w:cs="等线"/>
                <w:sz w:val="18"/>
                <w:szCs w:val="18"/>
              </w:rPr>
            </w:pPr>
            <w:r>
              <w:rPr>
                <w:rFonts w:hint="eastAsia" w:ascii="等线" w:hAnsi="等线" w:eastAsia="等线" w:cs="等线"/>
                <w:sz w:val="18"/>
                <w:szCs w:val="18"/>
                <w:highlight w:val="none"/>
              </w:rPr>
              <w:t>注：投标时提供合同复印件，加盖投标人公章。</w:t>
            </w:r>
          </w:p>
        </w:tc>
        <w:tc>
          <w:tcPr>
            <w:tcW w:w="851" w:type="dxa"/>
            <w:vAlign w:val="center"/>
          </w:tcPr>
          <w:p w14:paraId="2830C50E">
            <w:pPr>
              <w:adjustRightInd w:val="0"/>
              <w:snapToGrid w:val="0"/>
              <w:spacing w:line="360" w:lineRule="auto"/>
              <w:jc w:val="center"/>
              <w:rPr>
                <w:rFonts w:hint="eastAsia" w:ascii="等线" w:hAnsi="等线" w:eastAsia="等线" w:cs="等线"/>
                <w:kern w:val="0"/>
                <w:szCs w:val="21"/>
              </w:rPr>
            </w:pPr>
            <w:r>
              <w:rPr>
                <w:rFonts w:hint="eastAsia" w:ascii="等线" w:hAnsi="等线" w:eastAsia="等线" w:cs="等线"/>
                <w:kern w:val="0"/>
                <w:szCs w:val="21"/>
                <w:lang w:val="en-US" w:eastAsia="zh-CN"/>
              </w:rPr>
              <w:t>5</w:t>
            </w:r>
            <w:r>
              <w:rPr>
                <w:rFonts w:hint="eastAsia" w:ascii="等线" w:hAnsi="等线" w:eastAsia="等线" w:cs="等线"/>
                <w:kern w:val="0"/>
                <w:szCs w:val="21"/>
              </w:rPr>
              <w:t>分</w:t>
            </w:r>
          </w:p>
        </w:tc>
      </w:tr>
      <w:tr w14:paraId="5090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Align w:val="center"/>
          </w:tcPr>
          <w:p w14:paraId="7F562C03">
            <w:pPr>
              <w:adjustRightInd w:val="0"/>
              <w:snapToGrid w:val="0"/>
              <w:spacing w:line="360" w:lineRule="auto"/>
              <w:jc w:val="left"/>
              <w:rPr>
                <w:rFonts w:hint="eastAsia" w:ascii="等线" w:hAnsi="等线" w:eastAsia="等线" w:cs="等线"/>
                <w:kern w:val="0"/>
                <w:szCs w:val="21"/>
              </w:rPr>
            </w:pPr>
            <w:r>
              <w:rPr>
                <w:rFonts w:hint="eastAsia" w:ascii="等线" w:hAnsi="等线" w:eastAsia="等线" w:cs="等线"/>
                <w:kern w:val="0"/>
                <w:szCs w:val="21"/>
              </w:rPr>
              <w:t>报价得分</w:t>
            </w:r>
          </w:p>
        </w:tc>
        <w:tc>
          <w:tcPr>
            <w:tcW w:w="5924" w:type="dxa"/>
          </w:tcPr>
          <w:p w14:paraId="262E42D7">
            <w:pPr>
              <w:widowControl/>
              <w:spacing w:line="480" w:lineRule="exact"/>
              <w:jc w:val="left"/>
              <w:rPr>
                <w:rFonts w:hint="eastAsia" w:ascii="宋体" w:hAnsi="宋体" w:cs="宋体"/>
                <w:color w:val="000000"/>
                <w:sz w:val="18"/>
                <w:szCs w:val="18"/>
                <w:lang w:bidi="ar"/>
              </w:rPr>
            </w:pPr>
            <w:r>
              <w:rPr>
                <w:rFonts w:hint="eastAsia" w:ascii="宋体" w:hAnsi="宋体" w:cs="宋体"/>
                <w:color w:val="000000"/>
                <w:sz w:val="18"/>
                <w:szCs w:val="18"/>
                <w:lang w:bidi="ar"/>
              </w:rPr>
              <w:t>满足招标文件全部技术要求且投标报价最低的投标报价为评标基准价，其价格分为满分。其他投标人的价格分统一按照下列公式计算：</w:t>
            </w:r>
          </w:p>
          <w:p w14:paraId="10872FE4">
            <w:pPr>
              <w:widowControl/>
              <w:spacing w:line="480" w:lineRule="exact"/>
              <w:jc w:val="left"/>
              <w:rPr>
                <w:rFonts w:hint="eastAsia" w:ascii="宋体" w:hAnsi="宋体" w:cs="宋体"/>
                <w:color w:val="000000"/>
                <w:sz w:val="18"/>
                <w:szCs w:val="18"/>
                <w:lang w:bidi="ar"/>
              </w:rPr>
            </w:pPr>
            <w:r>
              <w:rPr>
                <w:rFonts w:hint="eastAsia" w:ascii="宋体" w:hAnsi="宋体" w:cs="宋体"/>
                <w:color w:val="000000"/>
                <w:sz w:val="18"/>
                <w:szCs w:val="18"/>
                <w:lang w:bidi="ar"/>
              </w:rPr>
              <w:t>投标报价得分=（评标基准价/投标报价）×45分。</w:t>
            </w:r>
          </w:p>
          <w:p w14:paraId="394E8D0F">
            <w:pPr>
              <w:adjustRightInd w:val="0"/>
              <w:snapToGrid w:val="0"/>
              <w:spacing w:line="360" w:lineRule="auto"/>
              <w:jc w:val="left"/>
              <w:rPr>
                <w:rFonts w:hint="eastAsia" w:ascii="等线" w:hAnsi="等线" w:eastAsia="等线" w:cs="等线"/>
                <w:sz w:val="18"/>
                <w:szCs w:val="18"/>
              </w:rPr>
            </w:pPr>
            <w:r>
              <w:rPr>
                <w:rFonts w:hint="eastAsia" w:ascii="宋体" w:hAnsi="宋体" w:cs="宋体"/>
                <w:color w:val="000000"/>
                <w:sz w:val="18"/>
                <w:szCs w:val="18"/>
                <w:lang w:bidi="ar"/>
              </w:rPr>
              <w:t>备注：本项目满足应用需求为主不保证低价中标。</w:t>
            </w:r>
          </w:p>
        </w:tc>
        <w:tc>
          <w:tcPr>
            <w:tcW w:w="851" w:type="dxa"/>
            <w:vAlign w:val="center"/>
          </w:tcPr>
          <w:p w14:paraId="667CC4A9">
            <w:pPr>
              <w:adjustRightInd w:val="0"/>
              <w:snapToGrid w:val="0"/>
              <w:spacing w:line="360" w:lineRule="auto"/>
              <w:jc w:val="left"/>
              <w:rPr>
                <w:rFonts w:hint="eastAsia" w:ascii="等线" w:hAnsi="等线" w:eastAsia="等线" w:cs="等线"/>
                <w:kern w:val="0"/>
                <w:szCs w:val="21"/>
              </w:rPr>
            </w:pPr>
            <w:r>
              <w:rPr>
                <w:rFonts w:hint="eastAsia" w:ascii="等线" w:hAnsi="等线" w:eastAsia="等线" w:cs="等线"/>
                <w:kern w:val="0"/>
                <w:szCs w:val="21"/>
              </w:rPr>
              <w:t>45分</w:t>
            </w:r>
          </w:p>
        </w:tc>
      </w:tr>
      <w:tr w14:paraId="17D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5" w:type="dxa"/>
            <w:gridSpan w:val="2"/>
            <w:vAlign w:val="center"/>
          </w:tcPr>
          <w:p w14:paraId="1A506678">
            <w:pPr>
              <w:adjustRightInd w:val="0"/>
              <w:snapToGrid w:val="0"/>
              <w:spacing w:line="360" w:lineRule="auto"/>
              <w:jc w:val="left"/>
              <w:rPr>
                <w:rFonts w:hint="eastAsia" w:ascii="宋体" w:hAnsi="宋体" w:cs="宋体"/>
                <w:color w:val="000000"/>
                <w:sz w:val="22"/>
                <w:szCs w:val="22"/>
                <w:lang w:bidi="ar"/>
              </w:rPr>
            </w:pPr>
            <w:r>
              <w:rPr>
                <w:rFonts w:hint="eastAsia" w:ascii="等线" w:hAnsi="等线" w:eastAsia="等线" w:cs="等线"/>
                <w:kern w:val="0"/>
                <w:szCs w:val="21"/>
              </w:rPr>
              <w:t>合计</w:t>
            </w:r>
          </w:p>
        </w:tc>
        <w:tc>
          <w:tcPr>
            <w:tcW w:w="851" w:type="dxa"/>
            <w:vAlign w:val="center"/>
          </w:tcPr>
          <w:p w14:paraId="6B17B616">
            <w:pPr>
              <w:adjustRightInd w:val="0"/>
              <w:snapToGrid w:val="0"/>
              <w:spacing w:line="360" w:lineRule="auto"/>
              <w:jc w:val="left"/>
              <w:rPr>
                <w:rFonts w:hint="eastAsia" w:ascii="等线" w:hAnsi="等线" w:eastAsia="等线" w:cs="等线"/>
                <w:kern w:val="0"/>
                <w:szCs w:val="21"/>
              </w:rPr>
            </w:pPr>
            <w:r>
              <w:rPr>
                <w:rFonts w:hint="eastAsia" w:ascii="等线" w:hAnsi="等线" w:eastAsia="等线" w:cs="等线"/>
                <w:kern w:val="0"/>
                <w:szCs w:val="21"/>
              </w:rPr>
              <w:t>100分</w:t>
            </w:r>
          </w:p>
        </w:tc>
      </w:tr>
    </w:tbl>
    <w:p w14:paraId="2D14B789">
      <w:pPr>
        <w:spacing w:line="460" w:lineRule="exact"/>
        <w:rPr>
          <w:rFonts w:ascii="宋体" w:hAnsi="宋体" w:cs="宋体"/>
          <w:b/>
          <w:sz w:val="30"/>
          <w:szCs w:val="30"/>
        </w:rPr>
      </w:pPr>
      <w:r>
        <w:rPr>
          <w:rFonts w:hint="eastAsia" w:ascii="宋体" w:hAnsi="宋体" w:cs="宋体"/>
          <w:b/>
          <w:szCs w:val="21"/>
        </w:rPr>
        <w:br w:type="page"/>
      </w:r>
    </w:p>
    <w:p w14:paraId="6E7D6715">
      <w:pPr>
        <w:pStyle w:val="4"/>
        <w:spacing w:line="460" w:lineRule="exact"/>
        <w:jc w:val="center"/>
        <w:rPr>
          <w:sz w:val="30"/>
          <w:szCs w:val="30"/>
        </w:rPr>
      </w:pPr>
      <w:r>
        <w:rPr>
          <w:rFonts w:hint="eastAsia"/>
          <w:sz w:val="30"/>
          <w:szCs w:val="30"/>
        </w:rPr>
        <w:t>第四章  投标文件格式</w:t>
      </w:r>
    </w:p>
    <w:p w14:paraId="76CB1498">
      <w:pPr>
        <w:spacing w:line="460" w:lineRule="exact"/>
        <w:jc w:val="center"/>
        <w:rPr>
          <w:rFonts w:ascii="宋体" w:hAnsi="宋体" w:cs="宋体"/>
          <w:b/>
          <w:sz w:val="30"/>
          <w:szCs w:val="30"/>
        </w:rPr>
      </w:pPr>
      <w:r>
        <w:rPr>
          <w:rFonts w:hint="eastAsia" w:ascii="宋体" w:hAnsi="宋体" w:cs="宋体"/>
          <w:b/>
          <w:sz w:val="30"/>
          <w:szCs w:val="30"/>
        </w:rPr>
        <w:t>响 应 函 （格式）</w:t>
      </w:r>
    </w:p>
    <w:p w14:paraId="18CF8E24">
      <w:pPr>
        <w:spacing w:line="460" w:lineRule="exact"/>
        <w:ind w:firstLine="420" w:firstLineChars="200"/>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：桂林市人民医院   </w:t>
      </w:r>
    </w:p>
    <w:p w14:paraId="42B64CCF">
      <w:pPr>
        <w:pStyle w:val="11"/>
        <w:spacing w:line="460" w:lineRule="exact"/>
        <w:ind w:firstLine="420"/>
        <w:rPr>
          <w:rFonts w:hAnsi="宋体"/>
          <w:sz w:val="21"/>
          <w:szCs w:val="21"/>
        </w:rPr>
      </w:pPr>
      <w:r>
        <w:rPr>
          <w:rFonts w:hint="eastAsia" w:hAnsi="宋体"/>
          <w:sz w:val="21"/>
          <w:szCs w:val="21"/>
        </w:rPr>
        <w:t>根据贵方</w:t>
      </w:r>
      <w:r>
        <w:rPr>
          <w:rFonts w:hint="eastAsia" w:hAnsi="宋体"/>
          <w:sz w:val="21"/>
          <w:szCs w:val="21"/>
          <w:u w:val="single"/>
        </w:rPr>
        <w:t xml:space="preserve">           </w:t>
      </w:r>
      <w:r>
        <w:rPr>
          <w:rFonts w:hint="eastAsia" w:hAnsi="宋体"/>
          <w:sz w:val="21"/>
          <w:szCs w:val="21"/>
        </w:rPr>
        <w:t>项目招标文件，项目编号</w:t>
      </w:r>
      <w:r>
        <w:rPr>
          <w:rFonts w:hint="eastAsia" w:hAnsi="宋体"/>
          <w:sz w:val="21"/>
          <w:szCs w:val="21"/>
          <w:u w:val="single"/>
        </w:rPr>
        <w:t xml:space="preserve">            </w:t>
      </w:r>
      <w:r>
        <w:rPr>
          <w:rFonts w:hint="eastAsia" w:hAnsi="宋体"/>
          <w:sz w:val="21"/>
          <w:szCs w:val="21"/>
        </w:rPr>
        <w:t>，签字代表</w:t>
      </w:r>
      <w:r>
        <w:rPr>
          <w:rFonts w:hint="eastAsia" w:hAnsi="宋体"/>
          <w:sz w:val="21"/>
          <w:szCs w:val="21"/>
          <w:u w:val="single"/>
        </w:rPr>
        <w:t xml:space="preserve">         </w:t>
      </w:r>
      <w:r>
        <w:rPr>
          <w:rFonts w:hint="eastAsia" w:hAnsi="宋体"/>
          <w:sz w:val="21"/>
          <w:szCs w:val="21"/>
        </w:rPr>
        <w:t xml:space="preserve">（姓名）经正式授权并代表投标人 </w:t>
      </w:r>
      <w:r>
        <w:rPr>
          <w:rFonts w:hint="eastAsia" w:hAnsi="宋体"/>
          <w:sz w:val="21"/>
          <w:szCs w:val="21"/>
          <w:u w:val="single"/>
        </w:rPr>
        <w:t xml:space="preserve">                                   （</w:t>
      </w:r>
      <w:r>
        <w:rPr>
          <w:rFonts w:hint="eastAsia" w:hAnsi="宋体"/>
          <w:sz w:val="21"/>
          <w:szCs w:val="21"/>
        </w:rPr>
        <w:t>投标单位名称），提交投标文件</w:t>
      </w:r>
      <w:r>
        <w:rPr>
          <w:rFonts w:hint="eastAsia" w:hAnsi="宋体" w:cs="宋体"/>
          <w:sz w:val="21"/>
          <w:szCs w:val="21"/>
        </w:rPr>
        <w:t>正本一份，副本六份。</w:t>
      </w:r>
    </w:p>
    <w:p w14:paraId="2EDB9EB2">
      <w:pPr>
        <w:pStyle w:val="11"/>
        <w:spacing w:line="460" w:lineRule="exact"/>
        <w:ind w:firstLine="420"/>
        <w:rPr>
          <w:rFonts w:hAnsi="宋体"/>
          <w:sz w:val="21"/>
          <w:szCs w:val="21"/>
        </w:rPr>
      </w:pPr>
      <w:r>
        <w:rPr>
          <w:rFonts w:hint="eastAsia" w:hAnsi="宋体"/>
          <w:sz w:val="21"/>
          <w:szCs w:val="21"/>
        </w:rPr>
        <w:t>据此函，签字代表宣布同意如下：</w:t>
      </w:r>
    </w:p>
    <w:p w14:paraId="362E5A58">
      <w:pPr>
        <w:widowControl/>
        <w:numPr>
          <w:ilvl w:val="0"/>
          <w:numId w:val="6"/>
        </w:numPr>
        <w:spacing w:line="460" w:lineRule="exact"/>
        <w:jc w:val="left"/>
        <w:rPr>
          <w:rFonts w:ascii="宋体" w:hAnsi="宋体" w:cs="宋体"/>
          <w:szCs w:val="21"/>
        </w:rPr>
      </w:pPr>
      <w:r>
        <w:rPr>
          <w:rFonts w:hint="eastAsia" w:hAnsi="宋体"/>
          <w:szCs w:val="21"/>
        </w:rPr>
        <w:t>一、报价表</w:t>
      </w:r>
      <w:r>
        <w:rPr>
          <w:rFonts w:hint="eastAsia" w:ascii="宋体" w:hAnsi="宋体" w:cs="宋体"/>
          <w:szCs w:val="21"/>
        </w:rPr>
        <w:t>（单位：人民币  元）</w:t>
      </w:r>
    </w:p>
    <w:tbl>
      <w:tblPr>
        <w:tblStyle w:val="21"/>
        <w:tblW w:w="96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04"/>
        <w:gridCol w:w="915"/>
        <w:gridCol w:w="885"/>
        <w:gridCol w:w="3835"/>
        <w:gridCol w:w="1201"/>
      </w:tblGrid>
      <w:tr w14:paraId="65B50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exact"/>
          <w:jc w:val="center"/>
        </w:trPr>
        <w:tc>
          <w:tcPr>
            <w:tcW w:w="2804" w:type="dxa"/>
            <w:tcBorders>
              <w:top w:val="single" w:color="auto" w:sz="4" w:space="0"/>
              <w:left w:val="single" w:color="auto" w:sz="4" w:space="0"/>
              <w:bottom w:val="single" w:color="auto" w:sz="4" w:space="0"/>
              <w:right w:val="single" w:color="auto" w:sz="4" w:space="0"/>
            </w:tcBorders>
            <w:noWrap w:val="0"/>
            <w:vAlign w:val="center"/>
          </w:tcPr>
          <w:p w14:paraId="6CA08A10">
            <w:pPr>
              <w:spacing w:line="460" w:lineRule="exact"/>
              <w:jc w:val="center"/>
              <w:rPr>
                <w:rFonts w:hint="default" w:ascii="Arial" w:hAnsi="Arial" w:cs="Arial"/>
                <w:color w:val="auto"/>
                <w:szCs w:val="21"/>
                <w:highlight w:val="none"/>
              </w:rPr>
            </w:pPr>
            <w:r>
              <w:rPr>
                <w:rFonts w:hint="eastAsia" w:ascii="Arial" w:hAnsi="Arial" w:cs="Arial"/>
                <w:color w:val="auto"/>
                <w:szCs w:val="21"/>
                <w:highlight w:val="none"/>
                <w:lang w:val="en-US" w:eastAsia="zh-CN"/>
              </w:rPr>
              <w:t>项目</w:t>
            </w:r>
            <w:r>
              <w:rPr>
                <w:rFonts w:hint="default" w:ascii="Arial" w:hAnsi="Arial" w:cs="Arial"/>
                <w:color w:val="auto"/>
                <w:szCs w:val="21"/>
                <w:highlight w:val="none"/>
              </w:rPr>
              <w:t>名称</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E4CBAA5">
            <w:pPr>
              <w:spacing w:line="460" w:lineRule="exact"/>
              <w:jc w:val="center"/>
              <w:rPr>
                <w:rFonts w:hint="default" w:ascii="Arial" w:hAnsi="Arial" w:cs="Arial"/>
                <w:color w:val="auto"/>
                <w:szCs w:val="21"/>
                <w:highlight w:val="none"/>
              </w:rPr>
            </w:pPr>
            <w:r>
              <w:rPr>
                <w:rFonts w:hint="default" w:ascii="Arial" w:hAnsi="Arial" w:cs="Arial"/>
                <w:color w:val="auto"/>
                <w:szCs w:val="21"/>
                <w:highlight w:val="none"/>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D833F22">
            <w:pPr>
              <w:spacing w:line="460" w:lineRule="exact"/>
              <w:jc w:val="center"/>
              <w:rPr>
                <w:rFonts w:hint="default" w:ascii="Arial" w:hAnsi="Arial" w:cs="Arial"/>
                <w:color w:val="auto"/>
                <w:szCs w:val="21"/>
                <w:highlight w:val="none"/>
              </w:rPr>
            </w:pPr>
            <w:r>
              <w:rPr>
                <w:rFonts w:hint="default" w:ascii="Arial" w:hAnsi="Arial" w:cs="Arial"/>
                <w:color w:val="auto"/>
                <w:szCs w:val="21"/>
                <w:highlight w:val="none"/>
              </w:rPr>
              <w:t>数量</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73916AD1">
            <w:pPr>
              <w:spacing w:line="460" w:lineRule="exact"/>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报价</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5F69FE3">
            <w:pPr>
              <w:spacing w:line="460" w:lineRule="exact"/>
              <w:jc w:val="center"/>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备注</w:t>
            </w:r>
          </w:p>
        </w:tc>
      </w:tr>
      <w:tr w14:paraId="3370E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exact"/>
          <w:jc w:val="center"/>
        </w:trPr>
        <w:tc>
          <w:tcPr>
            <w:tcW w:w="2804" w:type="dxa"/>
            <w:tcBorders>
              <w:top w:val="single" w:color="auto" w:sz="4" w:space="0"/>
              <w:left w:val="single" w:color="auto" w:sz="4" w:space="0"/>
              <w:bottom w:val="single" w:color="auto" w:sz="4" w:space="0"/>
              <w:right w:val="single" w:color="auto" w:sz="4" w:space="0"/>
            </w:tcBorders>
            <w:noWrap w:val="0"/>
            <w:vAlign w:val="center"/>
          </w:tcPr>
          <w:p w14:paraId="758581C9">
            <w:pPr>
              <w:spacing w:line="460" w:lineRule="exact"/>
              <w:jc w:val="center"/>
              <w:rPr>
                <w:rFonts w:hint="default" w:ascii="Arial" w:hAnsi="Arial" w:cs="Arial"/>
                <w:color w:val="auto"/>
                <w:spacing w:val="20"/>
                <w:szCs w:val="21"/>
                <w:highlight w:val="none"/>
                <w:u w:val="single"/>
                <w:lang w:val="en-US"/>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53F268E6">
            <w:pPr>
              <w:spacing w:line="460" w:lineRule="exact"/>
              <w:jc w:val="center"/>
              <w:rPr>
                <w:rFonts w:hint="default" w:ascii="Arial" w:hAnsi="Arial" w:eastAsia="宋体" w:cs="Arial"/>
                <w:color w:val="auto"/>
                <w:spacing w:val="20"/>
                <w:szCs w:val="21"/>
                <w:highlight w:val="none"/>
                <w:lang w:val="en-US" w:eastAsia="zh-CN"/>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8B168A4">
            <w:pPr>
              <w:spacing w:line="460" w:lineRule="exact"/>
              <w:jc w:val="center"/>
              <w:rPr>
                <w:rFonts w:hint="default" w:ascii="Arial" w:hAnsi="Arial" w:eastAsia="宋体" w:cs="Arial"/>
                <w:color w:val="auto"/>
                <w:spacing w:val="20"/>
                <w:szCs w:val="21"/>
                <w:highlight w:val="none"/>
                <w:lang w:val="en-US" w:eastAsia="zh-CN"/>
              </w:rPr>
            </w:pPr>
          </w:p>
        </w:tc>
        <w:tc>
          <w:tcPr>
            <w:tcW w:w="3835" w:type="dxa"/>
            <w:tcBorders>
              <w:top w:val="single" w:color="auto" w:sz="4" w:space="0"/>
              <w:left w:val="single" w:color="auto" w:sz="4" w:space="0"/>
              <w:bottom w:val="single" w:color="auto" w:sz="4" w:space="0"/>
              <w:right w:val="single" w:color="auto" w:sz="4" w:space="0"/>
            </w:tcBorders>
            <w:noWrap w:val="0"/>
            <w:vAlign w:val="center"/>
          </w:tcPr>
          <w:p w14:paraId="4B16ED09">
            <w:pPr>
              <w:spacing w:line="460" w:lineRule="exact"/>
              <w:jc w:val="center"/>
              <w:rPr>
                <w:rFonts w:hint="default" w:ascii="Arial" w:hAnsi="Arial" w:eastAsia="宋体" w:cs="Arial"/>
                <w:color w:val="auto"/>
                <w:szCs w:val="21"/>
                <w:highlight w:val="none"/>
                <w:u w:val="single"/>
                <w:lang w:val="en-US" w:eastAsia="zh-CN"/>
              </w:rPr>
            </w:pPr>
            <w:r>
              <w:rPr>
                <w:rFonts w:hint="default" w:ascii="Arial" w:hAnsi="Arial" w:cs="Arial"/>
                <w:color w:val="auto"/>
                <w:szCs w:val="21"/>
                <w:highlight w:val="none"/>
              </w:rPr>
              <w:t>大写</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人民币</w:t>
            </w:r>
          </w:p>
          <w:p w14:paraId="1221D25D">
            <w:pPr>
              <w:spacing w:line="460" w:lineRule="exact"/>
              <w:jc w:val="center"/>
              <w:rPr>
                <w:rFonts w:hint="default" w:ascii="Arial" w:hAnsi="Arial" w:cs="Arial"/>
                <w:color w:val="auto"/>
                <w:spacing w:val="20"/>
                <w:szCs w:val="21"/>
                <w:highlight w:val="none"/>
              </w:rPr>
            </w:pPr>
            <w:r>
              <w:rPr>
                <w:rFonts w:hint="default" w:ascii="Arial" w:hAnsi="Arial" w:cs="Arial"/>
                <w:color w:val="auto"/>
                <w:szCs w:val="21"/>
                <w:highlight w:val="none"/>
              </w:rPr>
              <w:t>（小写</w:t>
            </w:r>
            <w:r>
              <w:rPr>
                <w:rFonts w:hint="eastAsia" w:ascii="Arial" w:hAnsi="Arial" w:cs="Arial"/>
                <w:color w:val="auto"/>
                <w:szCs w:val="21"/>
                <w:highlight w:val="none"/>
                <w:lang w:eastAsia="zh-CN"/>
              </w:rPr>
              <w:t>：</w:t>
            </w:r>
            <w:r>
              <w:rPr>
                <w:rFonts w:hint="default" w:ascii="Arial" w:hAnsi="Arial" w:cs="Arial"/>
                <w:color w:val="auto"/>
                <w:szCs w:val="21"/>
                <w:highlight w:val="none"/>
                <w:lang w:eastAsia="zh-CN"/>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06D0B437">
            <w:pPr>
              <w:spacing w:line="460" w:lineRule="exact"/>
              <w:jc w:val="center"/>
            </w:pPr>
          </w:p>
        </w:tc>
      </w:tr>
    </w:tbl>
    <w:p w14:paraId="2866D853">
      <w:pPr>
        <w:spacing w:line="460" w:lineRule="exact"/>
        <w:ind w:firstLine="420"/>
        <w:jc w:val="left"/>
        <w:rPr>
          <w:rFonts w:hint="eastAsia" w:ascii="宋体" w:hAnsi="宋体" w:eastAsia="宋体" w:cs="宋体"/>
          <w:b/>
          <w:bCs/>
          <w:szCs w:val="21"/>
        </w:rPr>
      </w:pPr>
      <w:r>
        <w:rPr>
          <w:rFonts w:hint="eastAsia" w:ascii="宋体" w:hAnsi="宋体" w:eastAsia="宋体" w:cs="宋体"/>
          <w:b/>
          <w:bCs/>
          <w:szCs w:val="21"/>
        </w:rPr>
        <w:t>注：</w:t>
      </w:r>
    </w:p>
    <w:p w14:paraId="6FD49E82">
      <w:pPr>
        <w:spacing w:line="460" w:lineRule="exact"/>
        <w:ind w:firstLine="420"/>
        <w:jc w:val="left"/>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kern w:val="0"/>
          <w:sz w:val="24"/>
          <w:lang w:val="en-US" w:eastAsia="zh-CN"/>
        </w:rPr>
        <w:t>根据“采购需求”中的“技术需求”逐项报价。</w:t>
      </w:r>
    </w:p>
    <w:p w14:paraId="20084795">
      <w:pPr>
        <w:spacing w:line="460" w:lineRule="exact"/>
        <w:ind w:firstLine="420"/>
        <w:jc w:val="left"/>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报价应综合考虑完成本项目产生的所有成本、税金及合理利润，具体包含但不限于完成采购标的包含的人工费用、交通费、税金、利润等所有成本费用。在合同实施时，采购人将不予支付完成本项目必须的但成交人没有列入的费用，并认为此费用已包括在报价中。</w:t>
      </w:r>
    </w:p>
    <w:p w14:paraId="7D0F6A27">
      <w:pPr>
        <w:spacing w:line="460" w:lineRule="exact"/>
        <w:ind w:firstLine="42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.投标人应根据所提供的服务如实填写报价表的各项内容。</w:t>
      </w:r>
    </w:p>
    <w:p w14:paraId="5FF2F65B">
      <w:pPr>
        <w:spacing w:line="460" w:lineRule="exact"/>
        <w:ind w:firstLine="420" w:firstLineChars="200"/>
        <w:jc w:val="left"/>
        <w:rPr>
          <w:rFonts w:hAnsi="宋体"/>
          <w:szCs w:val="21"/>
        </w:rPr>
      </w:pPr>
      <w:r>
        <w:rPr>
          <w:rFonts w:hint="eastAsia" w:ascii="宋体" w:hAnsi="宋体" w:cs="宋体"/>
          <w:szCs w:val="21"/>
          <w:lang w:val="en-US" w:eastAsia="zh-CN"/>
        </w:rPr>
        <w:t>4</w:t>
      </w:r>
      <w:r>
        <w:rPr>
          <w:rFonts w:hint="eastAsia" w:ascii="宋体" w:hAnsi="宋体" w:cs="宋体"/>
          <w:szCs w:val="21"/>
        </w:rPr>
        <w:t>.报价表须由法定代表人、负责人或相应的委托代理人签字或盖章并加盖供应商公章。当本表由多页构成时，需逐页加盖投标人公章。</w:t>
      </w:r>
    </w:p>
    <w:p w14:paraId="38633780">
      <w:pPr>
        <w:pStyle w:val="11"/>
        <w:spacing w:line="460" w:lineRule="exact"/>
        <w:ind w:firstLine="420"/>
        <w:rPr>
          <w:rFonts w:hAnsi="宋体"/>
          <w:sz w:val="21"/>
          <w:szCs w:val="21"/>
        </w:rPr>
      </w:pPr>
      <w:r>
        <w:rPr>
          <w:rFonts w:hint="eastAsia" w:hAnsi="宋体"/>
          <w:sz w:val="21"/>
          <w:szCs w:val="21"/>
        </w:rPr>
        <w:t>二、我方承诺已具备</w:t>
      </w:r>
      <w:r>
        <w:rPr>
          <w:rFonts w:hint="eastAsia" w:hAnsi="宋体" w:cs="宋体"/>
          <w:sz w:val="21"/>
          <w:szCs w:val="21"/>
        </w:rPr>
        <w:t>招标</w:t>
      </w:r>
      <w:r>
        <w:rPr>
          <w:rFonts w:hint="eastAsia" w:hAnsi="宋体"/>
          <w:sz w:val="21"/>
          <w:szCs w:val="21"/>
        </w:rPr>
        <w:t>文件规定的投标人资格条件。</w:t>
      </w:r>
    </w:p>
    <w:p w14:paraId="03D69ED4">
      <w:pPr>
        <w:pStyle w:val="3"/>
        <w:spacing w:line="460" w:lineRule="exact"/>
        <w:ind w:firstLine="420"/>
        <w:rPr>
          <w:rFonts w:ascii="宋体" w:hAnsi="宋体" w:cs="宋体"/>
          <w:szCs w:val="21"/>
        </w:rPr>
      </w:pPr>
      <w:r>
        <w:rPr>
          <w:rFonts w:hint="eastAsia"/>
        </w:rPr>
        <w:t>三、</w:t>
      </w:r>
      <w:r>
        <w:rPr>
          <w:rFonts w:hint="eastAsia" w:ascii="宋体" w:hAnsi="宋体" w:cs="宋体"/>
          <w:szCs w:val="21"/>
        </w:rPr>
        <w:t>我方已详细了解本项目，将自行承担因对本项目理解不正确或误解而产生的相应后果。</w:t>
      </w:r>
    </w:p>
    <w:p w14:paraId="1D3E88FD">
      <w:pPr>
        <w:pStyle w:val="3"/>
        <w:spacing w:line="460" w:lineRule="exact"/>
        <w:ind w:firstLine="420"/>
        <w:rPr>
          <w:rFonts w:ascii="宋体" w:hAnsi="宋体" w:cs="宋体"/>
          <w:szCs w:val="21"/>
        </w:rPr>
      </w:pPr>
      <w:r>
        <w:rPr>
          <w:rFonts w:hint="eastAsia" w:ascii="宋体" w:hAnsi="宋体" w:cs="宋体"/>
          <w:szCs w:val="21"/>
        </w:rPr>
        <w:t>与本项目有关的正式通讯地址为：</w:t>
      </w:r>
    </w:p>
    <w:p w14:paraId="42D0A206">
      <w:pPr>
        <w:pStyle w:val="11"/>
        <w:spacing w:line="460" w:lineRule="exact"/>
        <w:ind w:firstLine="420"/>
        <w:rPr>
          <w:rFonts w:hAnsi="宋体" w:cs="宋体"/>
          <w:sz w:val="21"/>
          <w:szCs w:val="21"/>
        </w:rPr>
      </w:pPr>
      <w:r>
        <w:rPr>
          <w:rFonts w:hint="eastAsia" w:hAnsi="宋体" w:cs="宋体"/>
          <w:sz w:val="21"/>
          <w:szCs w:val="21"/>
        </w:rPr>
        <w:t xml:space="preserve">地址：   </w:t>
      </w:r>
    </w:p>
    <w:p w14:paraId="5AAABBAF">
      <w:pPr>
        <w:pStyle w:val="11"/>
        <w:spacing w:line="460" w:lineRule="exact"/>
        <w:ind w:firstLine="420"/>
        <w:rPr>
          <w:rFonts w:hAnsi="宋体" w:cs="宋体"/>
          <w:sz w:val="21"/>
          <w:szCs w:val="21"/>
        </w:rPr>
      </w:pPr>
      <w:r>
        <w:rPr>
          <w:rFonts w:hint="eastAsia" w:hAnsi="宋体" w:cs="宋体"/>
          <w:sz w:val="21"/>
          <w:szCs w:val="21"/>
        </w:rPr>
        <w:t>邮编：               邮箱：</w:t>
      </w:r>
    </w:p>
    <w:p w14:paraId="57013878">
      <w:pPr>
        <w:pStyle w:val="11"/>
        <w:spacing w:line="460" w:lineRule="exact"/>
        <w:ind w:firstLine="420"/>
        <w:rPr>
          <w:rFonts w:hAnsi="宋体" w:cs="宋体"/>
          <w:sz w:val="21"/>
          <w:szCs w:val="21"/>
          <w:u w:val="single"/>
        </w:rPr>
      </w:pPr>
      <w:r>
        <w:rPr>
          <w:rFonts w:hint="eastAsia" w:hAnsi="宋体" w:cs="宋体"/>
          <w:sz w:val="21"/>
          <w:szCs w:val="21"/>
        </w:rPr>
        <w:t>办公电话：           传真：</w:t>
      </w:r>
    </w:p>
    <w:p w14:paraId="5876EA28">
      <w:pPr>
        <w:pStyle w:val="11"/>
        <w:spacing w:line="460" w:lineRule="exact"/>
        <w:ind w:firstLine="420"/>
        <w:rPr>
          <w:rFonts w:hAnsi="宋体" w:cs="宋体"/>
          <w:sz w:val="21"/>
          <w:szCs w:val="21"/>
          <w:u w:val="single"/>
        </w:rPr>
      </w:pPr>
      <w:r>
        <w:rPr>
          <w:rFonts w:hint="eastAsia" w:hAnsi="宋体" w:cs="宋体"/>
          <w:sz w:val="21"/>
          <w:szCs w:val="21"/>
        </w:rPr>
        <w:t>委托代理人联系电话：</w:t>
      </w:r>
    </w:p>
    <w:p w14:paraId="1EDB47F0">
      <w:pPr>
        <w:pStyle w:val="11"/>
        <w:spacing w:line="460" w:lineRule="exact"/>
        <w:ind w:firstLine="420"/>
        <w:rPr>
          <w:rFonts w:hAnsi="宋体" w:cs="宋体"/>
          <w:sz w:val="21"/>
          <w:szCs w:val="21"/>
        </w:rPr>
      </w:pPr>
      <w:r>
        <w:rPr>
          <w:rFonts w:hint="eastAsia" w:hAnsi="宋体" w:cs="宋体"/>
          <w:sz w:val="21"/>
          <w:szCs w:val="21"/>
        </w:rPr>
        <w:t>投标人（公章）：</w:t>
      </w:r>
    </w:p>
    <w:p w14:paraId="764F2816">
      <w:pPr>
        <w:pStyle w:val="11"/>
        <w:spacing w:line="460" w:lineRule="exact"/>
        <w:ind w:firstLine="420"/>
        <w:rPr>
          <w:rFonts w:hAnsi="宋体" w:cs="宋体"/>
          <w:sz w:val="21"/>
          <w:szCs w:val="21"/>
        </w:rPr>
      </w:pPr>
      <w:r>
        <w:rPr>
          <w:rFonts w:hint="eastAsia" w:hAnsi="宋体" w:cs="宋体"/>
          <w:sz w:val="21"/>
          <w:szCs w:val="21"/>
        </w:rPr>
        <w:t>法定代表人（负责人）或相应的委托代理人签字：</w:t>
      </w:r>
    </w:p>
    <w:p w14:paraId="083F7515">
      <w:pPr>
        <w:pStyle w:val="11"/>
        <w:spacing w:line="460" w:lineRule="exact"/>
        <w:ind w:firstLine="420"/>
        <w:jc w:val="left"/>
        <w:rPr>
          <w:rFonts w:hAnsi="宋体" w:cs="宋体"/>
          <w:b/>
          <w:sz w:val="30"/>
          <w:szCs w:val="30"/>
        </w:rPr>
      </w:pPr>
      <w:r>
        <w:rPr>
          <w:rFonts w:hint="eastAsia" w:hAnsi="宋体" w:cs="宋体"/>
          <w:sz w:val="21"/>
          <w:szCs w:val="21"/>
        </w:rPr>
        <w:t>日期：</w:t>
      </w:r>
      <w:r>
        <w:rPr>
          <w:rFonts w:hint="eastAsia" w:hAnsi="宋体" w:cs="宋体"/>
          <w:sz w:val="21"/>
          <w:szCs w:val="21"/>
        </w:rPr>
        <w:br w:type="page"/>
      </w:r>
    </w:p>
    <w:p w14:paraId="0AD91945">
      <w:pPr>
        <w:pStyle w:val="11"/>
        <w:spacing w:line="460" w:lineRule="exact"/>
        <w:ind w:firstLine="590" w:firstLineChars="196"/>
        <w:jc w:val="center"/>
        <w:rPr>
          <w:rFonts w:hAnsi="宋体" w:cs="宋体"/>
          <w:b/>
          <w:sz w:val="30"/>
          <w:szCs w:val="30"/>
        </w:rPr>
      </w:pPr>
      <w:r>
        <w:rPr>
          <w:rFonts w:hint="eastAsia" w:hAnsi="宋体" w:cs="宋体"/>
          <w:b/>
          <w:sz w:val="30"/>
          <w:szCs w:val="30"/>
        </w:rPr>
        <w:t>法人授权委托书（格式）</w:t>
      </w:r>
    </w:p>
    <w:p w14:paraId="2B35FC96">
      <w:pPr>
        <w:spacing w:line="460" w:lineRule="exact"/>
        <w:jc w:val="left"/>
        <w:rPr>
          <w:rFonts w:ascii="宋体" w:hAnsi="宋体" w:cs="宋体"/>
          <w:sz w:val="24"/>
        </w:rPr>
      </w:pPr>
    </w:p>
    <w:p w14:paraId="41A799F8">
      <w:pPr>
        <w:spacing w:line="46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4707562E">
      <w:pPr>
        <w:spacing w:line="460" w:lineRule="exact"/>
        <w:ind w:firstLine="420"/>
        <w:jc w:val="left"/>
        <w:rPr>
          <w:rFonts w:ascii="宋体" w:hAnsi="宋体" w:cs="宋体"/>
          <w:sz w:val="24"/>
        </w:rPr>
      </w:pPr>
      <w:r>
        <w:rPr>
          <w:rFonts w:hint="eastAsia" w:ascii="宋体" w:hAnsi="宋体" w:cs="宋体"/>
          <w:sz w:val="24"/>
        </w:rPr>
        <w:t>我（姓名）系（供应商名称）的法定代表人（负责人），现授权委托本单位在职职工（姓名）以我方名义参加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5DC905FD">
      <w:pPr>
        <w:spacing w:line="460" w:lineRule="exact"/>
        <w:ind w:firstLine="420"/>
        <w:jc w:val="left"/>
        <w:rPr>
          <w:rFonts w:ascii="宋体" w:hAnsi="宋体" w:cs="宋体"/>
          <w:sz w:val="24"/>
        </w:rPr>
      </w:pPr>
      <w:r>
        <w:rPr>
          <w:rFonts w:hint="eastAsia" w:ascii="宋体" w:hAnsi="宋体" w:cs="宋体"/>
          <w:sz w:val="24"/>
        </w:rPr>
        <w:t>我方对被授权人的签字事项负全部责任。</w:t>
      </w:r>
    </w:p>
    <w:p w14:paraId="7696275E">
      <w:pPr>
        <w:spacing w:line="46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523A605F">
      <w:pPr>
        <w:spacing w:line="460" w:lineRule="exact"/>
        <w:jc w:val="left"/>
        <w:rPr>
          <w:rFonts w:ascii="宋体" w:hAnsi="宋体" w:cs="宋体"/>
          <w:sz w:val="24"/>
          <w:u w:val="single"/>
        </w:rPr>
      </w:pPr>
    </w:p>
    <w:p w14:paraId="61F099EE">
      <w:pPr>
        <w:spacing w:line="460" w:lineRule="exact"/>
        <w:ind w:firstLine="420"/>
        <w:jc w:val="left"/>
        <w:rPr>
          <w:rFonts w:ascii="宋体" w:hAnsi="宋体" w:cs="宋体"/>
          <w:sz w:val="24"/>
        </w:rPr>
      </w:pPr>
      <w:r>
        <w:rPr>
          <w:rFonts w:hint="eastAsia" w:ascii="宋体" w:hAnsi="宋体" w:cs="宋体"/>
          <w:sz w:val="24"/>
        </w:rPr>
        <w:t xml:space="preserve">代理人无转委托权,特此委托。 </w:t>
      </w:r>
    </w:p>
    <w:p w14:paraId="4F639D12">
      <w:pPr>
        <w:snapToGrid w:val="0"/>
        <w:spacing w:line="460" w:lineRule="exact"/>
        <w:ind w:firstLine="525"/>
        <w:jc w:val="left"/>
        <w:rPr>
          <w:rFonts w:ascii="宋体" w:hAnsi="宋体" w:cs="宋体"/>
          <w:sz w:val="24"/>
        </w:rPr>
      </w:pPr>
    </w:p>
    <w:p w14:paraId="64F47B10">
      <w:pPr>
        <w:snapToGrid w:val="0"/>
        <w:spacing w:line="460" w:lineRule="exact"/>
        <w:ind w:firstLine="420"/>
        <w:jc w:val="left"/>
        <w:rPr>
          <w:rFonts w:ascii="宋体" w:hAnsi="宋体" w:cs="宋体"/>
          <w:sz w:val="24"/>
        </w:rPr>
      </w:pPr>
      <w:r>
        <w:rPr>
          <w:rFonts w:hint="eastAsia" w:ascii="宋体" w:hAnsi="宋体" w:cs="宋体"/>
          <w:sz w:val="24"/>
        </w:rPr>
        <w:t>我已在下面签字，以资证明。</w:t>
      </w:r>
    </w:p>
    <w:p w14:paraId="4A74AD96">
      <w:pPr>
        <w:snapToGrid w:val="0"/>
        <w:spacing w:line="460" w:lineRule="exact"/>
        <w:ind w:firstLine="420"/>
        <w:jc w:val="left"/>
        <w:rPr>
          <w:rFonts w:ascii="宋体" w:hAnsi="宋体" w:cs="宋体"/>
          <w:sz w:val="24"/>
        </w:rPr>
      </w:pPr>
    </w:p>
    <w:p w14:paraId="031FCD6A">
      <w:pPr>
        <w:snapToGrid w:val="0"/>
        <w:spacing w:line="460" w:lineRule="exact"/>
        <w:ind w:firstLine="420"/>
        <w:jc w:val="left"/>
        <w:rPr>
          <w:rFonts w:ascii="宋体" w:hAnsi="宋体" w:cs="宋体"/>
          <w:sz w:val="24"/>
        </w:rPr>
      </w:pPr>
    </w:p>
    <w:p w14:paraId="50F57554">
      <w:pPr>
        <w:snapToGrid w:val="0"/>
        <w:spacing w:line="460" w:lineRule="exact"/>
        <w:ind w:firstLine="420"/>
        <w:jc w:val="left"/>
        <w:rPr>
          <w:rFonts w:ascii="宋体" w:hAnsi="宋体" w:cs="宋体"/>
          <w:sz w:val="24"/>
          <w:u w:val="single"/>
        </w:rPr>
      </w:pPr>
      <w:r>
        <w:rPr>
          <w:rFonts w:hint="eastAsia" w:ascii="宋体" w:hAnsi="宋体" w:cs="宋体"/>
          <w:sz w:val="24"/>
        </w:rPr>
        <w:t>投标人（公章）：</w:t>
      </w:r>
    </w:p>
    <w:p w14:paraId="6178712E">
      <w:pPr>
        <w:snapToGrid w:val="0"/>
        <w:spacing w:line="460" w:lineRule="exact"/>
        <w:ind w:firstLine="420"/>
        <w:jc w:val="left"/>
        <w:rPr>
          <w:rFonts w:ascii="宋体" w:hAnsi="宋体" w:cs="宋体"/>
          <w:sz w:val="24"/>
        </w:rPr>
      </w:pPr>
    </w:p>
    <w:p w14:paraId="333689AE">
      <w:pPr>
        <w:snapToGrid w:val="0"/>
        <w:spacing w:line="460" w:lineRule="exact"/>
        <w:ind w:firstLine="420"/>
        <w:jc w:val="left"/>
        <w:rPr>
          <w:rFonts w:ascii="宋体" w:hAnsi="宋体" w:cs="宋体"/>
          <w:sz w:val="24"/>
        </w:rPr>
      </w:pPr>
      <w:r>
        <w:rPr>
          <w:rFonts w:hint="eastAsia" w:ascii="宋体" w:hAnsi="宋体" w:cs="宋体"/>
          <w:sz w:val="24"/>
        </w:rPr>
        <w:t>法定代表人（负责人）签字或盖章：  年  月  日</w:t>
      </w:r>
    </w:p>
    <w:p w14:paraId="6739F021">
      <w:pPr>
        <w:spacing w:line="460" w:lineRule="exact"/>
        <w:rPr>
          <w:rFonts w:ascii="宋体" w:hAnsi="宋体" w:cs="宋体"/>
          <w:b/>
          <w:sz w:val="30"/>
          <w:szCs w:val="30"/>
        </w:rPr>
      </w:pPr>
      <w:r>
        <w:rPr>
          <w:rFonts w:hint="eastAsia" w:ascii="宋体" w:hAnsi="宋体" w:cs="宋体"/>
          <w:b/>
          <w:bCs/>
          <w:sz w:val="24"/>
        </w:rPr>
        <w:br w:type="page"/>
      </w:r>
    </w:p>
    <w:p w14:paraId="64E118B2">
      <w:pPr>
        <w:spacing w:line="460" w:lineRule="exact"/>
        <w:jc w:val="center"/>
        <w:rPr>
          <w:rFonts w:ascii="宋体" w:hAnsi="宋体" w:cs="宋体"/>
          <w:b/>
          <w:sz w:val="30"/>
          <w:szCs w:val="30"/>
        </w:rPr>
      </w:pPr>
      <w:r>
        <w:rPr>
          <w:rFonts w:hint="eastAsia" w:ascii="宋体" w:hAnsi="宋体" w:cs="宋体"/>
          <w:b/>
          <w:sz w:val="30"/>
          <w:szCs w:val="30"/>
        </w:rPr>
        <w:t>技术需求响应表</w:t>
      </w:r>
    </w:p>
    <w:p w14:paraId="7F170B0E">
      <w:pPr>
        <w:spacing w:line="460" w:lineRule="exact"/>
        <w:rPr>
          <w:rFonts w:ascii="宋体" w:hAnsi="宋体" w:cs="宋体"/>
          <w:sz w:val="24"/>
        </w:rPr>
      </w:pPr>
    </w:p>
    <w:p w14:paraId="1344C863">
      <w:pPr>
        <w:spacing w:line="46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67DADE8F">
      <w:pPr>
        <w:spacing w:line="46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2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1BD2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5A6DCB0">
            <w:pPr>
              <w:widowControl/>
              <w:spacing w:line="46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300212B6">
            <w:pPr>
              <w:widowControl/>
              <w:spacing w:line="46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2BC2BE49">
            <w:pPr>
              <w:widowControl/>
              <w:spacing w:line="46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0C4A7033">
            <w:pPr>
              <w:spacing w:line="46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5CF5E1B5">
            <w:pPr>
              <w:spacing w:line="46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716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32E8FA8D">
            <w:pPr>
              <w:widowControl/>
              <w:spacing w:line="46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5C5714B9">
            <w:pPr>
              <w:widowControl/>
              <w:spacing w:line="460" w:lineRule="exact"/>
              <w:jc w:val="center"/>
              <w:rPr>
                <w:rFonts w:asciiTheme="minorEastAsia" w:hAnsiTheme="minorEastAsia" w:eastAsiaTheme="minorEastAsia" w:cstheme="minorEastAsia"/>
                <w:b/>
                <w:bCs/>
                <w:spacing w:val="1"/>
                <w:sz w:val="24"/>
              </w:rPr>
            </w:pPr>
          </w:p>
        </w:tc>
        <w:tc>
          <w:tcPr>
            <w:tcW w:w="3874" w:type="dxa"/>
            <w:vAlign w:val="center"/>
          </w:tcPr>
          <w:p w14:paraId="56135A0B">
            <w:pPr>
              <w:spacing w:line="460" w:lineRule="exact"/>
              <w:rPr>
                <w:rFonts w:asciiTheme="minorEastAsia" w:hAnsiTheme="minorEastAsia" w:eastAsiaTheme="minorEastAsia" w:cstheme="minorEastAsia"/>
                <w:b/>
                <w:bCs/>
                <w:spacing w:val="1"/>
                <w:sz w:val="24"/>
              </w:rPr>
            </w:pPr>
          </w:p>
        </w:tc>
        <w:tc>
          <w:tcPr>
            <w:tcW w:w="2400" w:type="dxa"/>
            <w:vAlign w:val="center"/>
          </w:tcPr>
          <w:p w14:paraId="1156F68A">
            <w:pPr>
              <w:spacing w:line="460" w:lineRule="exact"/>
              <w:outlineLvl w:val="0"/>
              <w:rPr>
                <w:rFonts w:asciiTheme="minorEastAsia" w:hAnsiTheme="minorEastAsia" w:eastAsiaTheme="minorEastAsia" w:cstheme="minorEastAsia"/>
                <w:b/>
                <w:bCs/>
                <w:spacing w:val="1"/>
                <w:sz w:val="24"/>
              </w:rPr>
            </w:pPr>
          </w:p>
        </w:tc>
        <w:tc>
          <w:tcPr>
            <w:tcW w:w="1083" w:type="dxa"/>
            <w:vAlign w:val="center"/>
          </w:tcPr>
          <w:p w14:paraId="4EBE6989">
            <w:pPr>
              <w:spacing w:line="460" w:lineRule="exact"/>
              <w:outlineLvl w:val="0"/>
              <w:rPr>
                <w:rFonts w:asciiTheme="minorEastAsia" w:hAnsiTheme="minorEastAsia" w:eastAsiaTheme="minorEastAsia" w:cstheme="minorEastAsia"/>
                <w:b/>
                <w:bCs/>
                <w:spacing w:val="1"/>
                <w:sz w:val="24"/>
              </w:rPr>
            </w:pPr>
          </w:p>
        </w:tc>
      </w:tr>
      <w:tr w14:paraId="541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47D6BE">
            <w:pPr>
              <w:widowControl/>
              <w:spacing w:line="46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8B8B347">
            <w:pPr>
              <w:widowControl/>
              <w:spacing w:line="460" w:lineRule="exact"/>
              <w:jc w:val="center"/>
              <w:rPr>
                <w:rFonts w:asciiTheme="minorEastAsia" w:hAnsiTheme="minorEastAsia" w:eastAsiaTheme="minorEastAsia" w:cstheme="minorEastAsia"/>
                <w:kern w:val="0"/>
                <w:sz w:val="24"/>
              </w:rPr>
            </w:pPr>
          </w:p>
        </w:tc>
        <w:tc>
          <w:tcPr>
            <w:tcW w:w="3874" w:type="dxa"/>
            <w:vAlign w:val="center"/>
          </w:tcPr>
          <w:p w14:paraId="608BBE14">
            <w:pPr>
              <w:widowControl/>
              <w:spacing w:line="460" w:lineRule="exact"/>
              <w:jc w:val="left"/>
              <w:rPr>
                <w:rFonts w:asciiTheme="minorEastAsia" w:hAnsiTheme="minorEastAsia" w:eastAsiaTheme="minorEastAsia" w:cstheme="minorEastAsia"/>
                <w:kern w:val="0"/>
                <w:sz w:val="24"/>
              </w:rPr>
            </w:pPr>
          </w:p>
        </w:tc>
        <w:tc>
          <w:tcPr>
            <w:tcW w:w="2400" w:type="dxa"/>
          </w:tcPr>
          <w:p w14:paraId="6DAE9F49">
            <w:pPr>
              <w:pStyle w:val="36"/>
              <w:spacing w:line="460" w:lineRule="exact"/>
              <w:ind w:firstLine="0" w:firstLineChars="0"/>
              <w:jc w:val="left"/>
              <w:rPr>
                <w:rFonts w:asciiTheme="minorEastAsia" w:hAnsiTheme="minorEastAsia" w:eastAsiaTheme="minorEastAsia" w:cstheme="minorEastAsia"/>
                <w:kern w:val="0"/>
                <w:sz w:val="24"/>
                <w:szCs w:val="24"/>
              </w:rPr>
            </w:pPr>
          </w:p>
        </w:tc>
        <w:tc>
          <w:tcPr>
            <w:tcW w:w="1083" w:type="dxa"/>
          </w:tcPr>
          <w:p w14:paraId="2BFF6ECF">
            <w:pPr>
              <w:pStyle w:val="36"/>
              <w:spacing w:line="460" w:lineRule="exact"/>
              <w:ind w:firstLine="0" w:firstLineChars="0"/>
              <w:jc w:val="left"/>
              <w:rPr>
                <w:rFonts w:asciiTheme="minorEastAsia" w:hAnsiTheme="minorEastAsia" w:eastAsiaTheme="minorEastAsia" w:cstheme="minorEastAsia"/>
                <w:kern w:val="0"/>
                <w:sz w:val="24"/>
                <w:szCs w:val="24"/>
              </w:rPr>
            </w:pPr>
          </w:p>
        </w:tc>
      </w:tr>
      <w:tr w14:paraId="2BDB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AFE6BF7">
            <w:pPr>
              <w:widowControl/>
              <w:spacing w:line="46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3D9242B7">
            <w:pPr>
              <w:widowControl/>
              <w:spacing w:line="460" w:lineRule="exact"/>
              <w:jc w:val="center"/>
              <w:rPr>
                <w:rFonts w:asciiTheme="minorEastAsia" w:hAnsiTheme="minorEastAsia" w:eastAsiaTheme="minorEastAsia" w:cstheme="minorEastAsia"/>
                <w:kern w:val="0"/>
                <w:sz w:val="24"/>
              </w:rPr>
            </w:pPr>
          </w:p>
        </w:tc>
        <w:tc>
          <w:tcPr>
            <w:tcW w:w="3874" w:type="dxa"/>
            <w:vAlign w:val="center"/>
          </w:tcPr>
          <w:p w14:paraId="2DF47D71">
            <w:pPr>
              <w:spacing w:line="460" w:lineRule="exact"/>
              <w:jc w:val="left"/>
              <w:rPr>
                <w:rFonts w:asciiTheme="minorEastAsia" w:hAnsiTheme="minorEastAsia" w:eastAsiaTheme="minorEastAsia" w:cstheme="minorEastAsia"/>
                <w:kern w:val="0"/>
                <w:sz w:val="24"/>
              </w:rPr>
            </w:pPr>
          </w:p>
        </w:tc>
        <w:tc>
          <w:tcPr>
            <w:tcW w:w="2400" w:type="dxa"/>
          </w:tcPr>
          <w:p w14:paraId="4744EA0E">
            <w:pPr>
              <w:pStyle w:val="36"/>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7A2D2F85">
            <w:pPr>
              <w:pStyle w:val="36"/>
              <w:spacing w:line="460" w:lineRule="exact"/>
              <w:ind w:firstLine="0" w:firstLineChars="0"/>
              <w:rPr>
                <w:rFonts w:asciiTheme="minorEastAsia" w:hAnsiTheme="minorEastAsia" w:eastAsiaTheme="minorEastAsia" w:cstheme="minorEastAsia"/>
                <w:kern w:val="0"/>
                <w:sz w:val="24"/>
                <w:szCs w:val="24"/>
              </w:rPr>
            </w:pPr>
          </w:p>
        </w:tc>
      </w:tr>
      <w:tr w14:paraId="70E3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EFC26FB">
            <w:pPr>
              <w:widowControl/>
              <w:spacing w:line="46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45332B78">
            <w:pPr>
              <w:widowControl/>
              <w:spacing w:line="460" w:lineRule="exact"/>
              <w:jc w:val="center"/>
              <w:rPr>
                <w:rFonts w:asciiTheme="minorEastAsia" w:hAnsiTheme="minorEastAsia" w:eastAsiaTheme="minorEastAsia" w:cstheme="minorEastAsia"/>
                <w:kern w:val="0"/>
                <w:sz w:val="24"/>
              </w:rPr>
            </w:pPr>
          </w:p>
        </w:tc>
        <w:tc>
          <w:tcPr>
            <w:tcW w:w="3874" w:type="dxa"/>
            <w:vAlign w:val="center"/>
          </w:tcPr>
          <w:p w14:paraId="06A8AF66">
            <w:pPr>
              <w:pStyle w:val="6"/>
              <w:spacing w:line="460" w:lineRule="exact"/>
              <w:outlineLvl w:val="3"/>
              <w:rPr>
                <w:rFonts w:asciiTheme="minorEastAsia" w:hAnsiTheme="minorEastAsia" w:eastAsiaTheme="minorEastAsia" w:cstheme="minorEastAsia"/>
                <w:kern w:val="0"/>
                <w:sz w:val="24"/>
              </w:rPr>
            </w:pPr>
          </w:p>
        </w:tc>
        <w:tc>
          <w:tcPr>
            <w:tcW w:w="2400" w:type="dxa"/>
          </w:tcPr>
          <w:p w14:paraId="5D67FE4F">
            <w:pPr>
              <w:pStyle w:val="36"/>
              <w:spacing w:line="460" w:lineRule="exact"/>
              <w:ind w:firstLine="0" w:firstLineChars="0"/>
              <w:rPr>
                <w:rFonts w:asciiTheme="minorEastAsia" w:hAnsiTheme="minorEastAsia" w:eastAsiaTheme="minorEastAsia" w:cstheme="minorEastAsia"/>
                <w:kern w:val="0"/>
                <w:sz w:val="24"/>
                <w:szCs w:val="24"/>
              </w:rPr>
            </w:pPr>
          </w:p>
        </w:tc>
        <w:tc>
          <w:tcPr>
            <w:tcW w:w="1083" w:type="dxa"/>
          </w:tcPr>
          <w:p w14:paraId="52AA5658">
            <w:pPr>
              <w:pStyle w:val="36"/>
              <w:spacing w:line="460" w:lineRule="exact"/>
              <w:ind w:firstLine="0" w:firstLineChars="0"/>
              <w:rPr>
                <w:rFonts w:asciiTheme="minorEastAsia" w:hAnsiTheme="minorEastAsia" w:eastAsiaTheme="minorEastAsia" w:cstheme="minorEastAsia"/>
                <w:kern w:val="0"/>
                <w:sz w:val="24"/>
                <w:szCs w:val="24"/>
              </w:rPr>
            </w:pPr>
          </w:p>
        </w:tc>
      </w:tr>
      <w:tr w14:paraId="70C8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76639822">
            <w:pPr>
              <w:pStyle w:val="6"/>
              <w:spacing w:line="46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78E778E5">
            <w:pPr>
              <w:pStyle w:val="6"/>
              <w:spacing w:line="460" w:lineRule="exact"/>
              <w:ind w:firstLine="422" w:firstLineChars="200"/>
              <w:jc w:val="left"/>
              <w:outlineLvl w:val="3"/>
            </w:pPr>
          </w:p>
        </w:tc>
      </w:tr>
    </w:tbl>
    <w:p w14:paraId="4E8D178D">
      <w:pPr>
        <w:pStyle w:val="3"/>
        <w:spacing w:line="460" w:lineRule="exact"/>
      </w:pPr>
    </w:p>
    <w:p w14:paraId="7FDA7D18">
      <w:pPr>
        <w:spacing w:line="460" w:lineRule="exact"/>
        <w:rPr>
          <w:rFonts w:ascii="宋体" w:hAnsi="宋体" w:cs="宋体"/>
          <w:b/>
          <w:sz w:val="30"/>
          <w:szCs w:val="30"/>
        </w:rPr>
      </w:pPr>
    </w:p>
    <w:p w14:paraId="003D5252">
      <w:pPr>
        <w:spacing w:line="460" w:lineRule="exact"/>
        <w:jc w:val="center"/>
        <w:rPr>
          <w:rFonts w:ascii="宋体" w:hAnsi="宋体" w:cs="宋体"/>
          <w:b/>
          <w:sz w:val="30"/>
          <w:szCs w:val="30"/>
        </w:rPr>
      </w:pPr>
    </w:p>
    <w:p w14:paraId="2FF3F3E3">
      <w:pPr>
        <w:spacing w:line="460" w:lineRule="exact"/>
        <w:jc w:val="center"/>
        <w:rPr>
          <w:rFonts w:ascii="宋体" w:hAnsi="宋体" w:cs="宋体"/>
          <w:b/>
          <w:sz w:val="30"/>
          <w:szCs w:val="30"/>
        </w:rPr>
      </w:pPr>
    </w:p>
    <w:p w14:paraId="5A1C548C">
      <w:pPr>
        <w:spacing w:line="460" w:lineRule="exact"/>
        <w:jc w:val="center"/>
        <w:rPr>
          <w:rFonts w:ascii="宋体" w:hAnsi="宋体" w:cs="宋体"/>
          <w:b/>
          <w:sz w:val="30"/>
          <w:szCs w:val="30"/>
        </w:rPr>
      </w:pPr>
    </w:p>
    <w:p w14:paraId="39CEBD08">
      <w:pPr>
        <w:spacing w:line="460" w:lineRule="exact"/>
        <w:jc w:val="center"/>
        <w:rPr>
          <w:rFonts w:ascii="宋体" w:hAnsi="宋体" w:cs="宋体"/>
          <w:b/>
          <w:sz w:val="30"/>
          <w:szCs w:val="30"/>
        </w:rPr>
      </w:pPr>
    </w:p>
    <w:p w14:paraId="098624A1">
      <w:pPr>
        <w:spacing w:line="460" w:lineRule="exact"/>
        <w:jc w:val="center"/>
        <w:rPr>
          <w:rFonts w:ascii="宋体" w:hAnsi="宋体" w:cs="宋体"/>
          <w:b/>
          <w:sz w:val="30"/>
          <w:szCs w:val="30"/>
        </w:rPr>
      </w:pPr>
    </w:p>
    <w:p w14:paraId="19356C51">
      <w:pPr>
        <w:spacing w:line="460" w:lineRule="exact"/>
        <w:jc w:val="center"/>
        <w:rPr>
          <w:rFonts w:ascii="宋体" w:hAnsi="宋体" w:cs="宋体"/>
          <w:b/>
          <w:sz w:val="30"/>
          <w:szCs w:val="30"/>
        </w:rPr>
      </w:pPr>
    </w:p>
    <w:p w14:paraId="78061D23">
      <w:pPr>
        <w:spacing w:line="460" w:lineRule="exact"/>
        <w:jc w:val="center"/>
        <w:rPr>
          <w:rFonts w:ascii="宋体" w:hAnsi="宋体" w:cs="宋体"/>
          <w:b/>
          <w:sz w:val="30"/>
          <w:szCs w:val="30"/>
        </w:rPr>
      </w:pPr>
    </w:p>
    <w:p w14:paraId="4FB03943">
      <w:pPr>
        <w:spacing w:line="460" w:lineRule="exact"/>
        <w:jc w:val="center"/>
        <w:rPr>
          <w:rFonts w:ascii="宋体" w:hAnsi="宋体" w:cs="宋体"/>
          <w:b/>
          <w:sz w:val="30"/>
          <w:szCs w:val="30"/>
        </w:rPr>
      </w:pPr>
    </w:p>
    <w:p w14:paraId="60C453F4">
      <w:pPr>
        <w:spacing w:line="460" w:lineRule="exact"/>
        <w:jc w:val="center"/>
        <w:rPr>
          <w:rFonts w:ascii="宋体" w:hAnsi="宋体" w:cs="宋体"/>
          <w:b/>
          <w:sz w:val="30"/>
          <w:szCs w:val="30"/>
        </w:rPr>
      </w:pPr>
    </w:p>
    <w:p w14:paraId="19EA02FE">
      <w:pPr>
        <w:spacing w:line="460" w:lineRule="exact"/>
        <w:jc w:val="center"/>
        <w:rPr>
          <w:rFonts w:ascii="宋体" w:hAnsi="宋体" w:cs="宋体"/>
          <w:b/>
          <w:sz w:val="30"/>
          <w:szCs w:val="30"/>
        </w:rPr>
      </w:pPr>
    </w:p>
    <w:p w14:paraId="29A59E63">
      <w:pPr>
        <w:spacing w:line="460" w:lineRule="exact"/>
        <w:jc w:val="left"/>
        <w:rPr>
          <w:rFonts w:ascii="宋体" w:hAnsi="宋体" w:cs="宋体"/>
          <w:b/>
          <w:sz w:val="30"/>
          <w:szCs w:val="30"/>
        </w:rPr>
      </w:pPr>
      <w:r>
        <w:rPr>
          <w:rFonts w:hint="eastAsia" w:ascii="宋体" w:hAnsi="宋体" w:cs="宋体"/>
          <w:b/>
          <w:sz w:val="30"/>
          <w:szCs w:val="30"/>
        </w:rPr>
        <w:br w:type="page"/>
      </w:r>
    </w:p>
    <w:p w14:paraId="3320EFCD">
      <w:pPr>
        <w:spacing w:line="460" w:lineRule="exact"/>
        <w:jc w:val="center"/>
        <w:rPr>
          <w:rFonts w:ascii="宋体" w:hAnsi="宋体" w:cs="宋体"/>
          <w:sz w:val="24"/>
        </w:rPr>
      </w:pPr>
      <w:r>
        <w:rPr>
          <w:rFonts w:hint="eastAsia" w:ascii="宋体" w:hAnsi="宋体" w:cs="宋体"/>
          <w:b/>
          <w:sz w:val="30"/>
          <w:szCs w:val="30"/>
        </w:rPr>
        <w:t>商务需求响应表</w:t>
      </w:r>
    </w:p>
    <w:p w14:paraId="7D2EDACA">
      <w:pPr>
        <w:spacing w:line="46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B05416B">
      <w:pPr>
        <w:spacing w:line="46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4F53FFFF">
      <w:pPr>
        <w:pStyle w:val="7"/>
        <w:spacing w:line="460" w:lineRule="exact"/>
        <w:ind w:left="0"/>
        <w:rPr>
          <w:rFonts w:ascii="宋体" w:hAnsi="宋体" w:cs="宋体"/>
          <w:sz w:val="24"/>
        </w:rPr>
      </w:pPr>
    </w:p>
    <w:tbl>
      <w:tblPr>
        <w:tblStyle w:val="21"/>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4B74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7469E83D">
            <w:pPr>
              <w:snapToGrid w:val="0"/>
              <w:spacing w:line="300" w:lineRule="exact"/>
              <w:jc w:val="center"/>
              <w:rPr>
                <w:rFonts w:ascii="宋体" w:hAnsi="宋体" w:cs="宋体"/>
                <w:b/>
                <w:szCs w:val="21"/>
              </w:rPr>
            </w:pPr>
            <w:r>
              <w:rPr>
                <w:rFonts w:hint="eastAsia" w:ascii="宋体" w:hAnsi="宋体" w:cs="宋体"/>
                <w:b/>
                <w:szCs w:val="21"/>
              </w:rPr>
              <w:t>服务要求</w:t>
            </w:r>
          </w:p>
        </w:tc>
        <w:tc>
          <w:tcPr>
            <w:tcW w:w="4401" w:type="dxa"/>
            <w:shd w:val="clear" w:color="auto" w:fill="auto"/>
            <w:vAlign w:val="center"/>
          </w:tcPr>
          <w:p w14:paraId="2D6CFAB7">
            <w:pPr>
              <w:snapToGrid w:val="0"/>
              <w:spacing w:line="300" w:lineRule="exact"/>
              <w:jc w:val="center"/>
              <w:rPr>
                <w:rFonts w:ascii="宋体" w:hAnsi="宋体" w:cs="宋体"/>
                <w:b/>
                <w:szCs w:val="21"/>
              </w:rPr>
            </w:pPr>
            <w:r>
              <w:rPr>
                <w:rFonts w:hint="eastAsia" w:ascii="宋体" w:hAnsi="宋体" w:cs="宋体"/>
                <w:b/>
                <w:szCs w:val="21"/>
              </w:rPr>
              <w:t>服务要求内容</w:t>
            </w:r>
          </w:p>
        </w:tc>
        <w:tc>
          <w:tcPr>
            <w:tcW w:w="3639" w:type="dxa"/>
            <w:shd w:val="clear" w:color="auto" w:fill="auto"/>
            <w:vAlign w:val="center"/>
          </w:tcPr>
          <w:p w14:paraId="58492406">
            <w:pPr>
              <w:snapToGrid w:val="0"/>
              <w:spacing w:line="300" w:lineRule="exact"/>
              <w:jc w:val="center"/>
              <w:rPr>
                <w:rFonts w:ascii="宋体" w:hAnsi="宋体" w:cs="宋体"/>
                <w:b/>
                <w:szCs w:val="21"/>
              </w:rPr>
            </w:pPr>
            <w:r>
              <w:rPr>
                <w:rFonts w:hint="eastAsia" w:ascii="宋体" w:hAnsi="宋体" w:cs="宋体"/>
                <w:b/>
                <w:szCs w:val="21"/>
              </w:rPr>
              <w:t>响应内容</w:t>
            </w:r>
          </w:p>
        </w:tc>
        <w:tc>
          <w:tcPr>
            <w:tcW w:w="741" w:type="dxa"/>
            <w:shd w:val="clear" w:color="auto" w:fill="auto"/>
            <w:vAlign w:val="center"/>
          </w:tcPr>
          <w:p w14:paraId="35C4EB11">
            <w:pPr>
              <w:snapToGrid w:val="0"/>
              <w:spacing w:line="300" w:lineRule="exact"/>
              <w:jc w:val="center"/>
              <w:rPr>
                <w:rFonts w:ascii="宋体" w:hAnsi="宋体" w:cs="宋体"/>
                <w:b/>
                <w:szCs w:val="21"/>
              </w:rPr>
            </w:pPr>
            <w:r>
              <w:rPr>
                <w:rFonts w:hint="eastAsia" w:ascii="宋体" w:hAnsi="宋体" w:cs="宋体"/>
                <w:b/>
                <w:szCs w:val="21"/>
              </w:rPr>
              <w:t>响应情况</w:t>
            </w:r>
          </w:p>
        </w:tc>
      </w:tr>
      <w:tr w14:paraId="6BDD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1221" w:type="dxa"/>
            <w:shd w:val="clear" w:color="auto" w:fill="auto"/>
            <w:vAlign w:val="center"/>
          </w:tcPr>
          <w:p w14:paraId="1D3A54A7">
            <w:pPr>
              <w:adjustRightInd w:val="0"/>
              <w:snapToGrid w:val="0"/>
              <w:spacing w:line="400" w:lineRule="exact"/>
              <w:jc w:val="left"/>
              <w:rPr>
                <w:rFonts w:ascii="宋体" w:hAnsi="宋体" w:cs="宋体"/>
                <w:sz w:val="24"/>
              </w:rPr>
            </w:pPr>
            <w:r>
              <w:rPr>
                <w:rFonts w:hint="eastAsia" w:ascii="宋体" w:hAnsi="宋体" w:eastAsia="宋体" w:cs="宋体"/>
                <w:b/>
                <w:bCs/>
                <w:sz w:val="24"/>
                <w:szCs w:val="24"/>
              </w:rPr>
              <w:t>售后服务要求</w:t>
            </w:r>
          </w:p>
        </w:tc>
        <w:tc>
          <w:tcPr>
            <w:tcW w:w="4401" w:type="dxa"/>
            <w:shd w:val="clear" w:color="auto" w:fill="auto"/>
            <w:vAlign w:val="center"/>
          </w:tcPr>
          <w:p w14:paraId="0707B4E9">
            <w:pPr>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1.按国家有关产品“三包”规定执行“三包”，提供</w:t>
            </w:r>
            <w:r>
              <w:rPr>
                <w:rFonts w:hint="eastAsia" w:ascii="宋体" w:hAnsi="宋体" w:eastAsia="宋体" w:cs="宋体"/>
                <w:color w:val="auto"/>
                <w:sz w:val="24"/>
                <w:szCs w:val="24"/>
                <w:lang w:val="en-US" w:eastAsia="zh-CN"/>
              </w:rPr>
              <w:t>≥1年</w:t>
            </w:r>
            <w:r>
              <w:rPr>
                <w:rFonts w:hint="eastAsia" w:ascii="宋体" w:hAnsi="宋体" w:eastAsia="宋体" w:cs="宋体"/>
                <w:sz w:val="24"/>
                <w:szCs w:val="24"/>
                <w:lang w:val="en-US" w:eastAsia="zh-CN"/>
              </w:rPr>
              <w:t>免费维保服务。</w:t>
            </w:r>
          </w:p>
          <w:p w14:paraId="331E0686">
            <w:pPr>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18B19562">
            <w:pPr>
              <w:snapToGrid w:val="0"/>
              <w:spacing w:line="400" w:lineRule="exact"/>
              <w:rPr>
                <w:rFonts w:ascii="宋体" w:hAnsi="宋体" w:cs="宋体"/>
                <w:b/>
                <w:sz w:val="24"/>
              </w:rPr>
            </w:pPr>
            <w:r>
              <w:rPr>
                <w:rFonts w:hint="eastAsia" w:ascii="宋体" w:hAnsi="宋体" w:eastAsia="宋体" w:cs="宋体"/>
                <w:sz w:val="24"/>
                <w:szCs w:val="24"/>
                <w:lang w:val="en-US" w:eastAsia="zh-CN"/>
              </w:rPr>
              <w:t>3.本项目相关人员须依据资质要求内容提供相关证明材料和投标供应商为上述人员缴纳的最近6个月内的社保证明材料。</w:t>
            </w:r>
          </w:p>
        </w:tc>
        <w:tc>
          <w:tcPr>
            <w:tcW w:w="3639" w:type="dxa"/>
            <w:shd w:val="clear" w:color="auto" w:fill="auto"/>
            <w:vAlign w:val="center"/>
          </w:tcPr>
          <w:p w14:paraId="0CE88A6B">
            <w:pPr>
              <w:snapToGrid w:val="0"/>
              <w:spacing w:line="400" w:lineRule="exact"/>
              <w:jc w:val="center"/>
              <w:rPr>
                <w:rFonts w:ascii="宋体" w:hAnsi="宋体" w:cs="宋体"/>
                <w:b/>
                <w:sz w:val="24"/>
              </w:rPr>
            </w:pPr>
          </w:p>
        </w:tc>
        <w:tc>
          <w:tcPr>
            <w:tcW w:w="741" w:type="dxa"/>
            <w:shd w:val="clear" w:color="auto" w:fill="auto"/>
            <w:vAlign w:val="center"/>
          </w:tcPr>
          <w:p w14:paraId="5170B88A">
            <w:pPr>
              <w:snapToGrid w:val="0"/>
              <w:spacing w:line="400" w:lineRule="exact"/>
              <w:jc w:val="center"/>
              <w:rPr>
                <w:rFonts w:ascii="宋体" w:hAnsi="宋体" w:cs="宋体"/>
                <w:b/>
                <w:sz w:val="24"/>
              </w:rPr>
            </w:pPr>
          </w:p>
        </w:tc>
      </w:tr>
      <w:tr w14:paraId="4146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221" w:type="dxa"/>
            <w:shd w:val="clear" w:color="auto" w:fill="auto"/>
            <w:vAlign w:val="center"/>
          </w:tcPr>
          <w:p w14:paraId="26C2C8F7">
            <w:pPr>
              <w:snapToGrid w:val="0"/>
              <w:spacing w:line="400" w:lineRule="exact"/>
              <w:rPr>
                <w:rFonts w:ascii="宋体" w:hAnsi="宋体" w:cs="宋体"/>
                <w:sz w:val="24"/>
                <w:szCs w:val="24"/>
              </w:rPr>
            </w:pPr>
            <w:r>
              <w:rPr>
                <w:rFonts w:hint="eastAsia" w:ascii="宋体" w:hAnsi="宋体" w:eastAsia="宋体" w:cs="宋体"/>
                <w:b/>
                <w:bCs/>
                <w:sz w:val="24"/>
                <w:szCs w:val="24"/>
              </w:rPr>
              <w:t>交付期及地点</w:t>
            </w:r>
          </w:p>
        </w:tc>
        <w:tc>
          <w:tcPr>
            <w:tcW w:w="4401" w:type="dxa"/>
            <w:shd w:val="clear" w:color="auto" w:fill="auto"/>
            <w:vAlign w:val="center"/>
          </w:tcPr>
          <w:p w14:paraId="33C97660">
            <w:pPr>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1.交付期：自签订合同之日起60个工作日内验收合格并交付采购人使用。</w:t>
            </w:r>
          </w:p>
          <w:p w14:paraId="61AF5823">
            <w:pPr>
              <w:snapToGrid w:val="0"/>
              <w:spacing w:line="400" w:lineRule="exact"/>
              <w:rPr>
                <w:rFonts w:ascii="宋体" w:hAnsi="宋体" w:cs="宋体"/>
                <w:b/>
                <w:sz w:val="24"/>
                <w:szCs w:val="24"/>
              </w:rPr>
            </w:pPr>
            <w:r>
              <w:rPr>
                <w:rFonts w:hint="eastAsia" w:ascii="宋体" w:hAnsi="宋体" w:eastAsia="宋体" w:cs="宋体"/>
                <w:sz w:val="24"/>
                <w:szCs w:val="24"/>
                <w:lang w:val="en-US" w:eastAsia="zh-CN"/>
              </w:rPr>
              <w:t>2.交付地点：招标人指定地点。</w:t>
            </w:r>
          </w:p>
        </w:tc>
        <w:tc>
          <w:tcPr>
            <w:tcW w:w="3639" w:type="dxa"/>
            <w:shd w:val="clear" w:color="auto" w:fill="auto"/>
            <w:vAlign w:val="center"/>
          </w:tcPr>
          <w:p w14:paraId="79A4C3F6">
            <w:pPr>
              <w:snapToGrid w:val="0"/>
              <w:spacing w:line="400" w:lineRule="exact"/>
              <w:jc w:val="center"/>
              <w:rPr>
                <w:rFonts w:ascii="宋体" w:hAnsi="宋体" w:cs="宋体"/>
                <w:b/>
                <w:sz w:val="24"/>
              </w:rPr>
            </w:pPr>
          </w:p>
        </w:tc>
        <w:tc>
          <w:tcPr>
            <w:tcW w:w="741" w:type="dxa"/>
            <w:shd w:val="clear" w:color="auto" w:fill="auto"/>
            <w:vAlign w:val="center"/>
          </w:tcPr>
          <w:p w14:paraId="1AE6B6D6">
            <w:pPr>
              <w:snapToGrid w:val="0"/>
              <w:spacing w:line="400" w:lineRule="exact"/>
              <w:jc w:val="center"/>
              <w:rPr>
                <w:rFonts w:ascii="宋体" w:hAnsi="宋体" w:cs="宋体"/>
                <w:b/>
                <w:sz w:val="24"/>
              </w:rPr>
            </w:pPr>
          </w:p>
        </w:tc>
      </w:tr>
      <w:tr w14:paraId="7C59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221" w:type="dxa"/>
            <w:shd w:val="clear" w:color="auto" w:fill="auto"/>
            <w:vAlign w:val="center"/>
          </w:tcPr>
          <w:p w14:paraId="2E4F50F7">
            <w:pPr>
              <w:adjustRightInd w:val="0"/>
              <w:snapToGrid w:val="0"/>
              <w:spacing w:line="400" w:lineRule="exact"/>
              <w:jc w:val="left"/>
              <w:rPr>
                <w:rFonts w:ascii="宋体" w:hAnsi="宋体" w:cs="宋体"/>
                <w:sz w:val="24"/>
              </w:rPr>
            </w:pPr>
            <w:r>
              <w:rPr>
                <w:rFonts w:hint="eastAsia" w:ascii="宋体" w:hAnsi="宋体" w:eastAsia="宋体" w:cs="宋体"/>
                <w:b/>
                <w:bCs/>
                <w:sz w:val="24"/>
                <w:szCs w:val="24"/>
              </w:rPr>
              <w:t>付款方式</w:t>
            </w:r>
          </w:p>
        </w:tc>
        <w:tc>
          <w:tcPr>
            <w:tcW w:w="4401" w:type="dxa"/>
            <w:shd w:val="clear" w:color="auto" w:fill="auto"/>
            <w:vAlign w:val="center"/>
          </w:tcPr>
          <w:p w14:paraId="6814E33C">
            <w:pPr>
              <w:snapToGrid w:val="0"/>
              <w:spacing w:line="400" w:lineRule="exact"/>
              <w:rPr>
                <w:rFonts w:ascii="宋体" w:hAnsi="宋体" w:cs="宋体"/>
                <w:b/>
                <w:sz w:val="24"/>
              </w:rPr>
            </w:pPr>
            <w:r>
              <w:rPr>
                <w:rFonts w:hint="eastAsia" w:ascii="宋体" w:hAnsi="宋体" w:eastAsia="宋体" w:cs="宋体"/>
                <w:sz w:val="24"/>
                <w:szCs w:val="24"/>
                <w:lang w:val="en-US" w:eastAsia="zh-CN"/>
              </w:rPr>
              <w:t>付款方式：合同签订后，自验收合格（培训指导完成、设备、软件正式使用）收到正规等额、有效发票之日起60个工作日后支付合同价款的95%，合同价款的5%作为履约保证金，质保期满30个工作日后付清（无息）。</w:t>
            </w:r>
          </w:p>
        </w:tc>
        <w:tc>
          <w:tcPr>
            <w:tcW w:w="3639" w:type="dxa"/>
            <w:shd w:val="clear" w:color="auto" w:fill="auto"/>
            <w:vAlign w:val="center"/>
          </w:tcPr>
          <w:p w14:paraId="5F46DF97">
            <w:pPr>
              <w:snapToGrid w:val="0"/>
              <w:spacing w:line="400" w:lineRule="exact"/>
              <w:jc w:val="center"/>
              <w:rPr>
                <w:rFonts w:ascii="宋体" w:hAnsi="宋体" w:cs="宋体"/>
                <w:b/>
                <w:sz w:val="24"/>
              </w:rPr>
            </w:pPr>
          </w:p>
        </w:tc>
        <w:tc>
          <w:tcPr>
            <w:tcW w:w="741" w:type="dxa"/>
            <w:shd w:val="clear" w:color="auto" w:fill="auto"/>
            <w:vAlign w:val="center"/>
          </w:tcPr>
          <w:p w14:paraId="25E928A8">
            <w:pPr>
              <w:snapToGrid w:val="0"/>
              <w:spacing w:line="400" w:lineRule="exact"/>
              <w:jc w:val="center"/>
              <w:rPr>
                <w:rFonts w:ascii="宋体" w:hAnsi="宋体" w:cs="宋体"/>
                <w:b/>
                <w:sz w:val="24"/>
              </w:rPr>
            </w:pPr>
          </w:p>
        </w:tc>
      </w:tr>
      <w:tr w14:paraId="6EC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221" w:type="dxa"/>
            <w:shd w:val="clear" w:color="auto" w:fill="auto"/>
            <w:vAlign w:val="center"/>
          </w:tcPr>
          <w:p w14:paraId="24DF9A61">
            <w:pPr>
              <w:snapToGrid w:val="0"/>
              <w:spacing w:line="400" w:lineRule="exact"/>
              <w:rPr>
                <w:rFonts w:ascii="宋体" w:hAnsi="宋体" w:cs="宋体"/>
                <w:b/>
                <w:bCs/>
                <w:sz w:val="24"/>
              </w:rPr>
            </w:pPr>
            <w:r>
              <w:rPr>
                <w:rFonts w:hint="eastAsia" w:ascii="宋体" w:hAnsi="宋体" w:cs="宋体"/>
                <w:b/>
                <w:bCs/>
                <w:sz w:val="24"/>
              </w:rPr>
              <w:t>验收标准</w:t>
            </w:r>
          </w:p>
          <w:p w14:paraId="1583B5EC">
            <w:pPr>
              <w:adjustRightInd w:val="0"/>
              <w:snapToGrid w:val="0"/>
              <w:spacing w:line="400" w:lineRule="exact"/>
              <w:jc w:val="left"/>
              <w:rPr>
                <w:rFonts w:ascii="宋体" w:hAnsi="宋体" w:cs="宋体"/>
                <w:sz w:val="24"/>
              </w:rPr>
            </w:pPr>
          </w:p>
        </w:tc>
        <w:tc>
          <w:tcPr>
            <w:tcW w:w="4401" w:type="dxa"/>
            <w:shd w:val="clear" w:color="auto" w:fill="auto"/>
            <w:vAlign w:val="center"/>
          </w:tcPr>
          <w:p w14:paraId="2CFFA7F5">
            <w:pPr>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提供的产品必须符合国家强制执行的相关质量标准要求以及产品制造厂家合格产品的出厂质量标准。</w:t>
            </w:r>
          </w:p>
          <w:p w14:paraId="426E36BB">
            <w:pPr>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2.产品到货交付后，采购人将根据</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文件要求及</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文件承诺逐条对应进行核验，必要时，采购人有权邀请国家质量监督检验部门或国家认可的检测机构参与共同验收。如产品不满足</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文件要求、</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文件承诺或国家强制执行的相关质量标准要求以及产品制造厂家合格产品的出厂质量标准，采购人有权不予验收，由此造成采购人的经济损失由</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承担全部赔偿责任，验收时所产生的一切费用由</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承担。</w:t>
            </w:r>
          </w:p>
          <w:p w14:paraId="38A2FC77">
            <w:pPr>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3.项目完成系统建设内容，经稳定运行一周以上可提出验收，</w:t>
            </w: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按医院信息化项目管理制度要求提供有关材料，由采购人组织现场验收。</w:t>
            </w:r>
          </w:p>
          <w:p w14:paraId="6EACAA28">
            <w:pPr>
              <w:snapToGrid w:val="0"/>
              <w:spacing w:line="400" w:lineRule="exact"/>
              <w:rPr>
                <w:rFonts w:ascii="宋体" w:hAnsi="宋体" w:cs="宋体"/>
                <w:b/>
                <w:sz w:val="24"/>
              </w:rPr>
            </w:pPr>
            <w:r>
              <w:rPr>
                <w:rFonts w:hint="eastAsia" w:ascii="宋体" w:hAnsi="宋体" w:eastAsia="宋体" w:cs="宋体"/>
                <w:sz w:val="24"/>
                <w:szCs w:val="24"/>
                <w:lang w:val="en-US" w:eastAsia="zh-CN"/>
              </w:rPr>
              <w:t>4.验收其他要求按合同条款执行。</w:t>
            </w:r>
          </w:p>
        </w:tc>
        <w:tc>
          <w:tcPr>
            <w:tcW w:w="3639" w:type="dxa"/>
            <w:shd w:val="clear" w:color="auto" w:fill="auto"/>
            <w:vAlign w:val="center"/>
          </w:tcPr>
          <w:p w14:paraId="3746EDA7">
            <w:pPr>
              <w:snapToGrid w:val="0"/>
              <w:spacing w:line="400" w:lineRule="exact"/>
              <w:jc w:val="center"/>
              <w:rPr>
                <w:rFonts w:ascii="宋体" w:hAnsi="宋体" w:cs="宋体"/>
                <w:b/>
                <w:sz w:val="24"/>
              </w:rPr>
            </w:pPr>
          </w:p>
        </w:tc>
        <w:tc>
          <w:tcPr>
            <w:tcW w:w="741" w:type="dxa"/>
            <w:shd w:val="clear" w:color="auto" w:fill="auto"/>
            <w:vAlign w:val="center"/>
          </w:tcPr>
          <w:p w14:paraId="63AAAE25">
            <w:pPr>
              <w:snapToGrid w:val="0"/>
              <w:spacing w:line="400" w:lineRule="exact"/>
              <w:jc w:val="center"/>
              <w:rPr>
                <w:rFonts w:ascii="宋体" w:hAnsi="宋体" w:cs="宋体"/>
                <w:b/>
                <w:sz w:val="24"/>
              </w:rPr>
            </w:pPr>
          </w:p>
        </w:tc>
      </w:tr>
      <w:tr w14:paraId="6FCD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21" w:type="dxa"/>
            <w:shd w:val="clear" w:color="auto" w:fill="auto"/>
            <w:vAlign w:val="center"/>
          </w:tcPr>
          <w:p w14:paraId="30E211EA">
            <w:pPr>
              <w:adjustRightInd w:val="0"/>
              <w:snapToGrid w:val="0"/>
              <w:spacing w:line="400" w:lineRule="exact"/>
              <w:jc w:val="left"/>
              <w:rPr>
                <w:rFonts w:ascii="宋体" w:hAnsi="宋体" w:cs="宋体"/>
                <w:sz w:val="24"/>
              </w:rPr>
            </w:pPr>
            <w:r>
              <w:rPr>
                <w:rFonts w:hint="eastAsia" w:ascii="宋体" w:hAnsi="宋体" w:cs="宋体"/>
                <w:b/>
                <w:bCs/>
                <w:sz w:val="24"/>
                <w:lang w:val="zh-CN"/>
              </w:rPr>
              <w:t>其他要求</w:t>
            </w:r>
          </w:p>
        </w:tc>
        <w:tc>
          <w:tcPr>
            <w:tcW w:w="4401" w:type="dxa"/>
            <w:shd w:val="clear" w:color="auto" w:fill="auto"/>
            <w:vAlign w:val="center"/>
          </w:tcPr>
          <w:p w14:paraId="3FF27465">
            <w:pPr>
              <w:numPr>
                <w:ilvl w:val="0"/>
                <w:numId w:val="0"/>
              </w:numPr>
              <w:spacing w:line="3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1.本项目所提供的软件必须具有合法的版权或使用权，如在本项目范围内使用过程中出现版权或使用权纠纷，应由供应商负责。</w:t>
            </w:r>
          </w:p>
          <w:p w14:paraId="4E889962">
            <w:pPr>
              <w:numPr>
                <w:ilvl w:val="0"/>
                <w:numId w:val="0"/>
              </w:numPr>
              <w:spacing w:line="3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2.本项目本项目不接受联合投标，不接受分包或转包。</w:t>
            </w:r>
          </w:p>
          <w:p w14:paraId="31157901">
            <w:pPr>
              <w:snapToGrid w:val="0"/>
              <w:spacing w:line="400" w:lineRule="exact"/>
              <w:rPr>
                <w:rFonts w:ascii="宋体" w:hAnsi="宋体" w:cs="宋体"/>
                <w:bCs/>
                <w:sz w:val="24"/>
              </w:rPr>
            </w:pPr>
            <w:r>
              <w:rPr>
                <w:rFonts w:hint="eastAsia" w:ascii="宋体" w:hAnsi="宋体" w:eastAsia="宋体" w:cs="宋体"/>
                <w:b/>
                <w:bCs/>
                <w:sz w:val="24"/>
                <w:szCs w:val="24"/>
                <w:lang w:val="en-US" w:eastAsia="zh-CN"/>
              </w:rPr>
              <w:t>3.</w:t>
            </w:r>
            <w:r>
              <w:rPr>
                <w:rFonts w:hint="eastAsia" w:ascii="宋体" w:hAnsi="宋体" w:eastAsia="宋体" w:cs="宋体"/>
                <w:b/>
                <w:bCs/>
                <w:color w:val="auto"/>
                <w:sz w:val="24"/>
                <w:szCs w:val="24"/>
              </w:rPr>
              <w:t>以上</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采购需求”（含技术要求和商务要求）条款</w:t>
            </w:r>
            <w:r>
              <w:rPr>
                <w:rFonts w:hint="eastAsia" w:ascii="宋体" w:hAnsi="宋体" w:eastAsia="宋体" w:cs="宋体"/>
                <w:b/>
                <w:bCs/>
                <w:color w:val="auto"/>
                <w:sz w:val="24"/>
                <w:szCs w:val="24"/>
              </w:rPr>
              <w:t>为必须满足的实质性要求，如有1项负偏离的，投标无效。</w:t>
            </w:r>
          </w:p>
        </w:tc>
        <w:tc>
          <w:tcPr>
            <w:tcW w:w="3639" w:type="dxa"/>
            <w:shd w:val="clear" w:color="auto" w:fill="auto"/>
            <w:vAlign w:val="center"/>
          </w:tcPr>
          <w:p w14:paraId="629401D2">
            <w:pPr>
              <w:snapToGrid w:val="0"/>
              <w:spacing w:line="400" w:lineRule="exact"/>
              <w:jc w:val="center"/>
              <w:rPr>
                <w:rFonts w:ascii="宋体" w:hAnsi="宋体" w:cs="宋体"/>
                <w:b/>
                <w:sz w:val="24"/>
              </w:rPr>
            </w:pPr>
          </w:p>
        </w:tc>
        <w:tc>
          <w:tcPr>
            <w:tcW w:w="741" w:type="dxa"/>
            <w:shd w:val="clear" w:color="auto" w:fill="auto"/>
            <w:vAlign w:val="center"/>
          </w:tcPr>
          <w:p w14:paraId="1B85878C">
            <w:pPr>
              <w:snapToGrid w:val="0"/>
              <w:spacing w:line="400" w:lineRule="exact"/>
              <w:jc w:val="center"/>
              <w:rPr>
                <w:rFonts w:ascii="宋体" w:hAnsi="宋体" w:cs="宋体"/>
                <w:b/>
                <w:sz w:val="24"/>
              </w:rPr>
            </w:pPr>
          </w:p>
        </w:tc>
      </w:tr>
    </w:tbl>
    <w:p w14:paraId="753F9CDC">
      <w:pPr>
        <w:rPr>
          <w:rFonts w:ascii="Times New Roman" w:hAnsi="Times New Roman" w:eastAsia="宋体" w:cs="Times New Roman"/>
          <w:kern w:val="2"/>
          <w:sz w:val="21"/>
          <w:szCs w:val="24"/>
          <w:lang w:val="en-US" w:eastAsia="zh-CN" w:bidi="ar-SA"/>
        </w:rPr>
      </w:pPr>
    </w:p>
    <w:p w14:paraId="27B1B2C0">
      <w:pPr>
        <w:pStyle w:val="2"/>
        <w:rPr>
          <w:rFonts w:ascii="Times New Roman" w:hAnsi="Times New Roman" w:eastAsia="宋体" w:cs="Times New Roman"/>
          <w:kern w:val="2"/>
          <w:sz w:val="21"/>
          <w:szCs w:val="24"/>
          <w:lang w:val="en-US" w:eastAsia="zh-CN" w:bidi="ar-SA"/>
        </w:rPr>
      </w:pPr>
    </w:p>
    <w:p w14:paraId="749CC895">
      <w:pPr>
        <w:pStyle w:val="3"/>
        <w:rPr>
          <w:rFonts w:ascii="Times New Roman" w:hAnsi="Times New Roman" w:eastAsia="宋体" w:cs="Times New Roman"/>
          <w:kern w:val="2"/>
          <w:sz w:val="21"/>
          <w:szCs w:val="24"/>
          <w:lang w:val="en-US" w:eastAsia="zh-CN" w:bidi="ar-SA"/>
        </w:rPr>
      </w:pPr>
    </w:p>
    <w:p w14:paraId="6496FF28">
      <w:pPr>
        <w:rPr>
          <w:lang w:val="en-US" w:eastAsia="zh-CN"/>
        </w:rPr>
      </w:pPr>
    </w:p>
    <w:p w14:paraId="031745BC">
      <w:pPr>
        <w:spacing w:line="460" w:lineRule="exact"/>
        <w:jc w:val="center"/>
        <w:rPr>
          <w:rFonts w:ascii="宋体" w:hAnsi="宋体"/>
          <w:b/>
          <w:sz w:val="32"/>
          <w:szCs w:val="32"/>
        </w:rPr>
      </w:pPr>
      <w:r>
        <w:rPr>
          <w:rFonts w:hint="eastAsia" w:hAnsi="宋体"/>
          <w:b/>
          <w:sz w:val="32"/>
          <w:szCs w:val="32"/>
        </w:rPr>
        <w:t>投标人根据评分标准提供其他材料</w:t>
      </w:r>
    </w:p>
    <w:p w14:paraId="5C8C6A9F">
      <w:pPr>
        <w:pStyle w:val="6"/>
        <w:spacing w:line="460" w:lineRule="exact"/>
      </w:pPr>
    </w:p>
    <w:p w14:paraId="2930BC9E"/>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553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03D93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903D93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1C92">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7F2228">
                          <w:pPr>
                            <w:pStyle w:val="13"/>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077F2228">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31170"/>
    <w:multiLevelType w:val="singleLevel"/>
    <w:tmpl w:val="A2C31170"/>
    <w:lvl w:ilvl="0" w:tentative="0">
      <w:start w:val="1"/>
      <w:numFmt w:val="bullet"/>
      <w:lvlText w:val=""/>
      <w:lvlJc w:val="left"/>
      <w:pPr>
        <w:ind w:left="420" w:hanging="420"/>
      </w:pPr>
      <w:rPr>
        <w:rFonts w:hint="default" w:ascii="Wingdings" w:hAnsi="Wingdings"/>
      </w:rPr>
    </w:lvl>
  </w:abstractNum>
  <w:abstractNum w:abstractNumId="1">
    <w:nsid w:val="FDBCBE92"/>
    <w:multiLevelType w:val="singleLevel"/>
    <w:tmpl w:val="FDBCBE92"/>
    <w:lvl w:ilvl="0" w:tentative="0">
      <w:start w:val="2"/>
      <w:numFmt w:val="decimal"/>
      <w:suff w:val="nothing"/>
      <w:lvlText w:val="（%1）"/>
      <w:lvlJc w:val="left"/>
    </w:lvl>
  </w:abstractNum>
  <w:abstractNum w:abstractNumId="2">
    <w:nsid w:val="0CEB425A"/>
    <w:multiLevelType w:val="singleLevel"/>
    <w:tmpl w:val="0CEB425A"/>
    <w:lvl w:ilvl="0" w:tentative="0">
      <w:start w:val="1"/>
      <w:numFmt w:val="decimal"/>
      <w:lvlText w:val="%1."/>
      <w:lvlJc w:val="left"/>
      <w:pPr>
        <w:tabs>
          <w:tab w:val="left" w:pos="312"/>
        </w:tabs>
      </w:pPr>
    </w:lvl>
  </w:abstractNum>
  <w:abstractNum w:abstractNumId="3">
    <w:nsid w:val="35AA2768"/>
    <w:multiLevelType w:val="singleLevel"/>
    <w:tmpl w:val="35AA2768"/>
    <w:lvl w:ilvl="0" w:tentative="0">
      <w:start w:val="3"/>
      <w:numFmt w:val="chineseCounting"/>
      <w:suff w:val="space"/>
      <w:lvlText w:val="第%1章"/>
      <w:lvlJc w:val="left"/>
      <w:rPr>
        <w:rFonts w:hint="eastAsia"/>
      </w:rPr>
    </w:lvl>
  </w:abstractNum>
  <w:abstractNum w:abstractNumId="4">
    <w:nsid w:val="5C946299"/>
    <w:multiLevelType w:val="singleLevel"/>
    <w:tmpl w:val="5C946299"/>
    <w:lvl w:ilvl="0" w:tentative="0">
      <w:start w:val="0"/>
      <w:numFmt w:val="decimal"/>
      <w:lvlText w:val=""/>
      <w:lvlJc w:val="left"/>
    </w:lvl>
  </w:abstractNum>
  <w:abstractNum w:abstractNumId="5">
    <w:nsid w:val="5EDE4583"/>
    <w:multiLevelType w:val="singleLevel"/>
    <w:tmpl w:val="5EDE4583"/>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5MmU4YmZkNjczZjJiNzUxNDc0M2UxMTZmMDMwNjUifQ=="/>
    <w:docVar w:name="KSO_WPS_MARK_KEY" w:val="b034b45e-6760-43b0-bfee-e54ebec55fc0"/>
  </w:docVars>
  <w:rsids>
    <w:rsidRoot w:val="1FC328D9"/>
    <w:rsid w:val="00232784"/>
    <w:rsid w:val="00243FEE"/>
    <w:rsid w:val="00337B57"/>
    <w:rsid w:val="0034580A"/>
    <w:rsid w:val="003A4C72"/>
    <w:rsid w:val="004E01F1"/>
    <w:rsid w:val="00A2237A"/>
    <w:rsid w:val="00B3086E"/>
    <w:rsid w:val="00DE5733"/>
    <w:rsid w:val="00EC2ECD"/>
    <w:rsid w:val="011C5DE0"/>
    <w:rsid w:val="0525088C"/>
    <w:rsid w:val="056D485A"/>
    <w:rsid w:val="0B094A92"/>
    <w:rsid w:val="12C64289"/>
    <w:rsid w:val="1AFF286A"/>
    <w:rsid w:val="1F234F3D"/>
    <w:rsid w:val="1F9E1BD7"/>
    <w:rsid w:val="1FC328D9"/>
    <w:rsid w:val="2AF111E0"/>
    <w:rsid w:val="2CD35327"/>
    <w:rsid w:val="2DBA049C"/>
    <w:rsid w:val="351D722E"/>
    <w:rsid w:val="3A851756"/>
    <w:rsid w:val="41087BF0"/>
    <w:rsid w:val="41DD73FD"/>
    <w:rsid w:val="456C3432"/>
    <w:rsid w:val="4672019F"/>
    <w:rsid w:val="4A6F54AA"/>
    <w:rsid w:val="4B6077C2"/>
    <w:rsid w:val="4C2F40B2"/>
    <w:rsid w:val="4CB24C66"/>
    <w:rsid w:val="4ECB6494"/>
    <w:rsid w:val="4F29674A"/>
    <w:rsid w:val="53C87535"/>
    <w:rsid w:val="561F7FDA"/>
    <w:rsid w:val="58BC517D"/>
    <w:rsid w:val="5A166FD1"/>
    <w:rsid w:val="5B5648CD"/>
    <w:rsid w:val="5C207B33"/>
    <w:rsid w:val="620B542E"/>
    <w:rsid w:val="65A40146"/>
    <w:rsid w:val="65DE1583"/>
    <w:rsid w:val="6625438F"/>
    <w:rsid w:val="672038A0"/>
    <w:rsid w:val="6ABA3E1B"/>
    <w:rsid w:val="6C1D19F7"/>
    <w:rsid w:val="6E1936DF"/>
    <w:rsid w:val="6E7B23D7"/>
    <w:rsid w:val="6EB343A0"/>
    <w:rsid w:val="6FA02634"/>
    <w:rsid w:val="750A785B"/>
    <w:rsid w:val="799F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spacing w:before="161"/>
      <w:ind w:left="218"/>
      <w:outlineLvl w:val="0"/>
    </w:pPr>
    <w:rPr>
      <w:rFonts w:ascii="宋体" w:hAnsi="宋体" w:cs="宋体"/>
      <w:b/>
      <w:bCs/>
      <w:sz w:val="2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pPr>
    <w:rPr>
      <w:bCs/>
      <w:spacing w:val="10"/>
    </w:rPr>
  </w:style>
  <w:style w:type="paragraph" w:styleId="3">
    <w:name w:val="Body Text"/>
    <w:basedOn w:val="1"/>
    <w:next w:val="1"/>
    <w:qFormat/>
    <w:uiPriority w:val="0"/>
    <w:pPr>
      <w:spacing w:after="120"/>
    </w:pPr>
  </w:style>
  <w:style w:type="paragraph" w:styleId="7">
    <w:name w:val="index 8"/>
    <w:basedOn w:val="1"/>
    <w:next w:val="1"/>
    <w:unhideWhenUsed/>
    <w:qFormat/>
    <w:uiPriority w:val="0"/>
    <w:pPr>
      <w:ind w:left="2940"/>
    </w:pPr>
  </w:style>
  <w:style w:type="paragraph" w:styleId="8">
    <w:name w:val="annotation text"/>
    <w:basedOn w:val="1"/>
    <w:link w:val="37"/>
    <w:qFormat/>
    <w:uiPriority w:val="0"/>
    <w:pPr>
      <w:jc w:val="left"/>
    </w:p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kern w:val="0"/>
      <w:sz w:val="20"/>
      <w:szCs w:val="20"/>
    </w:rPr>
  </w:style>
  <w:style w:type="paragraph" w:styleId="12">
    <w:name w:val="Balloon Text"/>
    <w:basedOn w:val="1"/>
    <w:link w:val="39"/>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5">
    <w:name w:val="引用1"/>
    <w:basedOn w:val="1"/>
    <w:next w:val="1"/>
    <w:qFormat/>
    <w:uiPriority w:val="0"/>
    <w:pPr>
      <w:ind w:left="864" w:right="864"/>
      <w:jc w:val="center"/>
    </w:pPr>
    <w:rPr>
      <w:i/>
      <w:iCs/>
      <w:color w:val="404040"/>
      <w:szCs w:val="21"/>
    </w:rPr>
  </w:style>
  <w:style w:type="paragraph" w:styleId="16">
    <w:name w:val="toc 1"/>
    <w:basedOn w:val="1"/>
    <w:next w:val="1"/>
    <w:qFormat/>
    <w:uiPriority w:val="39"/>
  </w:style>
  <w:style w:type="paragraph" w:styleId="17">
    <w:name w:val="Body Text Indent 3"/>
    <w:basedOn w:val="1"/>
    <w:qFormat/>
    <w:uiPriority w:val="0"/>
    <w:pPr>
      <w:spacing w:after="120"/>
      <w:ind w:left="420" w:leftChars="200"/>
    </w:pPr>
    <w:rPr>
      <w:sz w:val="16"/>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annotation subject"/>
    <w:basedOn w:val="8"/>
    <w:next w:val="8"/>
    <w:link w:val="38"/>
    <w:qFormat/>
    <w:uiPriority w:val="0"/>
    <w:rPr>
      <w:b/>
      <w:bCs/>
    </w:rPr>
  </w:style>
  <w:style w:type="paragraph" w:styleId="20">
    <w:name w:val="Body Text First Indent 2"/>
    <w:basedOn w:val="9"/>
    <w:next w:val="1"/>
    <w:qFormat/>
    <w:uiPriority w:val="0"/>
    <w:pPr>
      <w:widowControl w:val="0"/>
      <w:spacing w:after="0"/>
      <w:ind w:left="0" w:leftChars="0"/>
      <w:jc w:val="both"/>
    </w:pPr>
    <w:rPr>
      <w:rFonts w:ascii="宋体" w:hAnsi="Courier New"/>
      <w:spacing w:val="-4"/>
      <w:kern w:val="2"/>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_Style 7"/>
    <w:basedOn w:val="4"/>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8">
    <w:name w:val="列出段落1"/>
    <w:basedOn w:val="1"/>
    <w:qFormat/>
    <w:uiPriority w:val="34"/>
    <w:pPr>
      <w:ind w:left="850"/>
    </w:pPr>
    <w:rPr>
      <w:rFonts w:ascii="Calibri" w:hAnsi="Calibri"/>
      <w:szCs w:val="21"/>
    </w:rPr>
  </w:style>
  <w:style w:type="character" w:customStyle="1" w:styleId="29">
    <w:name w:val="15"/>
    <w:qFormat/>
    <w:uiPriority w:val="0"/>
    <w:rPr>
      <w:rFonts w:hint="default" w:ascii="Times New Roman" w:hAnsi="Times New Roman" w:cs="Times New Roman"/>
    </w:rPr>
  </w:style>
  <w:style w:type="character" w:customStyle="1" w:styleId="30">
    <w:name w:val="17"/>
    <w:qFormat/>
    <w:uiPriority w:val="0"/>
    <w:rPr>
      <w:rFonts w:hint="default" w:ascii="Times New Roman" w:hAnsi="Times New Roman" w:cs="Times New Roman"/>
      <w:b/>
    </w:rPr>
  </w:style>
  <w:style w:type="paragraph" w:customStyle="1" w:styleId="31">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32">
    <w:name w:val="16"/>
    <w:qFormat/>
    <w:uiPriority w:val="0"/>
    <w:rPr>
      <w:rFonts w:hint="default" w:ascii="Times New Roman" w:hAnsi="Times New Roman" w:cs="Times New Roman"/>
      <w:b/>
    </w:rPr>
  </w:style>
  <w:style w:type="paragraph" w:customStyle="1" w:styleId="33">
    <w:name w:val="Table Paragraph"/>
    <w:basedOn w:val="1"/>
    <w:qFormat/>
    <w:uiPriority w:val="0"/>
    <w:rPr>
      <w:rFonts w:ascii="Calibri" w:hAnsi="Calibri" w:cs="宋体"/>
      <w:szCs w:val="22"/>
    </w:rPr>
  </w:style>
  <w:style w:type="paragraph" w:customStyle="1" w:styleId="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主送单位"/>
    <w:basedOn w:val="1"/>
    <w:qFormat/>
    <w:uiPriority w:val="0"/>
    <w:pPr>
      <w:jc w:val="left"/>
    </w:pPr>
    <w:rPr>
      <w:szCs w:val="32"/>
    </w:rPr>
  </w:style>
  <w:style w:type="paragraph" w:customStyle="1" w:styleId="36">
    <w:name w:val="List Paragraph_40b67d30-6b8b-4697-8f49-97c11e174001"/>
    <w:basedOn w:val="1"/>
    <w:qFormat/>
    <w:uiPriority w:val="0"/>
    <w:pPr>
      <w:ind w:firstLine="420" w:firstLineChars="200"/>
    </w:pPr>
    <w:rPr>
      <w:rFonts w:ascii="Calibri" w:hAnsi="Calibri" w:cs="宋体"/>
      <w:szCs w:val="22"/>
    </w:rPr>
  </w:style>
  <w:style w:type="character" w:customStyle="1" w:styleId="37">
    <w:name w:val="批注文字 字符"/>
    <w:basedOn w:val="23"/>
    <w:link w:val="8"/>
    <w:qFormat/>
    <w:uiPriority w:val="0"/>
    <w:rPr>
      <w:rFonts w:ascii="Times New Roman" w:hAnsi="Times New Roman" w:eastAsia="宋体" w:cs="Times New Roman"/>
      <w:kern w:val="2"/>
      <w:sz w:val="21"/>
      <w:szCs w:val="24"/>
    </w:rPr>
  </w:style>
  <w:style w:type="character" w:customStyle="1" w:styleId="38">
    <w:name w:val="批注主题 字符"/>
    <w:basedOn w:val="37"/>
    <w:link w:val="19"/>
    <w:qFormat/>
    <w:uiPriority w:val="0"/>
    <w:rPr>
      <w:rFonts w:ascii="Times New Roman" w:hAnsi="Times New Roman" w:eastAsia="宋体" w:cs="Times New Roman"/>
      <w:b/>
      <w:bCs/>
      <w:kern w:val="2"/>
      <w:sz w:val="21"/>
      <w:szCs w:val="24"/>
    </w:rPr>
  </w:style>
  <w:style w:type="character" w:customStyle="1" w:styleId="39">
    <w:name w:val="批注框文本 字符"/>
    <w:basedOn w:val="23"/>
    <w:link w:val="1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8437</Words>
  <Characters>9182</Characters>
  <Lines>112</Lines>
  <Paragraphs>31</Paragraphs>
  <TotalTime>281</TotalTime>
  <ScaleCrop>false</ScaleCrop>
  <LinksUpToDate>false</LinksUpToDate>
  <CharactersWithSpaces>9341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2025-05-27T02:51:00Z</dcterms:created>
  <dc:creator>WPS_1730865205</dc:creator>
  <cp:lastModifiedBy>水晶海豚</cp:lastModifiedBy>
  <dcterms:modified xsi:type="dcterms:W3CDTF">2025-06-23T01:43:06Z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2B0FCEDDAA9148A18E7708C2B1B20B86_13</vt:lpwstr>
  </property>
  <property fmtid="{D5CDD505-2E9C-101B-9397-08002B2CF9AE}" pid="4" name="KSOTemplateDocerSaveRecord">
    <vt:lpwstr>eyJoZGlkIjoiMjU4OGYyYzk4NzIyNWIxNDRlYWY3YTgyY2I2YzVmNzgiLCJ1c2VySWQiOiIyNzI4OTA3MjUifQ==</vt:lpwstr>
  </property>
</Properties>
</file>