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70655">
      <w:pPr>
        <w:adjustRightInd w:val="0"/>
        <w:snapToGrid w:val="0"/>
        <w:spacing w:line="340" w:lineRule="exact"/>
        <w:jc w:val="center"/>
      </w:pPr>
      <w:r>
        <w:rPr>
          <w:rFonts w:hint="eastAsia"/>
          <w:b/>
          <w:bCs/>
          <w:sz w:val="30"/>
          <w:szCs w:val="30"/>
          <w:lang w:eastAsia="zh-CN"/>
        </w:rPr>
        <w:t>（</w:t>
      </w:r>
      <w:r>
        <w:rPr>
          <w:rFonts w:hint="eastAsia"/>
          <w:b/>
          <w:bCs/>
          <w:sz w:val="30"/>
          <w:szCs w:val="30"/>
          <w:lang w:val="en-US" w:eastAsia="zh-CN"/>
        </w:rPr>
        <w:t>一</w:t>
      </w:r>
      <w:r>
        <w:rPr>
          <w:rFonts w:hint="eastAsia"/>
          <w:b/>
          <w:bCs/>
          <w:sz w:val="30"/>
          <w:szCs w:val="30"/>
          <w:lang w:eastAsia="zh-CN"/>
        </w:rPr>
        <w:t>）</w:t>
      </w:r>
      <w:r>
        <w:rPr>
          <w:rFonts w:hint="eastAsia"/>
          <w:b/>
          <w:bCs/>
          <w:sz w:val="30"/>
          <w:szCs w:val="30"/>
        </w:rPr>
        <w:t>全自动化学发光免疫分析仪技术参数要求</w:t>
      </w:r>
    </w:p>
    <w:p w14:paraId="79EAB7D4">
      <w:pPr>
        <w:adjustRightInd w:val="0"/>
        <w:snapToGrid w:val="0"/>
        <w:spacing w:line="340" w:lineRule="exact"/>
      </w:pPr>
      <w:r>
        <w:rPr>
          <w:rFonts w:hint="eastAsia"/>
        </w:rPr>
        <w:t>★1、检测方法：基于 AMPPD 和碱性磷酸酶的间接化学发光法；</w:t>
      </w:r>
    </w:p>
    <w:p w14:paraId="3C9B2EC3">
      <w:pPr>
        <w:adjustRightInd w:val="0"/>
        <w:snapToGrid w:val="0"/>
        <w:spacing w:line="340" w:lineRule="exact"/>
      </w:pPr>
      <w:r>
        <w:rPr>
          <w:rFonts w:hint="eastAsia"/>
        </w:rPr>
        <w:t>2、样本类型：人体的血清、血浆样本；</w:t>
      </w:r>
    </w:p>
    <w:p w14:paraId="285DB44D">
      <w:pPr>
        <w:adjustRightInd w:val="0"/>
        <w:snapToGrid w:val="0"/>
        <w:spacing w:line="340" w:lineRule="exact"/>
      </w:pPr>
      <w:r>
        <w:rPr>
          <w:rFonts w:hint="eastAsia"/>
        </w:rPr>
        <w:t>3、可开展项目：地高辛、环孢霉素、他克莫司、霉酚酸、雷帕霉素 丙戊酸、卡马西平、苯妥英、总利培酮、万古霉素、利奈唑胺、庆大霉素、伏立康唑、甲氨蝶呤、五氟尿嘧啶、紫杉醇、IL6、IgE、E2，hs-cTnI，PCT，hs-cTnT等；</w:t>
      </w:r>
    </w:p>
    <w:p w14:paraId="2DDAB010">
      <w:pPr>
        <w:adjustRightInd w:val="0"/>
        <w:snapToGrid w:val="0"/>
        <w:spacing w:line="340" w:lineRule="exact"/>
      </w:pPr>
      <w:r>
        <w:rPr>
          <w:rFonts w:hint="eastAsia"/>
        </w:rPr>
        <w:t>★4、 检测通量：测试速度最大可达 200 项/小时；</w:t>
      </w:r>
    </w:p>
    <w:p w14:paraId="39A1113B">
      <w:pPr>
        <w:adjustRightInd w:val="0"/>
        <w:snapToGrid w:val="0"/>
        <w:spacing w:line="340" w:lineRule="exact"/>
      </w:pPr>
      <w:r>
        <w:rPr>
          <w:rFonts w:hint="eastAsia"/>
        </w:rPr>
        <w:t>★5、出第一结果时间: ≤15min；</w:t>
      </w:r>
    </w:p>
    <w:p w14:paraId="432B6F9D">
      <w:pPr>
        <w:adjustRightInd w:val="0"/>
        <w:snapToGrid w:val="0"/>
        <w:spacing w:line="340" w:lineRule="exact"/>
      </w:pPr>
      <w:r>
        <w:rPr>
          <w:rFonts w:hint="eastAsia"/>
        </w:rPr>
        <w:t xml:space="preserve">★6、样本位：≥60个； </w:t>
      </w:r>
    </w:p>
    <w:p w14:paraId="7465B718">
      <w:pPr>
        <w:adjustRightInd w:val="0"/>
        <w:snapToGrid w:val="0"/>
        <w:spacing w:line="340" w:lineRule="exact"/>
      </w:pPr>
      <w:r>
        <w:rPr>
          <w:rFonts w:hint="eastAsia"/>
        </w:rPr>
        <w:t xml:space="preserve">7、试剂位：≥25个； </w:t>
      </w:r>
    </w:p>
    <w:p w14:paraId="7D2E1B7C">
      <w:pPr>
        <w:adjustRightInd w:val="0"/>
        <w:snapToGrid w:val="0"/>
        <w:spacing w:line="340" w:lineRule="exact"/>
      </w:pPr>
      <w:r>
        <w:rPr>
          <w:rFonts w:hint="eastAsia"/>
        </w:rPr>
        <w:t>8、定标类型: 2 点或 3 点定标（根据项目不同）；</w:t>
      </w:r>
    </w:p>
    <w:p w14:paraId="6CE16958">
      <w:pPr>
        <w:adjustRightInd w:val="0"/>
        <w:snapToGrid w:val="0"/>
        <w:spacing w:line="340" w:lineRule="exact"/>
      </w:pPr>
      <w:r>
        <w:rPr>
          <w:rFonts w:hint="eastAsia"/>
        </w:rPr>
        <w:t>9、操作界面：全中文操作界面；</w:t>
      </w:r>
    </w:p>
    <w:p w14:paraId="104683A3">
      <w:pPr>
        <w:adjustRightInd w:val="0"/>
        <w:snapToGrid w:val="0"/>
        <w:spacing w:line="340" w:lineRule="exact"/>
      </w:pPr>
      <w:r>
        <w:rPr>
          <w:rFonts w:hint="eastAsia"/>
        </w:rPr>
        <w:t>10、试剂冷藏：24小时不间断冷藏，试剂盘冷藏温度 2℃～8℃；</w:t>
      </w:r>
    </w:p>
    <w:p w14:paraId="7C34C865">
      <w:pPr>
        <w:adjustRightInd w:val="0"/>
        <w:snapToGrid w:val="0"/>
        <w:spacing w:line="340" w:lineRule="exact"/>
      </w:pPr>
      <w:r>
        <w:rPr>
          <w:rFonts w:hint="eastAsia"/>
        </w:rPr>
        <w:t xml:space="preserve">11、温度稳定性：37℃± 0.3℃，温度波动度 ≤ 0.2℃； </w:t>
      </w:r>
    </w:p>
    <w:p w14:paraId="0FF8D623">
      <w:pPr>
        <w:adjustRightInd w:val="0"/>
        <w:snapToGrid w:val="0"/>
        <w:spacing w:line="340" w:lineRule="exact"/>
      </w:pPr>
      <w:r>
        <w:rPr>
          <w:rFonts w:hint="eastAsia"/>
        </w:rPr>
        <w:t>12、批内重复性：CV ≤ 5%；</w:t>
      </w:r>
    </w:p>
    <w:p w14:paraId="583BB18A">
      <w:pPr>
        <w:adjustRightInd w:val="0"/>
        <w:snapToGrid w:val="0"/>
        <w:spacing w:line="340" w:lineRule="exact"/>
      </w:pPr>
      <w:r>
        <w:rPr>
          <w:rFonts w:hint="eastAsia"/>
        </w:rPr>
        <w:t>13、稳定性：分析仪开机处于稳定工作状态后第 4h、第 8h 的测试结果与处于稳定工作 状态初始时的测试结果的相对偏倚不超过±10%；</w:t>
      </w:r>
    </w:p>
    <w:p w14:paraId="0516D726">
      <w:pPr>
        <w:adjustRightInd w:val="0"/>
        <w:snapToGrid w:val="0"/>
        <w:spacing w:line="340" w:lineRule="exact"/>
      </w:pPr>
      <w:r>
        <w:rPr>
          <w:rFonts w:hint="eastAsia"/>
        </w:rPr>
        <w:t>14、支持液面探测功能；</w:t>
      </w:r>
    </w:p>
    <w:p w14:paraId="58488261">
      <w:pPr>
        <w:adjustRightInd w:val="0"/>
        <w:snapToGrid w:val="0"/>
        <w:spacing w:line="340" w:lineRule="exact"/>
      </w:pPr>
      <w:r>
        <w:rPr>
          <w:rFonts w:hint="eastAsia"/>
        </w:rPr>
        <w:t>15、硬件配置：处理器：内存 2GB、主频 4×1GHz 及以上 ；存储器：8GB 及以上；</w:t>
      </w:r>
    </w:p>
    <w:p w14:paraId="714BF9B1">
      <w:pPr>
        <w:adjustRightInd w:val="0"/>
        <w:snapToGrid w:val="0"/>
        <w:spacing w:line="340" w:lineRule="exact"/>
        <w:rPr>
          <w:rFonts w:hint="eastAsia"/>
        </w:rPr>
      </w:pPr>
      <w:r>
        <w:rPr>
          <w:rFonts w:hint="eastAsia"/>
        </w:rPr>
        <w:t>16、仪器保修期限：5年</w:t>
      </w:r>
    </w:p>
    <w:p w14:paraId="70BE9834">
      <w:pPr>
        <w:adjustRightInd w:val="0"/>
        <w:snapToGrid w:val="0"/>
        <w:spacing w:line="340" w:lineRule="exact"/>
      </w:pPr>
      <w:r>
        <w:rPr>
          <w:rFonts w:hint="eastAsia"/>
        </w:rPr>
        <w:t>17.</w:t>
      </w:r>
      <w:r>
        <w:rPr>
          <w:rFonts w:hint="eastAsia"/>
        </w:rPr>
        <w:tab/>
      </w:r>
      <w:r>
        <w:rPr>
          <w:rFonts w:hint="eastAsia"/>
        </w:rPr>
        <w:t>仪器生产时间：2025年以后生产的</w:t>
      </w:r>
    </w:p>
    <w:p w14:paraId="5A1903FB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（</w:t>
      </w:r>
      <w:r>
        <w:rPr>
          <w:rFonts w:hint="eastAsia"/>
          <w:b/>
          <w:bCs/>
          <w:sz w:val="30"/>
          <w:szCs w:val="30"/>
          <w:lang w:val="en-US" w:eastAsia="zh-CN"/>
        </w:rPr>
        <w:t>二</w:t>
      </w:r>
      <w:r>
        <w:rPr>
          <w:rFonts w:hint="eastAsia"/>
          <w:b/>
          <w:bCs/>
          <w:sz w:val="30"/>
          <w:szCs w:val="30"/>
          <w:lang w:eastAsia="zh-CN"/>
        </w:rPr>
        <w:t>）</w:t>
      </w:r>
      <w:r>
        <w:rPr>
          <w:rFonts w:hint="eastAsia"/>
          <w:b/>
          <w:bCs/>
          <w:sz w:val="30"/>
          <w:szCs w:val="30"/>
        </w:rPr>
        <w:t>全自动化学发光免疫分析仪配套试剂</w:t>
      </w:r>
    </w:p>
    <w:tbl>
      <w:tblPr>
        <w:tblStyle w:val="5"/>
        <w:tblW w:w="11490" w:type="dxa"/>
        <w:tblInd w:w="-14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635"/>
        <w:gridCol w:w="2655"/>
        <w:gridCol w:w="750"/>
        <w:gridCol w:w="2865"/>
      </w:tblGrid>
      <w:tr w14:paraId="2C723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9F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6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470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7E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包装规格</w:t>
            </w:r>
          </w:p>
        </w:tc>
        <w:tc>
          <w:tcPr>
            <w:tcW w:w="7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83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B96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具体要求</w:t>
            </w:r>
          </w:p>
        </w:tc>
      </w:tr>
      <w:tr w14:paraId="66FDC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774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80B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地高辛测定试剂盒(化学发光免疫分析法）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3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CD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BB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2BEAB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E9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他克莫司测定试剂盒(化学发光免疫分析法)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68A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CF2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EC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1BAA6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E61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26C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伏立康唑测定试剂盒(化学发光免疫分析法)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82B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86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E0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2F3E3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695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B19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利奈唑胺测定试剂盒(化学发光免疫分析法)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45F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958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35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3A43A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E95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E45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5氟尿嘧啶测定试剂盒(化学发光免疫分析法)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003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C8F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D4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2BBF5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F2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0C1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总利培酮测定试剂盒(化学发光免疫分析法)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3E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A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8B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5BB51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68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11E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紫杉醇测定试剂盒(化学发光免疫分析法)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5FC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04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610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08846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0AE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720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苯妥英测定试剂盒(化学发光免疫分析法)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6BD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BE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73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09DF5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CFD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7BD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丙戊酸测定试剂盒(化学发光免疫分析法)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BCD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308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D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758C7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779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572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茶碱测定试剂盒(化学发光免疫分析法)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BFF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378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252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551A3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C38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FB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万古霉素测定试剂盒(化学发光免疫分析法)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AB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0EA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B6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117AE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62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117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环孢霉素测定试剂盒(化学发光免疫分析法)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52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34A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677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58900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830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8C4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甲氨蝶呤测定试剂盒(化学发光免疫分析法)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E46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D8B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DA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5B4D1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35C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41A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卡马西平测定试剂盒(化学发光免疫分析法)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B37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CE0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2BF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46B72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FDA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BC0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雷帕霉素测定试剂盒(化学发光免疫分析法)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43D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A97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F4F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2341A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030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747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霉酚酸测定试剂盒(化学发光免疫分析法)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8A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530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35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123FE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98E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329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庆大霉素测定试剂盒(化学发光免疫分析法)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0CA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50人份/盒；100人份/盒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844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E1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所投设备必须能开展本项目</w:t>
            </w:r>
          </w:p>
        </w:tc>
      </w:tr>
      <w:tr w14:paraId="094C3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A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5386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8项药物浓度复合质控品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506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1mL*2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CD3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9996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D77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36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B7E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全血药物浓度质控品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75C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1mL*2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05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D50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90F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97B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56F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一次性反应杯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A54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1000个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034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776C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B7E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87A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2C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底物液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1B7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50ML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2AA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C899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38A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AFE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22E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1X清洗液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58F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10L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E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BC9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280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776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FB8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10X清洗液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3D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1L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E21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F4CB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3F0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D28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C65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强化清洗液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681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C4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9222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4C9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EAA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B6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酸液清洗液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A9C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999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F90C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E13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9B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742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样本稀释液（VM）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E6D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40ML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66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8E2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7F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C49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7AB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样本稀释液（Theo）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EE2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40ML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D7D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2FE9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3A8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477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01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样本释放剂（CsA）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49D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100人份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00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E0E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F93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2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851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样本释放剂（FK506）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40E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100人份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552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678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380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826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315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微量样品杯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B1B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1000个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F42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89E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682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E74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401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2ml离心管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D90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500个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F9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BDD4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35F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7AF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46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368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一次性废杯盒</w:t>
            </w:r>
          </w:p>
        </w:tc>
        <w:tc>
          <w:tcPr>
            <w:tcW w:w="26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631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D9F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86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89A5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42E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备注说明：</w:t>
      </w:r>
    </w:p>
    <w:p w14:paraId="3B244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投标人可以根据投标产品实际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的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注册证名称和规格进行填写报价表，试剂报价需精确到单测试。</w:t>
      </w:r>
    </w:p>
    <w:p w14:paraId="1D659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投标人可以根据投标产品试剂所需的耗材进行投标，上述表格内不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必须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使用的耗材可以不报价，耗材报价需要精准到单测试。</w:t>
      </w:r>
    </w:p>
    <w:p w14:paraId="387C4F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表格中明确要求“必须能开展本项目”的，投标人所投设备必须包含此类项目，否则投标无效。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mYjk2N2YwNTVmNTEzMjA4ZmE0Mjg1OTdjM2FjYzgifQ=="/>
  </w:docVars>
  <w:rsids>
    <w:rsidRoot w:val="0045108A"/>
    <w:rsid w:val="0045108A"/>
    <w:rsid w:val="004D5651"/>
    <w:rsid w:val="00535D41"/>
    <w:rsid w:val="008640F5"/>
    <w:rsid w:val="01D67CFA"/>
    <w:rsid w:val="217F21D3"/>
    <w:rsid w:val="46DC3BD1"/>
    <w:rsid w:val="4EFB41B1"/>
    <w:rsid w:val="4F2F6C01"/>
    <w:rsid w:val="593B4F18"/>
    <w:rsid w:val="752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1560</Words>
  <Characters>1751</Characters>
  <Lines>13</Lines>
  <Paragraphs>3</Paragraphs>
  <TotalTime>15</TotalTime>
  <ScaleCrop>false</ScaleCrop>
  <LinksUpToDate>false</LinksUpToDate>
  <CharactersWithSpaces>1781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2025-07-10T09:17:00Z</dcterms:created>
  <dc:creator>15078</dc:creator>
  <cp:lastModifiedBy>大艳</cp:lastModifiedBy>
  <dcterms:modified xsi:type="dcterms:W3CDTF">2025-07-15T00:38:47Z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5DE3B8B3BC554726909DCA7989FB1140_13</vt:lpwstr>
  </property>
  <property fmtid="{D5CDD505-2E9C-101B-9397-08002B2CF9AE}" pid="4" name="KSOTemplateDocerSaveRecord">
    <vt:lpwstr>eyJoZGlkIjoiNzU0ZWYxMTk4YWYwNDg5M2VkOGIwNjZhYTcwYjVhOTIiLCJ1c2VySWQiOiI3NTAwNDA0MzIifQ==</vt:lpwstr>
  </property>
</Properties>
</file>