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AC7F7">
      <w:pPr>
        <w:pStyle w:val="11"/>
        <w:spacing w:line="400" w:lineRule="exact"/>
        <w:jc w:val="center"/>
        <w:rPr>
          <w:rFonts w:ascii="Arial" w:hAnsi="Arial" w:eastAsia="楷体_GB2312" w:cs="Arial"/>
          <w:b/>
          <w:bCs/>
          <w:sz w:val="56"/>
          <w:szCs w:val="72"/>
        </w:rPr>
      </w:pPr>
    </w:p>
    <w:p w14:paraId="27362294">
      <w:pPr>
        <w:pStyle w:val="11"/>
        <w:spacing w:line="400" w:lineRule="exact"/>
        <w:jc w:val="center"/>
        <w:rPr>
          <w:rFonts w:ascii="Arial" w:hAnsi="Arial" w:eastAsia="楷体_GB2312" w:cs="Arial"/>
          <w:b/>
          <w:bCs/>
          <w:sz w:val="56"/>
          <w:szCs w:val="72"/>
        </w:rPr>
      </w:pPr>
    </w:p>
    <w:p w14:paraId="62D9450E">
      <w:pPr>
        <w:pStyle w:val="11"/>
        <w:spacing w:line="400" w:lineRule="exact"/>
        <w:jc w:val="center"/>
        <w:rPr>
          <w:rFonts w:ascii="Arial" w:hAnsi="Arial" w:eastAsia="楷体_GB2312" w:cs="Arial"/>
          <w:b/>
          <w:bCs/>
          <w:sz w:val="56"/>
          <w:szCs w:val="72"/>
        </w:rPr>
      </w:pPr>
    </w:p>
    <w:p w14:paraId="443B1A41">
      <w:pPr>
        <w:pStyle w:val="11"/>
        <w:spacing w:line="400" w:lineRule="exact"/>
        <w:jc w:val="center"/>
        <w:rPr>
          <w:rFonts w:ascii="Arial" w:hAnsi="Arial" w:eastAsia="楷体_GB2312" w:cs="Arial"/>
          <w:b/>
          <w:bCs/>
          <w:sz w:val="56"/>
          <w:szCs w:val="72"/>
        </w:rPr>
      </w:pPr>
    </w:p>
    <w:p w14:paraId="2A6B063B">
      <w:pPr>
        <w:pStyle w:val="11"/>
        <w:spacing w:line="400" w:lineRule="exact"/>
        <w:jc w:val="center"/>
        <w:rPr>
          <w:rFonts w:ascii="Arial" w:hAnsi="Arial" w:eastAsia="楷体_GB2312" w:cs="Arial"/>
          <w:b/>
          <w:bCs/>
          <w:sz w:val="56"/>
          <w:szCs w:val="72"/>
        </w:rPr>
      </w:pPr>
    </w:p>
    <w:p w14:paraId="66DADE5F">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hAnsi="Arial" w:eastAsia="楷体_GB2312" w:cs="Arial"/>
          <w:b/>
          <w:bCs/>
          <w:sz w:val="56"/>
          <w:szCs w:val="72"/>
        </w:rPr>
      </w:pPr>
    </w:p>
    <w:p w14:paraId="7591D3A7">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宋体"/>
          <w:b/>
          <w:bCs/>
          <w:sz w:val="48"/>
          <w:szCs w:val="48"/>
        </w:rPr>
      </w:pPr>
      <w:r>
        <w:rPr>
          <w:rFonts w:hint="eastAsia" w:hAnsi="宋体" w:cs="宋体"/>
          <w:b/>
          <w:bCs/>
          <w:sz w:val="48"/>
          <w:szCs w:val="48"/>
        </w:rPr>
        <w:t>桂林市人民医院</w:t>
      </w:r>
    </w:p>
    <w:p w14:paraId="4BD1881D">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b/>
          <w:bCs/>
          <w:sz w:val="48"/>
          <w:szCs w:val="48"/>
          <w:lang w:val="en-US" w:eastAsia="zh-CN"/>
        </w:rPr>
      </w:pPr>
      <w:r>
        <w:rPr>
          <w:rFonts w:hint="eastAsia" w:hAnsi="宋体" w:cs="宋体"/>
          <w:b/>
          <w:bCs/>
          <w:sz w:val="48"/>
          <w:szCs w:val="48"/>
          <w:lang w:val="en-US" w:eastAsia="zh-CN"/>
        </w:rPr>
        <w:t>注意力评估和认知能力训练系统项目</w:t>
      </w:r>
    </w:p>
    <w:p w14:paraId="76719225">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宋体"/>
          <w:b/>
          <w:bCs/>
          <w:sz w:val="48"/>
          <w:szCs w:val="48"/>
        </w:rPr>
      </w:pPr>
      <w:r>
        <w:rPr>
          <w:rFonts w:hint="eastAsia" w:hAnsi="宋体" w:cs="宋体"/>
          <w:b/>
          <w:bCs/>
          <w:sz w:val="48"/>
          <w:szCs w:val="48"/>
        </w:rPr>
        <w:t>招标文件</w:t>
      </w:r>
    </w:p>
    <w:p w14:paraId="7E00859B">
      <w:pPr>
        <w:pStyle w:val="11"/>
        <w:spacing w:line="400" w:lineRule="exact"/>
        <w:jc w:val="center"/>
        <w:rPr>
          <w:rFonts w:ascii="Arial" w:hAnsi="Arial" w:eastAsia="楷体_GB2312" w:cs="Arial"/>
          <w:b/>
          <w:bCs/>
          <w:sz w:val="24"/>
          <w:szCs w:val="24"/>
        </w:rPr>
      </w:pPr>
    </w:p>
    <w:p w14:paraId="7512885C">
      <w:pPr>
        <w:pStyle w:val="11"/>
        <w:spacing w:line="400" w:lineRule="exact"/>
        <w:ind w:firstLine="2695"/>
        <w:rPr>
          <w:rFonts w:ascii="Arial" w:hAnsi="Arial" w:cs="Arial"/>
          <w:sz w:val="24"/>
          <w:szCs w:val="24"/>
        </w:rPr>
      </w:pPr>
    </w:p>
    <w:p w14:paraId="630637C4">
      <w:pPr>
        <w:pStyle w:val="11"/>
        <w:spacing w:line="400" w:lineRule="exact"/>
        <w:ind w:firstLine="2695"/>
        <w:rPr>
          <w:rFonts w:ascii="Arial" w:hAnsi="Arial" w:cs="Arial"/>
          <w:sz w:val="28"/>
        </w:rPr>
      </w:pPr>
      <w:r>
        <w:rPr>
          <w:rFonts w:ascii="Arial" w:hAnsi="Arial" w:cs="Arial"/>
          <w:sz w:val="28"/>
        </w:rPr>
        <w:cr/>
      </w:r>
    </w:p>
    <w:p w14:paraId="00964E45">
      <w:pPr>
        <w:pStyle w:val="11"/>
        <w:spacing w:line="400" w:lineRule="exact"/>
        <w:ind w:firstLine="2695"/>
        <w:rPr>
          <w:rFonts w:ascii="Arial" w:hAnsi="Arial" w:cs="Arial"/>
          <w:sz w:val="28"/>
        </w:rPr>
      </w:pPr>
    </w:p>
    <w:p w14:paraId="21456E68">
      <w:pPr>
        <w:pStyle w:val="11"/>
        <w:spacing w:line="400" w:lineRule="exact"/>
        <w:ind w:firstLine="2695"/>
        <w:rPr>
          <w:rFonts w:ascii="Arial" w:hAnsi="Arial" w:cs="Arial"/>
          <w:sz w:val="28"/>
        </w:rPr>
      </w:pPr>
    </w:p>
    <w:p w14:paraId="7FA94E3E">
      <w:pPr>
        <w:pStyle w:val="11"/>
        <w:spacing w:line="400" w:lineRule="exact"/>
        <w:ind w:firstLine="2695"/>
        <w:rPr>
          <w:rFonts w:ascii="Arial" w:hAnsi="Arial" w:cs="Arial"/>
          <w:sz w:val="28"/>
        </w:rPr>
      </w:pPr>
    </w:p>
    <w:p w14:paraId="1D2B8A4A">
      <w:pPr>
        <w:pStyle w:val="11"/>
        <w:spacing w:line="400" w:lineRule="exact"/>
        <w:ind w:firstLine="2695"/>
        <w:rPr>
          <w:rFonts w:ascii="Arial" w:hAnsi="Arial" w:cs="Arial"/>
          <w:sz w:val="28"/>
        </w:rPr>
      </w:pPr>
    </w:p>
    <w:p w14:paraId="2A64E804">
      <w:pPr>
        <w:pStyle w:val="11"/>
        <w:spacing w:line="400" w:lineRule="exact"/>
        <w:ind w:firstLine="2695"/>
        <w:rPr>
          <w:rFonts w:ascii="Arial" w:hAnsi="Arial" w:cs="Arial"/>
          <w:sz w:val="28"/>
        </w:rPr>
      </w:pPr>
    </w:p>
    <w:p w14:paraId="7C259E97">
      <w:pPr>
        <w:pStyle w:val="11"/>
        <w:spacing w:line="400" w:lineRule="exact"/>
        <w:rPr>
          <w:rFonts w:ascii="Arial" w:hAnsi="Arial" w:cs="Arial"/>
          <w:sz w:val="28"/>
        </w:rPr>
      </w:pPr>
    </w:p>
    <w:p w14:paraId="4A420F73">
      <w:pPr>
        <w:pStyle w:val="11"/>
        <w:spacing w:line="400" w:lineRule="exact"/>
        <w:rPr>
          <w:rFonts w:ascii="Arial" w:hAnsi="Arial" w:cs="Arial"/>
          <w:sz w:val="28"/>
        </w:rPr>
      </w:pPr>
    </w:p>
    <w:p w14:paraId="63578DB6">
      <w:pPr>
        <w:pStyle w:val="4"/>
        <w:spacing w:line="400" w:lineRule="exact"/>
        <w:rPr>
          <w:rFonts w:ascii="Arial" w:hAnsi="Arial" w:cs="Arial"/>
          <w:sz w:val="28"/>
        </w:rPr>
      </w:pPr>
    </w:p>
    <w:p w14:paraId="30E45E47">
      <w:pPr>
        <w:spacing w:line="400" w:lineRule="exact"/>
        <w:rPr>
          <w:rFonts w:ascii="Arial" w:hAnsi="Arial" w:cs="Arial"/>
          <w:sz w:val="28"/>
        </w:rPr>
      </w:pPr>
    </w:p>
    <w:p w14:paraId="4401977E">
      <w:pPr>
        <w:spacing w:line="400" w:lineRule="exact"/>
        <w:rPr>
          <w:rFonts w:ascii="Arial" w:hAnsi="Arial" w:cs="Arial"/>
          <w:sz w:val="28"/>
        </w:rPr>
      </w:pPr>
    </w:p>
    <w:p w14:paraId="0C1DA47A">
      <w:pPr>
        <w:spacing w:line="400" w:lineRule="exact"/>
      </w:pPr>
    </w:p>
    <w:p w14:paraId="683B9EC8">
      <w:pPr>
        <w:spacing w:line="400" w:lineRule="exact"/>
        <w:rPr>
          <w:rFonts w:ascii="Arial" w:hAnsi="Arial" w:cs="Arial"/>
          <w:sz w:val="28"/>
        </w:rPr>
      </w:pPr>
    </w:p>
    <w:p w14:paraId="52473CEA">
      <w:pPr>
        <w:pStyle w:val="11"/>
        <w:spacing w:line="400" w:lineRule="exact"/>
        <w:rPr>
          <w:rFonts w:ascii="Arial" w:hAnsi="Arial" w:cs="Arial"/>
          <w:sz w:val="28"/>
        </w:rPr>
      </w:pPr>
    </w:p>
    <w:p w14:paraId="11F8CA2E">
      <w:pPr>
        <w:pStyle w:val="11"/>
        <w:spacing w:line="400" w:lineRule="exact"/>
        <w:jc w:val="center"/>
        <w:rPr>
          <w:rFonts w:hAnsi="宋体" w:cs="宋体"/>
          <w:b/>
          <w:bCs/>
          <w:sz w:val="36"/>
          <w:szCs w:val="36"/>
        </w:rPr>
      </w:pPr>
      <w:r>
        <w:rPr>
          <w:rFonts w:hint="eastAsia" w:hAnsi="宋体" w:cs="宋体"/>
          <w:b/>
          <w:bCs/>
          <w:sz w:val="36"/>
          <w:szCs w:val="36"/>
        </w:rPr>
        <w:t>2025年</w:t>
      </w:r>
      <w:r>
        <w:rPr>
          <w:rFonts w:hint="eastAsia" w:hAnsi="宋体" w:cs="宋体"/>
          <w:b/>
          <w:bCs/>
          <w:sz w:val="36"/>
          <w:szCs w:val="36"/>
          <w:lang w:val="en-US" w:eastAsia="zh-CN"/>
        </w:rPr>
        <w:t>7</w:t>
      </w:r>
      <w:r>
        <w:rPr>
          <w:rFonts w:hint="eastAsia" w:hAnsi="宋体" w:cs="宋体"/>
          <w:b/>
          <w:bCs/>
          <w:sz w:val="36"/>
          <w:szCs w:val="36"/>
        </w:rPr>
        <w:t>月</w:t>
      </w:r>
      <w:r>
        <w:rPr>
          <w:rFonts w:hint="eastAsia" w:hAnsi="宋体" w:cs="宋体"/>
          <w:b/>
          <w:bCs/>
          <w:sz w:val="36"/>
          <w:szCs w:val="36"/>
          <w:lang w:val="en-US" w:eastAsia="zh-CN"/>
        </w:rPr>
        <w:t>29</w:t>
      </w:r>
      <w:r>
        <w:rPr>
          <w:rFonts w:hint="eastAsia" w:hAnsi="宋体" w:cs="宋体"/>
          <w:b/>
          <w:bCs/>
          <w:sz w:val="36"/>
          <w:szCs w:val="36"/>
        </w:rPr>
        <w:t>日</w:t>
      </w:r>
    </w:p>
    <w:p w14:paraId="10711324">
      <w:pPr>
        <w:pStyle w:val="11"/>
        <w:spacing w:line="400" w:lineRule="exact"/>
        <w:jc w:val="center"/>
        <w:rPr>
          <w:rFonts w:hAnsi="宋体" w:cs="宋体"/>
          <w:b/>
          <w:bCs/>
          <w:sz w:val="36"/>
          <w:szCs w:val="36"/>
        </w:rPr>
      </w:pPr>
    </w:p>
    <w:p w14:paraId="5CF80A0B">
      <w:pPr>
        <w:pStyle w:val="11"/>
        <w:spacing w:line="400" w:lineRule="exact"/>
        <w:rPr>
          <w:rFonts w:hAnsi="宋体" w:cs="宋体"/>
          <w:b/>
          <w:bCs/>
          <w:sz w:val="36"/>
          <w:szCs w:val="36"/>
        </w:rPr>
      </w:pPr>
    </w:p>
    <w:p w14:paraId="32A62A27">
      <w:pPr>
        <w:pStyle w:val="11"/>
        <w:spacing w:line="400" w:lineRule="exact"/>
        <w:rPr>
          <w:rFonts w:hAnsi="宋体" w:cs="宋体"/>
          <w:b/>
          <w:bCs/>
          <w:sz w:val="36"/>
          <w:szCs w:val="36"/>
        </w:rPr>
      </w:pPr>
    </w:p>
    <w:p w14:paraId="7BD052AE">
      <w:pPr>
        <w:pStyle w:val="26"/>
        <w:spacing w:before="0" w:line="400" w:lineRule="exact"/>
        <w:ind w:left="0"/>
        <w:jc w:val="both"/>
        <w:rPr>
          <w:rFonts w:ascii="Arial" w:hAnsi="宋体" w:eastAsia="宋体" w:cs="Arial"/>
          <w:b/>
          <w:bCs/>
          <w:color w:val="auto"/>
          <w:sz w:val="44"/>
          <w:szCs w:val="44"/>
          <w:lang w:val="zh-CN"/>
        </w:rPr>
      </w:pPr>
    </w:p>
    <w:p w14:paraId="0200D10E">
      <w:pPr>
        <w:pStyle w:val="26"/>
        <w:spacing w:before="0" w:line="400" w:lineRule="exact"/>
        <w:ind w:left="0"/>
        <w:jc w:val="center"/>
        <w:rPr>
          <w:rFonts w:ascii="Arial" w:hAnsi="宋体" w:eastAsia="宋体" w:cs="Arial"/>
          <w:b/>
          <w:bCs/>
          <w:color w:val="auto"/>
          <w:sz w:val="44"/>
          <w:szCs w:val="44"/>
          <w:lang w:val="zh-CN"/>
        </w:rPr>
      </w:pPr>
    </w:p>
    <w:p w14:paraId="7460B2AA">
      <w:pPr>
        <w:pStyle w:val="26"/>
        <w:spacing w:before="0" w:line="46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3CB326E3">
      <w:pPr>
        <w:spacing w:line="400" w:lineRule="exact"/>
      </w:pPr>
    </w:p>
    <w:p w14:paraId="3FE79813">
      <w:pPr>
        <w:pStyle w:val="10"/>
        <w:tabs>
          <w:tab w:val="right" w:leader="dot" w:pos="9628"/>
        </w:tabs>
        <w:spacing w:line="400" w:lineRule="exact"/>
        <w:ind w:left="0" w:leftChars="0"/>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"_Toc33820534" </w:instrText>
      </w:r>
      <w:r>
        <w:fldChar w:fldCharType="separate"/>
      </w:r>
      <w:r>
        <w:rPr>
          <w:rStyle w:val="24"/>
          <w:rFonts w:ascii="Arial" w:cs="Arial"/>
          <w:sz w:val="24"/>
        </w:rPr>
        <w:t>第一章</w:t>
      </w:r>
      <w:r>
        <w:rPr>
          <w:rStyle w:val="24"/>
          <w:rFonts w:hint="eastAsia" w:ascii="Arial" w:cs="Arial"/>
          <w:sz w:val="24"/>
        </w:rPr>
        <w:t xml:space="preserve">  招标</w:t>
      </w:r>
      <w:r>
        <w:rPr>
          <w:rStyle w:val="24"/>
          <w:rFonts w:ascii="Arial" w:cs="Arial"/>
          <w:sz w:val="24"/>
        </w:rPr>
        <w:t>公告</w:t>
      </w:r>
      <w:r>
        <w:rPr>
          <w:rFonts w:ascii="Arial" w:hAnsi="Arial" w:cs="Arial"/>
          <w:color w:val="0000FF"/>
          <w:sz w:val="24"/>
        </w:rPr>
        <w:tab/>
      </w:r>
      <w:r>
        <w:rPr>
          <w:rFonts w:hint="eastAsia" w:ascii="Arial" w:hAnsi="Arial" w:cs="Arial"/>
          <w:color w:val="0000FF"/>
          <w:sz w:val="24"/>
        </w:rPr>
        <w:t>3</w:t>
      </w:r>
      <w:r>
        <w:rPr>
          <w:rFonts w:hint="eastAsia" w:ascii="Arial" w:hAnsi="Arial" w:cs="Arial"/>
          <w:color w:val="0000FF"/>
          <w:sz w:val="24"/>
        </w:rPr>
        <w:fldChar w:fldCharType="end"/>
      </w:r>
    </w:p>
    <w:p w14:paraId="32C1E0ED">
      <w:pPr>
        <w:pStyle w:val="10"/>
        <w:tabs>
          <w:tab w:val="right" w:leader="dot" w:pos="9628"/>
        </w:tabs>
        <w:spacing w:line="400" w:lineRule="exact"/>
        <w:ind w:left="0" w:leftChars="0"/>
        <w:rPr>
          <w:color w:val="0000FF"/>
        </w:rPr>
      </w:pPr>
      <w:r>
        <w:fldChar w:fldCharType="begin"/>
      </w:r>
      <w:r>
        <w:instrText xml:space="preserve"> HYPERLINK \l "_Toc33820536" </w:instrText>
      </w:r>
      <w:r>
        <w:fldChar w:fldCharType="separate"/>
      </w:r>
      <w:r>
        <w:rPr>
          <w:rStyle w:val="24"/>
          <w:rFonts w:ascii="Arial" w:cs="Arial"/>
          <w:sz w:val="24"/>
        </w:rPr>
        <w:t>第</w:t>
      </w:r>
      <w:r>
        <w:rPr>
          <w:rStyle w:val="24"/>
          <w:rFonts w:hint="eastAsia" w:ascii="Arial" w:cs="Arial"/>
          <w:sz w:val="24"/>
        </w:rPr>
        <w:t>二</w:t>
      </w:r>
      <w:r>
        <w:rPr>
          <w:rStyle w:val="24"/>
          <w:rFonts w:ascii="Arial" w:cs="Arial"/>
          <w:sz w:val="24"/>
        </w:rPr>
        <w:t>章</w:t>
      </w:r>
      <w:r>
        <w:rPr>
          <w:rStyle w:val="24"/>
          <w:rFonts w:hint="eastAsia" w:ascii="Arial" w:cs="Arial"/>
          <w:sz w:val="24"/>
        </w:rPr>
        <w:t xml:space="preserve">  </w:t>
      </w:r>
      <w:r>
        <w:rPr>
          <w:rStyle w:val="24"/>
          <w:rFonts w:ascii="Arial" w:cs="Arial"/>
          <w:sz w:val="24"/>
        </w:rPr>
        <w:t>项目需求和说明</w:t>
      </w:r>
      <w:r>
        <w:rPr>
          <w:rFonts w:ascii="Arial" w:hAnsi="Arial" w:cs="Arial"/>
          <w:color w:val="0000FF"/>
          <w:sz w:val="24"/>
        </w:rPr>
        <w:tab/>
      </w:r>
      <w:r>
        <w:rPr>
          <w:rFonts w:hint="eastAsia" w:ascii="Arial" w:hAnsi="Arial" w:cs="Arial"/>
          <w:color w:val="0000FF"/>
          <w:sz w:val="24"/>
        </w:rPr>
        <w:t>5</w:t>
      </w:r>
      <w:r>
        <w:rPr>
          <w:rFonts w:hint="eastAsia" w:ascii="Arial" w:hAnsi="Arial" w:cs="Arial"/>
          <w:color w:val="0000FF"/>
          <w:sz w:val="24"/>
        </w:rPr>
        <w:fldChar w:fldCharType="end"/>
      </w:r>
    </w:p>
    <w:p w14:paraId="52DEBDA3">
      <w:pPr>
        <w:pStyle w:val="10"/>
        <w:tabs>
          <w:tab w:val="right" w:leader="dot" w:pos="9628"/>
        </w:tabs>
        <w:spacing w:line="400" w:lineRule="exact"/>
        <w:ind w:left="0" w:leftChars="0"/>
        <w:rPr>
          <w:rFonts w:hint="default" w:ascii="Arial" w:hAnsi="Arial" w:eastAsia="宋体" w:cs="Arial"/>
          <w:color w:val="0000FF"/>
          <w:sz w:val="24"/>
          <w:lang w:val="en-US" w:eastAsia="zh-CN"/>
        </w:rPr>
      </w:pPr>
      <w:r>
        <w:fldChar w:fldCharType="begin"/>
      </w:r>
      <w:r>
        <w:instrText xml:space="preserve"> HYPERLINK \l "_Toc33820536" </w:instrText>
      </w:r>
      <w:r>
        <w:fldChar w:fldCharType="separate"/>
      </w:r>
      <w:r>
        <w:rPr>
          <w:rFonts w:hint="eastAsia"/>
          <w:sz w:val="24"/>
        </w:rPr>
        <w:t>第三章  评标办法</w:t>
      </w:r>
      <w:r>
        <w:rPr>
          <w:rFonts w:ascii="Arial" w:hAnsi="Arial" w:cs="Arial"/>
          <w:color w:val="0000FF"/>
          <w:sz w:val="24"/>
        </w:rPr>
        <w:tab/>
      </w:r>
      <w:r>
        <w:rPr>
          <w:rFonts w:ascii="Arial" w:hAnsi="Arial" w:cs="Arial"/>
          <w:color w:val="0000FF"/>
          <w:sz w:val="24"/>
        </w:rPr>
        <w:fldChar w:fldCharType="end"/>
      </w:r>
      <w:r>
        <w:rPr>
          <w:rFonts w:hint="eastAsia" w:ascii="Arial" w:hAnsi="Arial" w:cs="Arial"/>
          <w:color w:val="0000FF"/>
          <w:sz w:val="24"/>
          <w:lang w:val="en-US" w:eastAsia="zh-CN"/>
        </w:rPr>
        <w:t>13</w:t>
      </w:r>
    </w:p>
    <w:p w14:paraId="461DF260">
      <w:pPr>
        <w:pStyle w:val="10"/>
        <w:tabs>
          <w:tab w:val="right" w:leader="dot" w:pos="9628"/>
        </w:tabs>
        <w:spacing w:line="400" w:lineRule="exact"/>
        <w:ind w:left="0" w:leftChars="0"/>
        <w:rPr>
          <w:rFonts w:hint="default" w:ascii="Arial" w:hAnsi="Arial" w:eastAsia="宋体" w:cs="Arial"/>
          <w:color w:val="0000FF"/>
          <w:sz w:val="24"/>
          <w:lang w:val="en-US" w:eastAsia="zh-CN"/>
        </w:rPr>
      </w:pPr>
      <w:r>
        <w:rPr>
          <w:rFonts w:hint="eastAsia" w:ascii="Arial" w:hAnsi="Arial" w:cs="Arial"/>
          <w:color w:val="0000FF"/>
          <w:sz w:val="24"/>
        </w:rPr>
        <w:t>第四章  招标文件格式</w:t>
      </w:r>
      <w:r>
        <w:rPr>
          <w:rFonts w:ascii="Arial" w:hAnsi="Arial" w:cs="Arial"/>
          <w:color w:val="0000FF"/>
          <w:sz w:val="24"/>
        </w:rPr>
        <w:tab/>
      </w:r>
      <w:r>
        <w:rPr>
          <w:rFonts w:ascii="Arial" w:hAnsi="Arial" w:cs="Arial"/>
          <w:color w:val="0000FF"/>
          <w:sz w:val="24"/>
        </w:rPr>
        <w:t>……………………………………………………………………………</w:t>
      </w:r>
      <w:r>
        <w:rPr>
          <w:rFonts w:hint="eastAsia" w:ascii="Arial" w:hAnsi="Arial" w:cs="Arial"/>
          <w:color w:val="0000FF"/>
          <w:sz w:val="24"/>
          <w:lang w:val="en-US" w:eastAsia="zh-CN"/>
        </w:rPr>
        <w:t>15</w:t>
      </w:r>
    </w:p>
    <w:p w14:paraId="05E836C1">
      <w:pPr>
        <w:spacing w:line="400" w:lineRule="exact"/>
      </w:pPr>
    </w:p>
    <w:p w14:paraId="3889307A">
      <w:pPr>
        <w:spacing w:line="400" w:lineRule="exact"/>
        <w:jc w:val="center"/>
        <w:rPr>
          <w:rFonts w:ascii="Arial" w:hAnsi="Arial" w:cs="Arial"/>
          <w:b/>
          <w:bCs/>
          <w:lang w:val="zh-CN"/>
        </w:rPr>
      </w:pPr>
      <w:r>
        <w:rPr>
          <w:rFonts w:ascii="Arial" w:hAnsi="Arial" w:cs="Arial"/>
          <w:b/>
          <w:bCs/>
          <w:lang w:val="zh-CN"/>
        </w:rPr>
        <w:fldChar w:fldCharType="end"/>
      </w:r>
    </w:p>
    <w:p w14:paraId="0215922A">
      <w:pPr>
        <w:spacing w:line="400" w:lineRule="exact"/>
        <w:jc w:val="center"/>
        <w:rPr>
          <w:rFonts w:ascii="宋体" w:hAnsi="宋体" w:cs="宋体"/>
          <w:b/>
          <w:bCs/>
          <w:color w:val="000000" w:themeColor="text1"/>
          <w:sz w:val="32"/>
          <w:szCs w:val="32"/>
          <w14:textFill>
            <w14:solidFill>
              <w14:schemeClr w14:val="tx1"/>
            </w14:solidFill>
          </w14:textFill>
        </w:rPr>
        <w:sectPr>
          <w:footerReference r:id="rId3" w:type="default"/>
          <w:pgSz w:w="11906" w:h="16838"/>
          <w:pgMar w:top="1440" w:right="1080" w:bottom="1440" w:left="1080" w:header="851" w:footer="992" w:gutter="0"/>
          <w:cols w:space="425" w:num="1"/>
          <w:docGrid w:type="lines" w:linePitch="312" w:charSpace="0"/>
        </w:sectPr>
      </w:pPr>
    </w:p>
    <w:p w14:paraId="10950092">
      <w:pPr>
        <w:pStyle w:val="2"/>
        <w:spacing w:line="400" w:lineRule="exact"/>
        <w:jc w:val="center"/>
        <w:rPr>
          <w:sz w:val="32"/>
          <w:szCs w:val="32"/>
        </w:rPr>
      </w:pPr>
      <w:r>
        <w:rPr>
          <w:rFonts w:hint="eastAsia"/>
          <w:sz w:val="32"/>
          <w:szCs w:val="32"/>
        </w:rPr>
        <w:t>第一章  招标公告</w:t>
      </w:r>
    </w:p>
    <w:p w14:paraId="3F439411">
      <w:pPr>
        <w:spacing w:line="400" w:lineRule="exact"/>
        <w:ind w:firstLine="480" w:firstLineChars="200"/>
        <w:rPr>
          <w:rFonts w:ascii="宋体" w:hAnsi="宋体" w:cs="宋体"/>
          <w:sz w:val="24"/>
        </w:rPr>
      </w:pPr>
    </w:p>
    <w:p w14:paraId="1E943568">
      <w:pPr>
        <w:spacing w:line="400" w:lineRule="exact"/>
        <w:ind w:firstLine="480" w:firstLineChars="200"/>
        <w:rPr>
          <w:rFonts w:ascii="宋体" w:hAnsi="宋体" w:cs="宋体"/>
          <w:sz w:val="24"/>
        </w:rPr>
      </w:pPr>
      <w:r>
        <w:rPr>
          <w:rFonts w:hint="eastAsia" w:ascii="宋体" w:hAnsi="宋体" w:cs="宋体"/>
          <w:sz w:val="24"/>
        </w:rPr>
        <w:t>现有桂林市人民医院注意力评估和认知能力训练系统</w:t>
      </w:r>
      <w:r>
        <w:rPr>
          <w:rFonts w:hint="eastAsia" w:ascii="宋体" w:hAnsi="宋体" w:cs="宋体"/>
          <w:bCs/>
          <w:sz w:val="24"/>
        </w:rPr>
        <w:t>采购</w:t>
      </w:r>
      <w:r>
        <w:rPr>
          <w:rFonts w:hint="eastAsia" w:ascii="宋体" w:hAnsi="宋体" w:cs="宋体"/>
          <w:sz w:val="24"/>
        </w:rPr>
        <w:t>项目，为确保质优价廉，决定通过院内公开招标确定供应商，现将有关内容公告如下：</w:t>
      </w:r>
    </w:p>
    <w:p w14:paraId="36D19978">
      <w:pPr>
        <w:spacing w:line="400" w:lineRule="exact"/>
        <w:ind w:firstLine="482" w:firstLineChars="200"/>
        <w:rPr>
          <w:rFonts w:ascii="宋体" w:hAnsi="宋体" w:cs="宋体"/>
          <w:b/>
          <w:bCs/>
          <w:sz w:val="24"/>
        </w:rPr>
      </w:pPr>
      <w:r>
        <w:rPr>
          <w:rFonts w:hint="eastAsia" w:ascii="宋体" w:hAnsi="宋体" w:cs="宋体"/>
          <w:b/>
          <w:bCs/>
          <w:sz w:val="24"/>
        </w:rPr>
        <w:t>一、项目基本情况：</w:t>
      </w:r>
    </w:p>
    <w:p w14:paraId="05DE7C3B">
      <w:pPr>
        <w:spacing w:line="400" w:lineRule="exact"/>
        <w:ind w:firstLine="482" w:firstLineChars="200"/>
        <w:rPr>
          <w:rFonts w:hint="eastAsia" w:ascii="宋体" w:hAnsi="宋体" w:cs="宋体"/>
          <w:sz w:val="24"/>
        </w:rPr>
      </w:pPr>
      <w:r>
        <w:rPr>
          <w:rFonts w:hint="eastAsia" w:ascii="宋体" w:hAnsi="宋体" w:cs="宋体"/>
          <w:b/>
          <w:bCs/>
          <w:sz w:val="24"/>
        </w:rPr>
        <w:t>（一）项目名称：</w:t>
      </w:r>
      <w:r>
        <w:rPr>
          <w:rFonts w:hint="eastAsia" w:ascii="宋体" w:hAnsi="宋体" w:cs="宋体"/>
          <w:sz w:val="24"/>
        </w:rPr>
        <w:t>桂林市人民医院注意力评估和认知能力训练系统</w:t>
      </w:r>
    </w:p>
    <w:p w14:paraId="7680CC7F">
      <w:pPr>
        <w:spacing w:line="400" w:lineRule="exact"/>
        <w:ind w:firstLine="482" w:firstLineChars="200"/>
        <w:rPr>
          <w:rFonts w:hint="eastAsia" w:ascii="宋体" w:hAnsi="宋体" w:eastAsia="宋体" w:cs="宋体"/>
          <w:sz w:val="24"/>
          <w:lang w:eastAsia="zh-CN"/>
        </w:rPr>
      </w:pPr>
      <w:r>
        <w:rPr>
          <w:rFonts w:hint="eastAsia" w:ascii="宋体" w:hAnsi="宋体" w:cs="宋体"/>
          <w:b/>
          <w:bCs/>
          <w:sz w:val="24"/>
        </w:rPr>
        <w:t>（二）项目编号：</w:t>
      </w:r>
      <w:r>
        <w:rPr>
          <w:rFonts w:hint="eastAsia" w:ascii="宋体" w:hAnsi="宋体" w:cs="宋体"/>
          <w:sz w:val="24"/>
        </w:rPr>
        <w:t>XXK-2025-01</w:t>
      </w:r>
      <w:r>
        <w:rPr>
          <w:rFonts w:hint="eastAsia" w:ascii="宋体" w:hAnsi="宋体" w:cs="宋体"/>
          <w:sz w:val="24"/>
          <w:lang w:val="en-US" w:eastAsia="zh-CN"/>
        </w:rPr>
        <w:t>7</w:t>
      </w:r>
    </w:p>
    <w:p w14:paraId="4632180D">
      <w:pPr>
        <w:spacing w:line="400" w:lineRule="exact"/>
        <w:ind w:left="480"/>
        <w:rPr>
          <w:rFonts w:ascii="宋体" w:hAnsi="宋体" w:cs="宋体"/>
          <w:b/>
          <w:bCs/>
          <w:sz w:val="24"/>
        </w:rPr>
      </w:pPr>
      <w:r>
        <w:rPr>
          <w:rFonts w:hint="eastAsia" w:ascii="宋体" w:hAnsi="宋体" w:cs="宋体"/>
          <w:b/>
          <w:bCs/>
          <w:sz w:val="24"/>
        </w:rPr>
        <w:t>（三）项目概况：</w:t>
      </w:r>
    </w:p>
    <w:p w14:paraId="0AD18491">
      <w:pPr>
        <w:spacing w:line="400" w:lineRule="exact"/>
        <w:ind w:firstLine="480" w:firstLineChars="200"/>
        <w:rPr>
          <w:rFonts w:ascii="宋体" w:hAnsi="宋体" w:cs="宋体"/>
          <w:sz w:val="24"/>
        </w:rPr>
      </w:pPr>
      <w:r>
        <w:rPr>
          <w:rFonts w:hint="eastAsia" w:ascii="宋体" w:hAnsi="宋体" w:cs="宋体"/>
          <w:sz w:val="24"/>
        </w:rPr>
        <w:t>1.通过院内公开招标确定桂林市人民医院注意力评估和认知能力训练系统项目供应商。</w:t>
      </w:r>
    </w:p>
    <w:p w14:paraId="22D759FD">
      <w:pPr>
        <w:spacing w:line="400" w:lineRule="exact"/>
        <w:ind w:firstLine="480" w:firstLineChars="200"/>
        <w:rPr>
          <w:rFonts w:ascii="宋体" w:hAnsi="宋体" w:cs="宋体"/>
          <w:sz w:val="24"/>
        </w:rPr>
      </w:pPr>
      <w:r>
        <w:rPr>
          <w:rFonts w:hint="eastAsia" w:ascii="宋体" w:hAnsi="宋体" w:cs="宋体"/>
          <w:sz w:val="24"/>
        </w:rPr>
        <w:t>2.服务地点：桂林市人民医院</w:t>
      </w:r>
    </w:p>
    <w:p w14:paraId="3AA3F1F0">
      <w:pPr>
        <w:spacing w:line="400" w:lineRule="exact"/>
        <w:ind w:firstLine="482" w:firstLineChars="200"/>
        <w:rPr>
          <w:rFonts w:ascii="宋体" w:hAnsi="宋体" w:cs="宋体"/>
          <w:sz w:val="24"/>
        </w:rPr>
      </w:pPr>
      <w:r>
        <w:rPr>
          <w:rFonts w:hint="eastAsia" w:ascii="宋体" w:hAnsi="宋体" w:eastAsia="宋体" w:cs="宋体"/>
          <w:b/>
          <w:bCs/>
          <w:sz w:val="24"/>
          <w:lang w:eastAsia="zh-CN"/>
        </w:rPr>
        <w:t>（</w:t>
      </w:r>
      <w:r>
        <w:rPr>
          <w:rFonts w:hint="eastAsia" w:ascii="宋体" w:hAnsi="宋体" w:cs="宋体"/>
          <w:b/>
          <w:bCs/>
          <w:sz w:val="24"/>
          <w:lang w:val="en-US" w:eastAsia="zh-CN"/>
        </w:rPr>
        <w:t>四</w:t>
      </w:r>
      <w:r>
        <w:rPr>
          <w:rFonts w:hint="eastAsia" w:ascii="宋体" w:hAnsi="宋体" w:eastAsia="宋体" w:cs="宋体"/>
          <w:b/>
          <w:bCs/>
          <w:sz w:val="24"/>
          <w:lang w:val="en-US" w:eastAsia="zh-CN"/>
        </w:rPr>
        <w:t>）</w:t>
      </w:r>
      <w:r>
        <w:rPr>
          <w:rFonts w:hint="eastAsia"/>
          <w:sz w:val="24"/>
        </w:rPr>
        <w:t>项目控制价</w:t>
      </w:r>
      <w:r>
        <w:rPr>
          <w:rFonts w:hint="eastAsia" w:ascii="宋体" w:hAnsi="宋体" w:cs="宋体"/>
          <w:b/>
          <w:bCs/>
          <w:sz w:val="24"/>
        </w:rPr>
        <w:t>：</w:t>
      </w:r>
      <w:r>
        <w:rPr>
          <w:rFonts w:hint="eastAsia" w:ascii="宋体" w:hAnsi="宋体" w:cs="宋体"/>
          <w:spacing w:val="-2"/>
          <w:sz w:val="24"/>
        </w:rPr>
        <w:t>本项目</w:t>
      </w:r>
      <w:r>
        <w:rPr>
          <w:rFonts w:hint="eastAsia" w:ascii="宋体" w:hAnsi="宋体" w:cs="宋体"/>
          <w:bCs/>
          <w:sz w:val="24"/>
        </w:rPr>
        <w:t>控制价为</w:t>
      </w:r>
      <w:r>
        <w:rPr>
          <w:rFonts w:hint="eastAsia" w:ascii="宋体" w:hAnsi="宋体" w:eastAsia="宋体" w:cs="宋体"/>
          <w:b w:val="0"/>
          <w:bCs w:val="0"/>
          <w:color w:val="auto"/>
          <w:sz w:val="24"/>
          <w:szCs w:val="24"/>
          <w:lang w:val="en-US" w:eastAsia="zh-CN"/>
        </w:rPr>
        <w:t>人民币</w:t>
      </w:r>
      <w:r>
        <w:rPr>
          <w:rFonts w:hint="eastAsia" w:ascii="宋体" w:hAnsi="宋体" w:cs="宋体"/>
          <w:b w:val="0"/>
          <w:bCs w:val="0"/>
          <w:color w:val="auto"/>
          <w:sz w:val="24"/>
          <w:szCs w:val="24"/>
          <w:lang w:val="en-US" w:eastAsia="zh-CN"/>
        </w:rPr>
        <w:t>贰拾陆万元整</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260000.00</w:t>
      </w:r>
      <w:r>
        <w:rPr>
          <w:rFonts w:hint="eastAsia" w:ascii="宋体" w:hAnsi="宋体" w:eastAsia="宋体" w:cs="宋体"/>
          <w:b w:val="0"/>
          <w:bCs w:val="0"/>
          <w:color w:val="auto"/>
          <w:sz w:val="24"/>
          <w:szCs w:val="24"/>
          <w:lang w:val="en-US" w:eastAsia="zh-CN"/>
        </w:rPr>
        <w:t>）</w:t>
      </w:r>
      <w:r>
        <w:rPr>
          <w:rFonts w:hint="eastAsia" w:ascii="宋体" w:hAnsi="宋体" w:cs="宋体"/>
          <w:bCs/>
          <w:sz w:val="24"/>
        </w:rPr>
        <w:t>，</w:t>
      </w:r>
      <w:r>
        <w:rPr>
          <w:rFonts w:hint="eastAsia" w:ascii="宋体" w:hAnsi="宋体" w:cs="宋体"/>
          <w:spacing w:val="-2"/>
          <w:sz w:val="24"/>
        </w:rPr>
        <w:t>投标人报价超出参考控制价的，按无效处理。</w:t>
      </w:r>
      <w:r>
        <w:rPr>
          <w:rFonts w:hint="eastAsia" w:cs="宋体"/>
          <w:color w:val="000000" w:themeColor="text1"/>
          <w:sz w:val="24"/>
          <w:shd w:val="clear" w:color="auto" w:fill="FFFFFF"/>
          <w14:textFill>
            <w14:solidFill>
              <w14:schemeClr w14:val="tx1"/>
            </w14:solidFill>
          </w14:textFill>
        </w:rPr>
        <w:t>本项目不接受</w:t>
      </w:r>
      <w:r>
        <w:rPr>
          <w:rFonts w:hint="eastAsia" w:ascii="宋体" w:hAnsi="宋体" w:cs="宋体"/>
          <w:sz w:val="24"/>
        </w:rPr>
        <w:t>二次报价。</w:t>
      </w:r>
    </w:p>
    <w:p w14:paraId="3E85526A">
      <w:pPr>
        <w:spacing w:line="400" w:lineRule="exact"/>
        <w:ind w:firstLine="482" w:firstLineChars="200"/>
        <w:rPr>
          <w:rFonts w:ascii="宋体" w:hAnsi="宋体" w:cs="宋体"/>
          <w:b/>
          <w:bCs/>
          <w:sz w:val="24"/>
        </w:rPr>
      </w:pPr>
      <w:r>
        <w:rPr>
          <w:rFonts w:hint="eastAsia" w:ascii="宋体" w:hAnsi="宋体" w:cs="宋体"/>
          <w:b/>
          <w:bCs/>
          <w:sz w:val="24"/>
        </w:rPr>
        <w:t>二、供应商资质条件要求</w:t>
      </w:r>
    </w:p>
    <w:p w14:paraId="695FD785">
      <w:pPr>
        <w:spacing w:line="440" w:lineRule="exact"/>
        <w:ind w:firstLine="480" w:firstLineChars="200"/>
        <w:rPr>
          <w:rFonts w:hint="eastAsia" w:ascii="宋体" w:hAnsi="宋体" w:cs="宋体"/>
          <w:color w:val="auto"/>
          <w:kern w:val="0"/>
          <w:sz w:val="24"/>
        </w:rPr>
      </w:pPr>
      <w:bookmarkStart w:id="0" w:name="OLE_LINK33"/>
      <w:r>
        <w:rPr>
          <w:rFonts w:hint="eastAsia" w:ascii="宋体" w:hAnsi="宋体" w:cs="宋体"/>
          <w:color w:val="auto"/>
          <w:kern w:val="0"/>
          <w:sz w:val="24"/>
        </w:rPr>
        <w:t>（1）</w:t>
      </w:r>
      <w:bookmarkEnd w:id="0"/>
      <w:r>
        <w:rPr>
          <w:rFonts w:hint="eastAsia" w:ascii="宋体" w:hAnsi="宋体" w:cs="宋体"/>
          <w:color w:val="auto"/>
          <w:kern w:val="0"/>
          <w:sz w:val="24"/>
        </w:rPr>
        <w:t>国内注册【依法在市场监督管理部门（或行政审批部门）登记注册】的，具备合法资格的供应商；</w:t>
      </w:r>
    </w:p>
    <w:p w14:paraId="6F51E62F">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（2）本项目不接受在“信用中国”网站(www.creditchina.gov.cn)被列入失信被执行人、重大税收违法失信主体、严重违法失信行为记录名单的供应商参与报价。</w:t>
      </w:r>
    </w:p>
    <w:p w14:paraId="6E59854F">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投标人在参加本项目投标采购活动前三年内，在经营活动中没有重大违法记录：如因违法经营受到刑事处罚或者责令停产停业、吊销许可证或者执照、较大数额罚款等行政处罚，或者存在财政部门认定的其他重大违法记录的投标人不得参加本项目的投标。</w:t>
      </w:r>
    </w:p>
    <w:p w14:paraId="438BA6B0">
      <w:pPr>
        <w:spacing w:line="440" w:lineRule="exact"/>
        <w:ind w:firstLine="480" w:firstLineChars="200"/>
        <w:rPr>
          <w:rFonts w:hint="eastAsia"/>
        </w:rPr>
      </w:pPr>
      <w:r>
        <w:rPr>
          <w:rFonts w:hint="eastAsia" w:ascii="宋体" w:hAnsi="宋体" w:cs="宋体"/>
          <w:color w:val="auto"/>
          <w:kern w:val="0"/>
          <w:sz w:val="24"/>
        </w:rPr>
        <w:t>（4）本项目不接受联合体参与报价。</w:t>
      </w:r>
    </w:p>
    <w:p w14:paraId="6A125B31">
      <w:pPr>
        <w:spacing w:line="400" w:lineRule="exact"/>
        <w:ind w:firstLine="482" w:firstLineChars="200"/>
        <w:jc w:val="left"/>
        <w:rPr>
          <w:rFonts w:hint="eastAsia" w:ascii="宋体" w:hAnsi="宋体" w:cs="宋体"/>
          <w:b/>
          <w:bCs/>
          <w:kern w:val="0"/>
          <w:sz w:val="24"/>
        </w:rPr>
      </w:pPr>
      <w:r>
        <w:rPr>
          <w:rFonts w:hint="eastAsia" w:ascii="宋体" w:hAnsi="宋体" w:cs="宋体"/>
          <w:b/>
          <w:bCs/>
          <w:kern w:val="0"/>
          <w:sz w:val="24"/>
        </w:rPr>
        <w:t>特别说明：</w:t>
      </w:r>
    </w:p>
    <w:p w14:paraId="41D46F77">
      <w:pPr>
        <w:spacing w:line="400" w:lineRule="exact"/>
        <w:ind w:firstLine="482" w:firstLineChars="200"/>
        <w:jc w:val="left"/>
        <w:rPr>
          <w:rFonts w:hint="eastAsia" w:ascii="宋体" w:hAnsi="宋体" w:cs="宋体"/>
          <w:b/>
          <w:bCs/>
          <w:kern w:val="0"/>
          <w:sz w:val="24"/>
        </w:rPr>
      </w:pPr>
      <w:r>
        <w:rPr>
          <w:rFonts w:hint="eastAsia" w:ascii="宋体" w:hAnsi="宋体" w:cs="宋体"/>
          <w:b/>
          <w:bCs/>
          <w:kern w:val="0"/>
          <w:sz w:val="24"/>
        </w:rPr>
        <w:t>（1）与招标人存在利害关系可能影响招标公正性的法人、其他组织或者个人，不得参加投标。</w:t>
      </w:r>
    </w:p>
    <w:p w14:paraId="181FADA7">
      <w:pPr>
        <w:spacing w:line="400" w:lineRule="exact"/>
        <w:ind w:firstLine="482" w:firstLineChars="200"/>
        <w:jc w:val="left"/>
        <w:rPr>
          <w:rFonts w:hint="eastAsia" w:ascii="宋体" w:hAnsi="宋体" w:cs="宋体"/>
          <w:b/>
          <w:bCs/>
          <w:kern w:val="0"/>
          <w:sz w:val="24"/>
        </w:rPr>
      </w:pPr>
      <w:r>
        <w:rPr>
          <w:rFonts w:hint="eastAsia" w:ascii="宋体" w:hAnsi="宋体" w:cs="宋体"/>
          <w:b/>
          <w:bCs/>
          <w:kern w:val="0"/>
          <w:sz w:val="24"/>
        </w:rPr>
        <w:t>（2）单位负责人为同一人或者存在控股、管理关系的不同单位，不得参加同一招标项目投标。</w:t>
      </w:r>
    </w:p>
    <w:p w14:paraId="6C757626">
      <w:pPr>
        <w:spacing w:line="400" w:lineRule="exact"/>
        <w:ind w:firstLine="482" w:firstLineChars="200"/>
        <w:jc w:val="left"/>
        <w:rPr>
          <w:rFonts w:hint="eastAsia" w:ascii="宋体" w:hAnsi="宋体" w:cs="宋体"/>
          <w:b/>
          <w:bCs/>
          <w:kern w:val="0"/>
          <w:sz w:val="24"/>
        </w:rPr>
      </w:pPr>
      <w:r>
        <w:rPr>
          <w:rFonts w:hint="eastAsia" w:ascii="宋体" w:hAnsi="宋体" w:cs="宋体"/>
          <w:b/>
          <w:bCs/>
          <w:kern w:val="0"/>
          <w:sz w:val="24"/>
        </w:rPr>
        <w:t>如投标人有违反上述规定的，相关投标按无效投标处理。</w:t>
      </w:r>
    </w:p>
    <w:p w14:paraId="09B8A2FE">
      <w:pPr>
        <w:spacing w:line="400" w:lineRule="exact"/>
        <w:ind w:left="420" w:leftChars="200"/>
        <w:jc w:val="left"/>
        <w:rPr>
          <w:rFonts w:ascii="宋体" w:hAnsi="宋体" w:cs="宋体"/>
          <w:sz w:val="24"/>
        </w:rPr>
      </w:pPr>
      <w:r>
        <w:rPr>
          <w:rFonts w:hint="eastAsia" w:ascii="宋体" w:hAnsi="宋体" w:cs="宋体"/>
          <w:b/>
          <w:bCs/>
          <w:sz w:val="24"/>
        </w:rPr>
        <w:t>三、报名时间、方式及获取招标文件方式</w:t>
      </w:r>
    </w:p>
    <w:p w14:paraId="0B518EFE">
      <w:pPr>
        <w:pStyle w:val="5"/>
        <w:spacing w:line="400" w:lineRule="exact"/>
        <w:ind w:firstLine="480" w:firstLineChars="200"/>
        <w:rPr>
          <w:rFonts w:ascii="宋体" w:hAnsi="宋体" w:cs="宋体"/>
          <w:sz w:val="24"/>
        </w:rPr>
      </w:pPr>
      <w:r>
        <w:rPr>
          <w:rFonts w:hint="eastAsia" w:ascii="宋体" w:hAnsi="宋体" w:cs="宋体"/>
          <w:sz w:val="24"/>
        </w:rPr>
        <w:t>报名时间：2025年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日至</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5</w:t>
      </w:r>
      <w:r>
        <w:rPr>
          <w:rFonts w:hint="eastAsia" w:ascii="宋体" w:hAnsi="宋体" w:cs="宋体"/>
          <w:sz w:val="24"/>
        </w:rPr>
        <w:t>日17:00时止</w:t>
      </w:r>
      <w:r>
        <w:rPr>
          <w:rFonts w:hint="eastAsia"/>
          <w:sz w:val="24"/>
        </w:rPr>
        <w:t>（北京时间）</w:t>
      </w:r>
      <w:r>
        <w:rPr>
          <w:rFonts w:hint="eastAsia" w:ascii="宋体" w:hAnsi="宋体" w:cs="宋体"/>
          <w:sz w:val="24"/>
        </w:rPr>
        <w:t>，逾期报名无效。</w:t>
      </w:r>
    </w:p>
    <w:p w14:paraId="52E759E6">
      <w:pPr>
        <w:spacing w:line="400" w:lineRule="exact"/>
        <w:ind w:firstLine="480" w:firstLineChars="200"/>
        <w:rPr>
          <w:rFonts w:ascii="宋体" w:hAnsi="宋体" w:cs="宋体"/>
          <w:sz w:val="24"/>
        </w:rPr>
      </w:pPr>
      <w:r>
        <w:rPr>
          <w:rFonts w:hint="eastAsia" w:ascii="宋体" w:hAnsi="宋体" w:cs="宋体"/>
          <w:sz w:val="24"/>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）即完成报名，否则将视为报名不成功。《报名表》要求WORD版，其他材料加盖公章后上传扫描件。</w:t>
      </w:r>
    </w:p>
    <w:p w14:paraId="1070AC2B">
      <w:pPr>
        <w:spacing w:line="400" w:lineRule="exact"/>
        <w:ind w:firstLine="480" w:firstLineChars="200"/>
        <w:rPr>
          <w:rFonts w:ascii="宋体" w:hAnsi="宋体" w:cs="宋体"/>
          <w:sz w:val="24"/>
        </w:rPr>
      </w:pPr>
      <w:r>
        <w:rPr>
          <w:rFonts w:hint="eastAsia" w:ascii="宋体" w:hAnsi="宋体" w:cs="宋体"/>
          <w:sz w:val="24"/>
        </w:rPr>
        <w:t>获取招标文件方式：桂林市人民医院官网（www.glrmyy.com）</w:t>
      </w:r>
    </w:p>
    <w:p w14:paraId="4D899868">
      <w:pPr>
        <w:spacing w:line="400" w:lineRule="exact"/>
        <w:ind w:firstLine="482" w:firstLineChars="200"/>
        <w:rPr>
          <w:rFonts w:ascii="宋体" w:hAnsi="宋体" w:cs="宋体"/>
          <w:b/>
          <w:bCs/>
          <w:sz w:val="24"/>
        </w:rPr>
      </w:pPr>
      <w:r>
        <w:rPr>
          <w:rFonts w:hint="eastAsia" w:ascii="宋体" w:hAnsi="宋体" w:cs="宋体"/>
          <w:b/>
          <w:bCs/>
          <w:sz w:val="24"/>
        </w:rPr>
        <w:t>四、采购活动要求</w:t>
      </w:r>
    </w:p>
    <w:p w14:paraId="32A89CC2">
      <w:pPr>
        <w:spacing w:line="400" w:lineRule="exact"/>
        <w:ind w:firstLine="480" w:firstLineChars="200"/>
        <w:rPr>
          <w:rFonts w:ascii="宋体" w:hAnsi="宋体" w:cs="宋体"/>
          <w:sz w:val="24"/>
        </w:rPr>
      </w:pPr>
      <w:r>
        <w:rPr>
          <w:rFonts w:hint="eastAsia" w:ascii="宋体" w:hAnsi="宋体" w:cs="宋体"/>
          <w:sz w:val="24"/>
        </w:rPr>
        <w:t>1.开标时间：具体时间另行通知</w:t>
      </w:r>
      <w:r>
        <w:rPr>
          <w:rFonts w:hint="eastAsia" w:ascii="宋体" w:hAnsi="宋体" w:cs="宋体"/>
          <w:b/>
          <w:bCs/>
          <w:sz w:val="24"/>
        </w:rPr>
        <w:t>（开标通告将会通过（</w:t>
      </w:r>
      <w:r>
        <w:fldChar w:fldCharType="begin"/>
      </w:r>
      <w:r>
        <w:instrText xml:space="preserve"> HYPERLINK "mailto:glsrmyyzbb@163.com" </w:instrText>
      </w:r>
      <w:r>
        <w:fldChar w:fldCharType="separate"/>
      </w:r>
      <w:r>
        <w:rPr>
          <w:rStyle w:val="24"/>
          <w:rFonts w:hint="eastAsia" w:ascii="宋体" w:hAnsi="宋体" w:cs="宋体"/>
          <w:b/>
          <w:bCs/>
          <w:color w:val="auto"/>
          <w:sz w:val="24"/>
        </w:rPr>
        <w:t>glsrmyyzbb@163.com</w:t>
      </w:r>
      <w:r>
        <w:rPr>
          <w:rStyle w:val="24"/>
          <w:rFonts w:hint="eastAsia" w:ascii="宋体" w:hAnsi="宋体" w:cs="宋体"/>
          <w:b/>
          <w:bCs/>
          <w:color w:val="auto"/>
          <w:sz w:val="24"/>
        </w:rPr>
        <w:fldChar w:fldCharType="end"/>
      </w:r>
      <w:r>
        <w:rPr>
          <w:rFonts w:hint="eastAsia" w:ascii="宋体" w:hAnsi="宋体" w:cs="宋体"/>
          <w:b/>
          <w:bCs/>
          <w:sz w:val="24"/>
        </w:rPr>
        <w:t>）发至潜在投标人报名邮箱，报名后请及时关注查收，未及时查收后果自负）</w:t>
      </w:r>
      <w:r>
        <w:rPr>
          <w:rFonts w:hint="eastAsia" w:ascii="宋体" w:hAnsi="宋体" w:cs="宋体"/>
          <w:sz w:val="24"/>
        </w:rPr>
        <w:t>，请报名后根据所获取的招标文件要求及时准备正式的投标文件。</w:t>
      </w:r>
    </w:p>
    <w:p w14:paraId="09928331">
      <w:pPr>
        <w:spacing w:line="400" w:lineRule="exact"/>
        <w:ind w:firstLine="480" w:firstLineChars="200"/>
        <w:rPr>
          <w:rFonts w:ascii="宋体" w:hAnsi="宋体" w:cs="宋体"/>
          <w:sz w:val="24"/>
        </w:rPr>
      </w:pPr>
      <w:r>
        <w:rPr>
          <w:rFonts w:hint="eastAsia" w:ascii="宋体" w:hAnsi="宋体" w:cs="宋体"/>
          <w:sz w:val="24"/>
        </w:rPr>
        <w:t>2.开标地点：桂林市人民医院招标办公室（广西桂林市象山区文明路29号）</w:t>
      </w:r>
    </w:p>
    <w:p w14:paraId="54BF9191">
      <w:pPr>
        <w:spacing w:line="400" w:lineRule="exact"/>
        <w:ind w:firstLine="480" w:firstLineChars="200"/>
        <w:rPr>
          <w:rFonts w:ascii="宋体" w:hAnsi="宋体" w:cs="宋体"/>
          <w:sz w:val="24"/>
        </w:rPr>
      </w:pPr>
      <w:r>
        <w:rPr>
          <w:rFonts w:hint="eastAsia" w:ascii="宋体" w:hAnsi="宋体" w:cs="宋体"/>
          <w:sz w:val="24"/>
        </w:rPr>
        <w:t>3.投标文件：</w:t>
      </w:r>
    </w:p>
    <w:p w14:paraId="54404C4E">
      <w:pPr>
        <w:spacing w:line="400" w:lineRule="exact"/>
        <w:ind w:firstLine="480" w:firstLineChars="200"/>
        <w:rPr>
          <w:rFonts w:ascii="宋体" w:hAnsi="宋体" w:cs="宋体"/>
          <w:sz w:val="24"/>
        </w:rPr>
      </w:pPr>
      <w:r>
        <w:rPr>
          <w:rFonts w:hint="eastAsia" w:ascii="宋体" w:hAnsi="宋体" w:cs="宋体"/>
          <w:sz w:val="24"/>
        </w:rPr>
        <w:t>(1)投标文件组成：必须含有但不限于</w:t>
      </w:r>
      <w:r>
        <w:rPr>
          <w:rFonts w:hint="eastAsia" w:ascii="宋体" w:hAnsi="宋体" w:cs="宋体"/>
          <w:sz w:val="24"/>
          <w:lang w:val="en-US" w:eastAsia="zh-CN"/>
        </w:rPr>
        <w:t>投标函（含报价表）、</w:t>
      </w:r>
      <w:r>
        <w:rPr>
          <w:rFonts w:hint="eastAsia" w:ascii="宋体" w:hAnsi="宋体" w:cs="宋体"/>
          <w:sz w:val="24"/>
        </w:rPr>
        <w:t>响应</w:t>
      </w:r>
      <w:r>
        <w:rPr>
          <w:rFonts w:hint="eastAsia" w:ascii="宋体" w:hAnsi="宋体" w:cs="宋体"/>
          <w:sz w:val="24"/>
          <w:lang w:val="en-US" w:eastAsia="zh-CN"/>
        </w:rPr>
        <w:t>表</w:t>
      </w:r>
      <w:r>
        <w:rPr>
          <w:rFonts w:hint="eastAsia" w:ascii="宋体" w:hAnsi="宋体" w:cs="宋体"/>
          <w:sz w:val="24"/>
        </w:rPr>
        <w:t>、营业执照复印件、法定代表人（负责人）身份证复印件、法定代表人授权书原件（委托代理时必须提供）、授权委托代理人身份证复印件、投标人参加政府采购活动前3年内在经营活动中没有重大违法记录的书面声明、投标人关于政府采购活动中信用信息记录的书面声明、“信用中国(www.creditchina.gov.cn)</w:t>
      </w:r>
      <w:r>
        <w:rPr>
          <w:rFonts w:hint="eastAsia" w:ascii="宋体" w:hAnsi="宋体" w:cs="宋体"/>
          <w:sz w:val="24"/>
          <w:lang w:eastAsia="zh-CN"/>
        </w:rPr>
        <w:t>、</w:t>
      </w:r>
      <w:r>
        <w:rPr>
          <w:rFonts w:hint="eastAsia" w:ascii="宋体" w:hAnsi="宋体" w:cs="宋体"/>
          <w:sz w:val="24"/>
        </w:rPr>
        <w:t>中国政府采购网(www.ccgp.gov.cn)”上打印的信用查询记录相关信息</w:t>
      </w:r>
      <w:r>
        <w:rPr>
          <w:rFonts w:hint="eastAsia" w:ascii="宋体" w:hAnsi="宋体" w:cs="宋体"/>
          <w:sz w:val="24"/>
          <w:lang w:eastAsia="zh-CN"/>
        </w:rPr>
        <w:t>、</w:t>
      </w:r>
      <w:r>
        <w:rPr>
          <w:rFonts w:hint="eastAsia" w:ascii="宋体" w:hAnsi="宋体" w:cs="宋体"/>
          <w:sz w:val="24"/>
        </w:rPr>
        <w:t>联系人</w:t>
      </w:r>
      <w:r>
        <w:rPr>
          <w:rFonts w:hint="eastAsia" w:ascii="宋体" w:hAnsi="宋体" w:cs="宋体"/>
          <w:sz w:val="24"/>
          <w:lang w:val="en-US" w:eastAsia="zh-CN"/>
        </w:rPr>
        <w:t>和</w:t>
      </w:r>
      <w:r>
        <w:rPr>
          <w:rFonts w:hint="eastAsia" w:ascii="宋体" w:hAnsi="宋体" w:cs="宋体"/>
          <w:sz w:val="24"/>
        </w:rPr>
        <w:t>电话</w:t>
      </w:r>
      <w:r>
        <w:rPr>
          <w:rFonts w:hint="eastAsia" w:ascii="宋体" w:hAnsi="宋体" w:cs="宋体"/>
          <w:sz w:val="24"/>
          <w:lang w:val="en-US" w:eastAsia="zh-CN"/>
        </w:rPr>
        <w:t>，同时</w:t>
      </w:r>
      <w:r>
        <w:rPr>
          <w:rFonts w:hint="eastAsia" w:ascii="宋体" w:hAnsi="宋体" w:cs="宋体"/>
          <w:sz w:val="24"/>
        </w:rPr>
        <w:t>结合本项目的评标办法视自身情况自行提交相关证明</w:t>
      </w:r>
      <w:r>
        <w:rPr>
          <w:rFonts w:hint="eastAsia" w:asciiTheme="minorEastAsia" w:hAnsiTheme="minorEastAsia" w:eastAsiaTheme="minorEastAsia" w:cstheme="minorEastAsia"/>
          <w:color w:val="auto"/>
          <w:sz w:val="24"/>
          <w:szCs w:val="24"/>
          <w:highlight w:val="none"/>
          <w:lang w:val="en-US" w:eastAsia="zh-CN"/>
        </w:rPr>
        <w:t>（如有）</w:t>
      </w:r>
      <w:r>
        <w:rPr>
          <w:rFonts w:hint="eastAsia" w:ascii="宋体" w:hAnsi="宋体" w:cs="宋体"/>
          <w:sz w:val="24"/>
          <w:lang w:val="en-US" w:eastAsia="zh-CN"/>
        </w:rPr>
        <w:t>等</w:t>
      </w:r>
      <w:r>
        <w:rPr>
          <w:rFonts w:hint="eastAsia" w:ascii="宋体" w:hAnsi="宋体" w:cs="宋体"/>
          <w:sz w:val="24"/>
        </w:rPr>
        <w:t>材料。投标人应完整准备上述投标文件的材料，否则由此引起的不利后果由投标人承担。</w:t>
      </w:r>
    </w:p>
    <w:p w14:paraId="41BC2401">
      <w:pPr>
        <w:spacing w:line="400" w:lineRule="exact"/>
        <w:ind w:firstLine="482" w:firstLineChars="200"/>
        <w:rPr>
          <w:rFonts w:ascii="宋体" w:hAnsi="宋体" w:cs="宋体"/>
          <w:sz w:val="24"/>
        </w:rPr>
      </w:pPr>
      <w:r>
        <w:rPr>
          <w:rFonts w:hint="eastAsia" w:ascii="宋体" w:hAnsi="宋体" w:cs="宋体"/>
          <w:b/>
          <w:bCs/>
          <w:sz w:val="24"/>
        </w:rPr>
        <w:t>投标文件所提供的证照及相关证明材料必须真实有效，一经发现造假，将取消本次投标资格并追究相关法律责任！</w:t>
      </w:r>
    </w:p>
    <w:p w14:paraId="69BE01C5">
      <w:pPr>
        <w:numPr>
          <w:ilvl w:val="0"/>
          <w:numId w:val="0"/>
        </w:numPr>
        <w:spacing w:line="400" w:lineRule="exact"/>
        <w:ind w:firstLine="480" w:firstLineChars="200"/>
        <w:rPr>
          <w:rFonts w:ascii="宋体" w:hAnsi="宋体" w:cs="宋体"/>
          <w:sz w:val="24"/>
        </w:rPr>
      </w:pPr>
      <w:r>
        <w:rPr>
          <w:rFonts w:ascii="宋体" w:hAnsi="宋体" w:eastAsia="宋体" w:cs="宋体"/>
          <w:kern w:val="2"/>
          <w:sz w:val="24"/>
          <w:szCs w:val="24"/>
          <w:lang w:val="en-US" w:eastAsia="zh-CN" w:bidi="ar-SA"/>
        </w:rPr>
        <w:t>（2）</w:t>
      </w:r>
      <w:r>
        <w:rPr>
          <w:rFonts w:hint="eastAsia" w:ascii="宋体" w:hAnsi="宋体" w:cs="宋体"/>
          <w:sz w:val="24"/>
        </w:rPr>
        <w:t>投标文件份数：正本一份，副本六份。</w:t>
      </w:r>
    </w:p>
    <w:p w14:paraId="3956C061">
      <w:pPr>
        <w:spacing w:line="400" w:lineRule="exact"/>
        <w:ind w:firstLine="480" w:firstLineChars="200"/>
        <w:rPr>
          <w:rFonts w:ascii="宋体" w:hAnsi="宋体" w:cs="宋体"/>
          <w:sz w:val="24"/>
        </w:rPr>
      </w:pPr>
      <w:r>
        <w:rPr>
          <w:rFonts w:hint="eastAsia" w:ascii="宋体" w:hAnsi="宋体" w:cs="宋体"/>
          <w:sz w:val="24"/>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501F0C99">
      <w:pPr>
        <w:spacing w:line="400" w:lineRule="exact"/>
        <w:ind w:firstLine="480" w:firstLineChars="200"/>
        <w:rPr>
          <w:rFonts w:ascii="宋体" w:hAnsi="宋体" w:cs="宋体"/>
          <w:sz w:val="24"/>
        </w:rPr>
      </w:pPr>
      <w:r>
        <w:rPr>
          <w:rFonts w:hint="eastAsia" w:ascii="宋体" w:hAnsi="宋体" w:cs="宋体"/>
          <w:sz w:val="24"/>
        </w:rPr>
        <w:t>5.凡报名合格并获取了招标文件的投标人，视同响应承诺参与本次投标活动。若因故不能按期参加的，请至少于开标截止时间前两天以书面邮件形式（发送邮箱地址：</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）告知我院招标办公室，否则，将被视为不诚信供应商，列入我院供应商黑名单，至少一年内不接受其参与我院院内的任何招标活动。</w:t>
      </w:r>
    </w:p>
    <w:p w14:paraId="52332EBC">
      <w:pPr>
        <w:spacing w:line="400" w:lineRule="exact"/>
        <w:ind w:firstLine="482" w:firstLineChars="200"/>
        <w:rPr>
          <w:rFonts w:ascii="宋体" w:hAnsi="宋体" w:cs="宋体"/>
          <w:b/>
          <w:bCs/>
          <w:sz w:val="24"/>
        </w:rPr>
      </w:pPr>
      <w:r>
        <w:rPr>
          <w:rFonts w:hint="eastAsia" w:ascii="宋体" w:hAnsi="宋体" w:cs="宋体"/>
          <w:b/>
          <w:bCs/>
          <w:sz w:val="24"/>
        </w:rPr>
        <w:t>五、信息公告发布媒体</w:t>
      </w:r>
    </w:p>
    <w:p w14:paraId="1094C462">
      <w:pPr>
        <w:spacing w:line="400" w:lineRule="exact"/>
        <w:ind w:firstLine="480" w:firstLineChars="200"/>
        <w:rPr>
          <w:rFonts w:ascii="宋体" w:hAnsi="宋体" w:cs="宋体"/>
          <w:sz w:val="24"/>
        </w:rPr>
      </w:pPr>
      <w:r>
        <w:rPr>
          <w:rFonts w:hint="eastAsia" w:ascii="宋体" w:hAnsi="宋体" w:cs="宋体"/>
          <w:sz w:val="24"/>
        </w:rPr>
        <w:t>本次招标公告在桂林市人民医院官网（www.glrmyy.com）发布，对其他网站转发本公告可能引起的信息误导、造成投标人的经济或其他损失的，招标人不负任何责任。</w:t>
      </w:r>
    </w:p>
    <w:p w14:paraId="363E8E29">
      <w:pPr>
        <w:spacing w:line="400" w:lineRule="exact"/>
        <w:ind w:firstLine="482" w:firstLineChars="200"/>
        <w:rPr>
          <w:rFonts w:ascii="宋体" w:hAnsi="宋体" w:cs="宋体"/>
          <w:sz w:val="24"/>
        </w:rPr>
      </w:pPr>
      <w:r>
        <w:rPr>
          <w:rFonts w:hint="eastAsia" w:ascii="宋体" w:hAnsi="宋体" w:cs="宋体"/>
          <w:b/>
          <w:bCs/>
          <w:sz w:val="24"/>
        </w:rPr>
        <w:t>六、联系方式</w:t>
      </w:r>
    </w:p>
    <w:p w14:paraId="18E09B54">
      <w:pPr>
        <w:spacing w:line="400" w:lineRule="exact"/>
        <w:ind w:firstLine="480" w:firstLineChars="200"/>
        <w:rPr>
          <w:rFonts w:ascii="宋体" w:hAnsi="宋体" w:cs="宋体"/>
          <w:sz w:val="24"/>
        </w:rPr>
      </w:pPr>
      <w:r>
        <w:rPr>
          <w:rFonts w:hint="eastAsia" w:ascii="宋体" w:hAnsi="宋体" w:cs="宋体"/>
          <w:sz w:val="24"/>
        </w:rPr>
        <w:t>1.联系人：罗老师、戴老师</w:t>
      </w:r>
    </w:p>
    <w:p w14:paraId="7BB3B696">
      <w:pPr>
        <w:spacing w:line="400" w:lineRule="exact"/>
        <w:ind w:firstLine="480" w:firstLineChars="200"/>
        <w:rPr>
          <w:rFonts w:ascii="宋体" w:hAnsi="宋体" w:cs="宋体"/>
          <w:sz w:val="24"/>
        </w:rPr>
      </w:pPr>
      <w:r>
        <w:rPr>
          <w:rFonts w:hint="eastAsia" w:ascii="宋体" w:hAnsi="宋体" w:cs="宋体"/>
          <w:sz w:val="24"/>
        </w:rPr>
        <w:t>2.联系电话：0773-2803316</w:t>
      </w:r>
    </w:p>
    <w:p w14:paraId="387086DD">
      <w:pPr>
        <w:tabs>
          <w:tab w:val="left" w:pos="6583"/>
        </w:tabs>
        <w:spacing w:line="400" w:lineRule="exact"/>
        <w:ind w:firstLine="5760" w:firstLineChars="2400"/>
        <w:jc w:val="center"/>
        <w:rPr>
          <w:rFonts w:ascii="宋体" w:hAnsi="宋体" w:cs="宋体"/>
          <w:sz w:val="24"/>
        </w:rPr>
      </w:pPr>
      <w:r>
        <w:rPr>
          <w:rFonts w:hint="eastAsia" w:ascii="宋体" w:hAnsi="宋体" w:cs="宋体"/>
          <w:sz w:val="24"/>
        </w:rPr>
        <w:t xml:space="preserve">         桂林市人民医院</w:t>
      </w:r>
    </w:p>
    <w:p w14:paraId="4FF29531">
      <w:pPr>
        <w:tabs>
          <w:tab w:val="left" w:pos="5623"/>
        </w:tabs>
        <w:spacing w:line="400" w:lineRule="exact"/>
        <w:jc w:val="center"/>
        <w:rPr>
          <w:rFonts w:ascii="宋体" w:hAnsi="宋体" w:cs="宋体"/>
          <w:b/>
          <w:bCs/>
          <w:w w:val="95"/>
          <w:sz w:val="24"/>
        </w:rPr>
      </w:pPr>
      <w:r>
        <w:rPr>
          <w:rFonts w:hint="eastAsia" w:ascii="宋体" w:hAnsi="宋体" w:cs="宋体"/>
          <w:sz w:val="24"/>
        </w:rPr>
        <w:t xml:space="preserve">                                                        2025年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w:t>
      </w:r>
    </w:p>
    <w:p w14:paraId="28524887">
      <w:pPr>
        <w:spacing w:line="400" w:lineRule="exact"/>
        <w:rPr>
          <w:rFonts w:ascii="宋体" w:hAnsi="宋体" w:cs="宋体"/>
          <w:sz w:val="24"/>
        </w:rPr>
      </w:pPr>
      <w:r>
        <w:rPr>
          <w:rFonts w:hint="eastAsia" w:ascii="宋体" w:hAnsi="宋体" w:cs="宋体"/>
          <w:b/>
          <w:bCs/>
          <w:w w:val="95"/>
          <w:sz w:val="24"/>
        </w:rPr>
        <w:br w:type="page"/>
      </w:r>
    </w:p>
    <w:p w14:paraId="77B520B5">
      <w:pPr>
        <w:pStyle w:val="2"/>
        <w:spacing w:line="400" w:lineRule="exact"/>
        <w:jc w:val="center"/>
        <w:rPr>
          <w:sz w:val="30"/>
          <w:szCs w:val="30"/>
        </w:rPr>
      </w:pPr>
      <w:r>
        <w:rPr>
          <w:rFonts w:hint="eastAsia"/>
          <w:w w:val="95"/>
          <w:sz w:val="30"/>
          <w:szCs w:val="30"/>
        </w:rPr>
        <w:t xml:space="preserve">第二章  项目需求和说明 </w:t>
      </w:r>
    </w:p>
    <w:p w14:paraId="45C0996D">
      <w:pPr>
        <w:spacing w:line="400" w:lineRule="exact"/>
        <w:ind w:firstLine="482" w:firstLineChars="200"/>
        <w:rPr>
          <w:rFonts w:hint="eastAsia" w:ascii="宋体" w:hAnsi="宋体" w:cs="宋体"/>
          <w:sz w:val="24"/>
        </w:rPr>
      </w:pPr>
      <w:r>
        <w:rPr>
          <w:rFonts w:hint="eastAsia" w:ascii="宋体" w:hAnsi="宋体" w:cs="宋体"/>
          <w:b/>
          <w:bCs/>
          <w:sz w:val="24"/>
        </w:rPr>
        <w:t>一、项目名称：</w:t>
      </w:r>
      <w:r>
        <w:rPr>
          <w:rFonts w:hint="eastAsia" w:ascii="宋体" w:hAnsi="宋体" w:cs="宋体"/>
          <w:sz w:val="24"/>
        </w:rPr>
        <w:t>桂林市人民医院注意力评估和认知能力训练系统</w:t>
      </w:r>
    </w:p>
    <w:p w14:paraId="4DEE0972">
      <w:pPr>
        <w:spacing w:line="400" w:lineRule="exact"/>
        <w:ind w:firstLine="482" w:firstLineChars="200"/>
        <w:rPr>
          <w:rFonts w:hint="eastAsia" w:ascii="宋体" w:hAnsi="宋体" w:cs="宋体"/>
          <w:sz w:val="24"/>
          <w:lang w:val="en-US" w:eastAsia="zh-CN"/>
        </w:rPr>
      </w:pPr>
      <w:r>
        <w:rPr>
          <w:rFonts w:hint="eastAsia" w:ascii="宋体" w:hAnsi="宋体" w:cs="宋体"/>
          <w:b/>
          <w:bCs/>
          <w:sz w:val="24"/>
        </w:rPr>
        <w:t>二、项目编号：</w:t>
      </w:r>
      <w:r>
        <w:rPr>
          <w:rFonts w:hint="eastAsia" w:ascii="宋体" w:hAnsi="宋体" w:cs="宋体"/>
          <w:sz w:val="24"/>
        </w:rPr>
        <w:t>XXK-2025-0</w:t>
      </w:r>
      <w:r>
        <w:rPr>
          <w:rFonts w:hint="eastAsia" w:ascii="宋体" w:hAnsi="宋体" w:cs="宋体"/>
          <w:sz w:val="24"/>
          <w:lang w:val="en-US" w:eastAsia="zh-CN"/>
        </w:rPr>
        <w:t>17</w:t>
      </w:r>
    </w:p>
    <w:p w14:paraId="5433ABD1">
      <w:pPr>
        <w:spacing w:line="400" w:lineRule="exact"/>
        <w:ind w:firstLine="482" w:firstLineChars="200"/>
        <w:rPr>
          <w:rFonts w:hint="eastAsia" w:ascii="宋体" w:hAnsi="宋体" w:cs="宋体"/>
          <w:b/>
          <w:sz w:val="24"/>
          <w:lang w:val="en-US" w:eastAsia="zh-CN"/>
        </w:rPr>
      </w:pPr>
      <w:r>
        <w:rPr>
          <w:rFonts w:hint="eastAsia" w:ascii="宋体" w:hAnsi="宋体" w:cs="宋体"/>
          <w:b/>
          <w:sz w:val="24"/>
        </w:rPr>
        <w:t>三、</w:t>
      </w:r>
      <w:r>
        <w:rPr>
          <w:rFonts w:hint="eastAsia" w:ascii="宋体" w:hAnsi="宋体" w:cs="宋体"/>
          <w:b/>
          <w:sz w:val="24"/>
          <w:lang w:val="en-US" w:eastAsia="zh-CN"/>
        </w:rPr>
        <w:t>采购需求</w:t>
      </w:r>
    </w:p>
    <w:p w14:paraId="47A43256">
      <w:pPr>
        <w:spacing w:line="400" w:lineRule="exact"/>
        <w:ind w:firstLine="482" w:firstLineChars="200"/>
        <w:rPr>
          <w:rFonts w:hint="eastAsia" w:eastAsia="方正大标宋简体"/>
          <w:sz w:val="30"/>
          <w:szCs w:val="30"/>
        </w:rPr>
      </w:pPr>
      <w:r>
        <w:rPr>
          <w:rFonts w:hint="eastAsia" w:ascii="宋体" w:hAnsi="宋体" w:cs="宋体"/>
          <w:b/>
          <w:sz w:val="24"/>
        </w:rPr>
        <w:t>（一）技术要求</w:t>
      </w:r>
      <w:r>
        <w:rPr>
          <w:rFonts w:hint="eastAsia" w:eastAsia="方正大标宋简体"/>
          <w:sz w:val="30"/>
          <w:szCs w:val="30"/>
        </w:rPr>
        <w:t xml:space="preserve">      </w:t>
      </w:r>
    </w:p>
    <w:tbl>
      <w:tblPr>
        <w:tblStyle w:val="20"/>
        <w:tblW w:w="10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320"/>
        <w:gridCol w:w="6653"/>
        <w:gridCol w:w="585"/>
        <w:gridCol w:w="575"/>
      </w:tblGrid>
      <w:tr w14:paraId="33A5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0" w:type="dxa"/>
            <w:shd w:val="clear" w:color="auto" w:fill="auto"/>
            <w:vAlign w:val="center"/>
          </w:tcPr>
          <w:p w14:paraId="2ED5D817">
            <w:pPr>
              <w:widowControl/>
              <w:jc w:val="center"/>
              <w:rPr>
                <w:rFonts w:ascii="宋体" w:hAnsi="宋体" w:cs="Arial"/>
                <w:b/>
                <w:bCs/>
                <w:kern w:val="0"/>
                <w:szCs w:val="21"/>
              </w:rPr>
            </w:pPr>
            <w:r>
              <w:rPr>
                <w:rFonts w:hint="eastAsia" w:ascii="宋体" w:hAnsi="宋体" w:cs="Arial"/>
                <w:b/>
                <w:bCs/>
                <w:kern w:val="0"/>
                <w:szCs w:val="21"/>
              </w:rPr>
              <w:t>序号</w:t>
            </w:r>
          </w:p>
        </w:tc>
        <w:tc>
          <w:tcPr>
            <w:tcW w:w="720" w:type="dxa"/>
            <w:shd w:val="clear" w:color="auto" w:fill="auto"/>
            <w:vAlign w:val="center"/>
          </w:tcPr>
          <w:p w14:paraId="004BC079">
            <w:pPr>
              <w:widowControl/>
              <w:jc w:val="center"/>
              <w:rPr>
                <w:rFonts w:hint="default" w:ascii="宋体" w:hAnsi="宋体" w:eastAsia="宋体" w:cs="Arial"/>
                <w:b/>
                <w:bCs/>
                <w:kern w:val="0"/>
                <w:szCs w:val="21"/>
                <w:lang w:val="en-US" w:eastAsia="zh-CN"/>
              </w:rPr>
            </w:pPr>
            <w:r>
              <w:rPr>
                <w:rFonts w:hint="eastAsia" w:ascii="宋体" w:hAnsi="宋体" w:cs="Arial"/>
                <w:b/>
                <w:bCs/>
                <w:kern w:val="0"/>
                <w:szCs w:val="21"/>
                <w:lang w:val="en-US" w:eastAsia="zh-CN"/>
              </w:rPr>
              <w:t>系统名称</w:t>
            </w:r>
          </w:p>
        </w:tc>
        <w:tc>
          <w:tcPr>
            <w:tcW w:w="1320" w:type="dxa"/>
            <w:shd w:val="clear" w:color="auto" w:fill="auto"/>
            <w:vAlign w:val="center"/>
          </w:tcPr>
          <w:p w14:paraId="7E0C7E18">
            <w:pPr>
              <w:widowControl/>
              <w:jc w:val="center"/>
              <w:rPr>
                <w:rFonts w:ascii="宋体" w:hAnsi="宋体" w:cs="Arial"/>
                <w:b/>
                <w:bCs/>
                <w:kern w:val="0"/>
                <w:szCs w:val="21"/>
              </w:rPr>
            </w:pPr>
            <w:r>
              <w:rPr>
                <w:rFonts w:hint="eastAsia" w:ascii="宋体" w:hAnsi="宋体" w:cs="Arial"/>
                <w:b/>
                <w:bCs/>
                <w:kern w:val="0"/>
                <w:szCs w:val="21"/>
              </w:rPr>
              <w:t>功能需求</w:t>
            </w:r>
          </w:p>
        </w:tc>
        <w:tc>
          <w:tcPr>
            <w:tcW w:w="6653" w:type="dxa"/>
            <w:shd w:val="clear" w:color="auto" w:fill="auto"/>
            <w:vAlign w:val="center"/>
          </w:tcPr>
          <w:p w14:paraId="41A9EDD4">
            <w:pPr>
              <w:widowControl/>
              <w:jc w:val="center"/>
              <w:rPr>
                <w:rFonts w:ascii="宋体" w:hAnsi="宋体" w:cs="Arial"/>
                <w:b/>
                <w:bCs/>
                <w:kern w:val="0"/>
                <w:szCs w:val="21"/>
              </w:rPr>
            </w:pPr>
            <w:r>
              <w:rPr>
                <w:rFonts w:hint="eastAsia" w:ascii="宋体" w:hAnsi="宋体" w:cs="Arial"/>
                <w:b/>
                <w:bCs/>
                <w:kern w:val="0"/>
                <w:szCs w:val="21"/>
              </w:rPr>
              <w:t>需求内容</w:t>
            </w:r>
          </w:p>
        </w:tc>
        <w:tc>
          <w:tcPr>
            <w:tcW w:w="585" w:type="dxa"/>
            <w:shd w:val="clear" w:color="auto" w:fill="auto"/>
            <w:vAlign w:val="center"/>
          </w:tcPr>
          <w:p w14:paraId="472C1EF2">
            <w:pPr>
              <w:widowControl/>
              <w:jc w:val="center"/>
              <w:rPr>
                <w:rFonts w:ascii="宋体" w:hAnsi="宋体" w:cs="Arial"/>
                <w:b/>
                <w:bCs/>
                <w:kern w:val="0"/>
                <w:szCs w:val="21"/>
              </w:rPr>
            </w:pPr>
            <w:r>
              <w:rPr>
                <w:rFonts w:ascii="宋体" w:hAnsi="宋体" w:cs="Arial"/>
                <w:b/>
                <w:bCs/>
                <w:kern w:val="0"/>
                <w:szCs w:val="21"/>
              </w:rPr>
              <w:t>数量</w:t>
            </w:r>
          </w:p>
        </w:tc>
        <w:tc>
          <w:tcPr>
            <w:tcW w:w="575" w:type="dxa"/>
            <w:shd w:val="clear" w:color="auto" w:fill="auto"/>
            <w:vAlign w:val="center"/>
          </w:tcPr>
          <w:p w14:paraId="15CEB3D0">
            <w:pPr>
              <w:widowControl/>
              <w:jc w:val="center"/>
              <w:rPr>
                <w:rFonts w:ascii="宋体" w:hAnsi="宋体" w:cs="Arial"/>
                <w:b/>
                <w:bCs/>
                <w:kern w:val="0"/>
                <w:szCs w:val="21"/>
              </w:rPr>
            </w:pPr>
            <w:r>
              <w:rPr>
                <w:rFonts w:hint="eastAsia" w:ascii="宋体" w:hAnsi="宋体" w:cs="Arial"/>
                <w:b/>
                <w:bCs/>
                <w:kern w:val="0"/>
                <w:szCs w:val="21"/>
              </w:rPr>
              <w:t>单位</w:t>
            </w:r>
          </w:p>
        </w:tc>
      </w:tr>
      <w:tr w14:paraId="381C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jc w:val="center"/>
        </w:trPr>
        <w:tc>
          <w:tcPr>
            <w:tcW w:w="540" w:type="dxa"/>
            <w:shd w:val="clear" w:color="auto" w:fill="auto"/>
            <w:vAlign w:val="center"/>
          </w:tcPr>
          <w:p w14:paraId="080E989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bCs w:val="0"/>
                <w:color w:val="auto"/>
                <w:kern w:val="0"/>
                <w:sz w:val="21"/>
                <w:szCs w:val="21"/>
              </w:rPr>
            </w:pPr>
            <w:r>
              <w:rPr>
                <w:rFonts w:hint="eastAsia" w:ascii="宋体" w:hAnsi="宋体" w:cs="宋体"/>
                <w:b/>
                <w:bCs w:val="0"/>
                <w:color w:val="auto"/>
                <w:kern w:val="0"/>
                <w:sz w:val="21"/>
                <w:szCs w:val="21"/>
              </w:rPr>
              <w:t>1</w:t>
            </w:r>
          </w:p>
        </w:tc>
        <w:tc>
          <w:tcPr>
            <w:tcW w:w="720" w:type="dxa"/>
            <w:shd w:val="clear" w:color="auto" w:fill="auto"/>
            <w:vAlign w:val="center"/>
          </w:tcPr>
          <w:p w14:paraId="2EB8B5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bCs w:val="0"/>
                <w:color w:val="auto"/>
                <w:kern w:val="0"/>
                <w:sz w:val="21"/>
                <w:szCs w:val="21"/>
              </w:rPr>
            </w:pPr>
            <w:r>
              <w:rPr>
                <w:rFonts w:hint="eastAsia" w:ascii="宋体" w:hAnsi="宋体" w:cs="宋体"/>
                <w:b/>
                <w:bCs w:val="0"/>
                <w:color w:val="auto"/>
                <w:kern w:val="0"/>
                <w:sz w:val="21"/>
                <w:szCs w:val="21"/>
              </w:rPr>
              <w:t>注意力评估系统</w:t>
            </w:r>
          </w:p>
        </w:tc>
        <w:tc>
          <w:tcPr>
            <w:tcW w:w="1320" w:type="dxa"/>
            <w:shd w:val="clear" w:color="auto" w:fill="auto"/>
            <w:vAlign w:val="center"/>
          </w:tcPr>
          <w:p w14:paraId="424CD521">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ascii="宋体" w:hAnsi="宋体" w:cs="宋体"/>
                <w:bCs/>
                <w:color w:val="000000"/>
                <w:sz w:val="21"/>
                <w:szCs w:val="21"/>
              </w:rPr>
            </w:pPr>
            <w:r>
              <w:rPr>
                <w:rFonts w:hint="eastAsia" w:ascii="宋体" w:hAnsi="宋体" w:cs="宋体"/>
                <w:bCs/>
                <w:kern w:val="0"/>
                <w:sz w:val="21"/>
                <w:szCs w:val="21"/>
              </w:rPr>
              <w:t>包含声音和视觉刺激测试系统，提供六个整合参数和2</w:t>
            </w:r>
            <w:r>
              <w:rPr>
                <w:rFonts w:ascii="宋体" w:hAnsi="宋体" w:cs="宋体"/>
                <w:bCs/>
                <w:kern w:val="0"/>
                <w:sz w:val="21"/>
                <w:szCs w:val="21"/>
              </w:rPr>
              <w:t>2</w:t>
            </w:r>
            <w:r>
              <w:rPr>
                <w:rFonts w:hint="eastAsia" w:ascii="宋体" w:hAnsi="宋体" w:cs="宋体"/>
                <w:bCs/>
                <w:kern w:val="0"/>
                <w:sz w:val="21"/>
                <w:szCs w:val="21"/>
              </w:rPr>
              <w:t>个单独参数，对人的反应注意力不同层面进行评估</w:t>
            </w:r>
          </w:p>
        </w:tc>
        <w:tc>
          <w:tcPr>
            <w:tcW w:w="6653" w:type="dxa"/>
            <w:shd w:val="clear" w:color="auto" w:fill="auto"/>
            <w:vAlign w:val="center"/>
          </w:tcPr>
          <w:p w14:paraId="7EE3AD7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KongXinCaoTi"/>
                <w:color w:val="000000"/>
                <w:kern w:val="0"/>
                <w:sz w:val="21"/>
                <w:szCs w:val="21"/>
                <w:lang w:bidi="en-US"/>
              </w:rPr>
            </w:pPr>
            <w:r>
              <w:rPr>
                <w:rFonts w:hint="eastAsia" w:ascii="宋体" w:hAnsi="宋体" w:cs="KongXinCaoTi"/>
                <w:color w:val="000000"/>
                <w:kern w:val="0"/>
                <w:sz w:val="21"/>
                <w:szCs w:val="21"/>
                <w:lang w:eastAsia="zh-CN" w:bidi="en-US"/>
              </w:rPr>
              <w:t>（</w:t>
            </w:r>
            <w:r>
              <w:rPr>
                <w:rFonts w:hint="eastAsia" w:ascii="宋体" w:hAnsi="宋体" w:cs="KongXinCaoTi"/>
                <w:color w:val="000000"/>
                <w:kern w:val="0"/>
                <w:sz w:val="21"/>
                <w:szCs w:val="21"/>
                <w:lang w:val="en-US" w:eastAsia="zh-CN" w:bidi="en-US"/>
              </w:rPr>
              <w:t>1）</w:t>
            </w:r>
            <w:r>
              <w:rPr>
                <w:rFonts w:ascii="宋体" w:hAnsi="宋体" w:cs="KongXinCaoTi"/>
                <w:color w:val="000000"/>
                <w:kern w:val="0"/>
                <w:sz w:val="21"/>
                <w:szCs w:val="21"/>
                <w:lang w:bidi="en-US"/>
              </w:rPr>
              <w:t>测试系统：包含声音和视觉刺激的测试系统。</w:t>
            </w:r>
          </w:p>
          <w:p w14:paraId="7F8279F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KongXinCaoTi"/>
                <w:color w:val="000000"/>
                <w:kern w:val="0"/>
                <w:sz w:val="21"/>
                <w:szCs w:val="21"/>
                <w:lang w:bidi="en-US"/>
              </w:rPr>
            </w:pPr>
            <w:r>
              <w:rPr>
                <w:rFonts w:hint="eastAsia" w:ascii="宋体" w:hAnsi="宋体" w:cs="KongXinCaoTi"/>
                <w:color w:val="000000"/>
                <w:kern w:val="0"/>
                <w:sz w:val="21"/>
                <w:szCs w:val="21"/>
                <w:lang w:eastAsia="zh-CN" w:bidi="en-US"/>
              </w:rPr>
              <w:t>（</w:t>
            </w:r>
            <w:r>
              <w:rPr>
                <w:rFonts w:hint="eastAsia" w:ascii="宋体" w:hAnsi="宋体" w:cs="KongXinCaoTi"/>
                <w:color w:val="000000"/>
                <w:kern w:val="0"/>
                <w:sz w:val="21"/>
                <w:szCs w:val="21"/>
                <w:lang w:val="en-US" w:eastAsia="zh-CN" w:bidi="en-US"/>
              </w:rPr>
              <w:t>2）</w:t>
            </w:r>
            <w:r>
              <w:rPr>
                <w:rFonts w:hint="eastAsia" w:ascii="宋体" w:hAnsi="宋体" w:cs="KongXinCaoTi"/>
                <w:color w:val="000000"/>
                <w:kern w:val="0"/>
                <w:sz w:val="21"/>
                <w:szCs w:val="21"/>
                <w:lang w:bidi="en-US"/>
              </w:rPr>
              <w:t>★</w:t>
            </w:r>
            <w:r>
              <w:rPr>
                <w:rFonts w:ascii="宋体" w:hAnsi="宋体" w:cs="KongXinCaoTi"/>
                <w:color w:val="000000"/>
                <w:kern w:val="0"/>
                <w:sz w:val="21"/>
                <w:szCs w:val="21"/>
                <w:lang w:bidi="en-US"/>
              </w:rPr>
              <w:t>测试任务：包括对目标或患者干扰做出反应</w:t>
            </w:r>
            <w:r>
              <w:rPr>
                <w:rFonts w:hint="eastAsia" w:ascii="宋体" w:hAnsi="宋体" w:cs="KongXinCaoTi"/>
                <w:color w:val="000000"/>
                <w:kern w:val="0"/>
                <w:sz w:val="21"/>
                <w:szCs w:val="21"/>
                <w:lang w:bidi="en-US"/>
              </w:rPr>
              <w:t>不少于</w:t>
            </w:r>
            <w:r>
              <w:rPr>
                <w:rFonts w:ascii="宋体" w:hAnsi="宋体" w:cs="KongXinCaoTi"/>
                <w:color w:val="000000"/>
                <w:kern w:val="0"/>
                <w:sz w:val="21"/>
                <w:szCs w:val="21"/>
                <w:lang w:bidi="en-US"/>
              </w:rPr>
              <w:t>500个考验，每个考验维持</w:t>
            </w:r>
            <w:r>
              <w:rPr>
                <w:rFonts w:hint="eastAsia" w:ascii="宋体" w:hAnsi="宋体" w:cs="KongXinCaoTi"/>
                <w:color w:val="000000"/>
                <w:kern w:val="0"/>
                <w:sz w:val="21"/>
                <w:szCs w:val="21"/>
                <w:lang w:bidi="en-US"/>
              </w:rPr>
              <w:t>不小于</w:t>
            </w:r>
            <w:r>
              <w:rPr>
                <w:rFonts w:ascii="宋体" w:hAnsi="宋体" w:cs="KongXinCaoTi"/>
                <w:color w:val="000000"/>
                <w:kern w:val="0"/>
                <w:sz w:val="21"/>
                <w:szCs w:val="21"/>
                <w:lang w:bidi="en-US"/>
              </w:rPr>
              <w:t>1.5秒。</w:t>
            </w:r>
          </w:p>
          <w:p w14:paraId="4B8E849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KongXinCaoTi"/>
                <w:color w:val="000000"/>
                <w:kern w:val="0"/>
                <w:sz w:val="21"/>
                <w:szCs w:val="21"/>
                <w:lang w:bidi="en-US"/>
              </w:rPr>
            </w:pPr>
            <w:r>
              <w:rPr>
                <w:rFonts w:hint="eastAsia" w:ascii="宋体" w:hAnsi="宋体" w:cs="KongXinCaoTi"/>
                <w:color w:val="000000"/>
                <w:kern w:val="0"/>
                <w:sz w:val="21"/>
                <w:szCs w:val="21"/>
                <w:lang w:eastAsia="zh-CN" w:bidi="en-US"/>
              </w:rPr>
              <w:t>（</w:t>
            </w:r>
            <w:r>
              <w:rPr>
                <w:rFonts w:hint="eastAsia" w:ascii="宋体" w:hAnsi="宋体" w:cs="KongXinCaoTi"/>
                <w:color w:val="000000"/>
                <w:kern w:val="0"/>
                <w:sz w:val="21"/>
                <w:szCs w:val="21"/>
                <w:lang w:val="en-US" w:eastAsia="zh-CN" w:bidi="en-US"/>
              </w:rPr>
              <w:t>3）</w:t>
            </w:r>
            <w:r>
              <w:rPr>
                <w:rFonts w:ascii="宋体" w:hAnsi="宋体" w:cs="KongXinCaoTi"/>
                <w:color w:val="000000"/>
                <w:kern w:val="0"/>
                <w:sz w:val="21"/>
                <w:szCs w:val="21"/>
                <w:lang w:bidi="en-US"/>
              </w:rPr>
              <w:t>基于DirectX技术呈现：记录响时间准确</w:t>
            </w:r>
            <w:r>
              <w:rPr>
                <w:rFonts w:hint="eastAsia" w:ascii="宋体" w:hAnsi="宋体" w:cs="KongXinCaoTi"/>
                <w:color w:val="000000"/>
                <w:kern w:val="0"/>
                <w:sz w:val="21"/>
                <w:szCs w:val="21"/>
                <w:lang w:bidi="en-US"/>
              </w:rPr>
              <w:t>不大于</w:t>
            </w:r>
            <w:r>
              <w:rPr>
                <w:rFonts w:ascii="宋体" w:hAnsi="宋体" w:cs="KongXinCaoTi"/>
                <w:color w:val="000000"/>
                <w:kern w:val="0"/>
                <w:sz w:val="21"/>
                <w:szCs w:val="21"/>
                <w:lang w:bidi="en-US"/>
              </w:rPr>
              <w:t>10毫秒。</w:t>
            </w:r>
          </w:p>
          <w:p w14:paraId="3581C98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KongXinCaoTi"/>
                <w:color w:val="000000"/>
                <w:kern w:val="0"/>
                <w:sz w:val="21"/>
                <w:szCs w:val="21"/>
                <w:lang w:bidi="en-US"/>
              </w:rPr>
            </w:pPr>
            <w:r>
              <w:rPr>
                <w:rFonts w:hint="eastAsia" w:ascii="宋体" w:hAnsi="宋体" w:cs="KongXinCaoTi"/>
                <w:color w:val="000000"/>
                <w:kern w:val="0"/>
                <w:sz w:val="21"/>
                <w:szCs w:val="21"/>
                <w:lang w:eastAsia="zh-CN" w:bidi="en-US"/>
              </w:rPr>
              <w:t>（</w:t>
            </w:r>
            <w:r>
              <w:rPr>
                <w:rFonts w:hint="eastAsia" w:ascii="宋体" w:hAnsi="宋体" w:cs="KongXinCaoTi"/>
                <w:color w:val="000000"/>
                <w:kern w:val="0"/>
                <w:sz w:val="21"/>
                <w:szCs w:val="21"/>
                <w:lang w:val="en-US" w:eastAsia="zh-CN" w:bidi="en-US"/>
              </w:rPr>
              <w:t>4）</w:t>
            </w:r>
            <w:r>
              <w:rPr>
                <w:rFonts w:ascii="宋体" w:hAnsi="宋体" w:cs="KongXinCaoTi"/>
                <w:color w:val="000000"/>
                <w:kern w:val="0"/>
                <w:sz w:val="21"/>
                <w:szCs w:val="21"/>
                <w:lang w:bidi="en-US"/>
              </w:rPr>
              <w:t>使用年龄：常模数据覆盖6-60岁人群。</w:t>
            </w:r>
          </w:p>
          <w:p w14:paraId="4F1C579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KongXinCaoTi"/>
                <w:color w:val="000000"/>
                <w:kern w:val="0"/>
                <w:sz w:val="21"/>
                <w:szCs w:val="21"/>
                <w:lang w:bidi="en-US"/>
              </w:rPr>
            </w:pPr>
            <w:r>
              <w:rPr>
                <w:rFonts w:hint="eastAsia" w:ascii="宋体" w:hAnsi="宋体" w:cs="KongXinCaoTi"/>
                <w:color w:val="000000"/>
                <w:kern w:val="0"/>
                <w:sz w:val="21"/>
                <w:szCs w:val="21"/>
                <w:lang w:eastAsia="zh-CN" w:bidi="en-US"/>
              </w:rPr>
              <w:t>（</w:t>
            </w:r>
            <w:r>
              <w:rPr>
                <w:rFonts w:hint="eastAsia" w:ascii="宋体" w:hAnsi="宋体" w:cs="KongXinCaoTi"/>
                <w:color w:val="000000"/>
                <w:kern w:val="0"/>
                <w:sz w:val="21"/>
                <w:szCs w:val="21"/>
                <w:lang w:val="en-US" w:eastAsia="zh-CN" w:bidi="en-US"/>
              </w:rPr>
              <w:t>5）</w:t>
            </w:r>
            <w:r>
              <w:rPr>
                <w:rFonts w:ascii="宋体" w:hAnsi="宋体" w:cs="KongXinCaoTi"/>
                <w:color w:val="000000"/>
                <w:kern w:val="0"/>
                <w:sz w:val="21"/>
                <w:szCs w:val="21"/>
                <w:lang w:bidi="en-US"/>
              </w:rPr>
              <w:t>单机版，所有的测试数据保存在本地电脑，无需联网</w:t>
            </w:r>
          </w:p>
          <w:p w14:paraId="0D59341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KongXinCaoTi"/>
                <w:color w:val="000000"/>
                <w:kern w:val="0"/>
                <w:sz w:val="21"/>
                <w:szCs w:val="21"/>
                <w:lang w:bidi="en-US"/>
              </w:rPr>
            </w:pPr>
            <w:r>
              <w:rPr>
                <w:rFonts w:hint="eastAsia" w:ascii="宋体" w:hAnsi="宋体" w:cs="KongXinCaoTi"/>
                <w:color w:val="000000"/>
                <w:kern w:val="0"/>
                <w:sz w:val="21"/>
                <w:szCs w:val="21"/>
                <w:lang w:eastAsia="zh-CN" w:bidi="en-US"/>
              </w:rPr>
              <w:t>（</w:t>
            </w:r>
            <w:r>
              <w:rPr>
                <w:rFonts w:hint="eastAsia" w:ascii="宋体" w:hAnsi="宋体" w:cs="KongXinCaoTi"/>
                <w:color w:val="000000"/>
                <w:kern w:val="0"/>
                <w:sz w:val="21"/>
                <w:szCs w:val="21"/>
                <w:lang w:val="en-US" w:eastAsia="zh-CN" w:bidi="en-US"/>
              </w:rPr>
              <w:t>6）</w:t>
            </w:r>
            <w:r>
              <w:rPr>
                <w:rFonts w:hint="eastAsia" w:ascii="宋体" w:hAnsi="宋体" w:cs="KongXinCaoTi"/>
                <w:color w:val="000000"/>
                <w:kern w:val="0"/>
                <w:sz w:val="21"/>
                <w:szCs w:val="21"/>
                <w:lang w:bidi="en-US"/>
              </w:rPr>
              <w:t>★</w:t>
            </w:r>
            <w:r>
              <w:rPr>
                <w:rFonts w:ascii="宋体" w:hAnsi="宋体" w:cs="KongXinCaoTi"/>
                <w:color w:val="000000"/>
                <w:kern w:val="0"/>
                <w:sz w:val="21"/>
                <w:szCs w:val="21"/>
                <w:lang w:bidi="en-US"/>
              </w:rPr>
              <w:t>测试过程半自动化，电脑集成标准指导语。总测试时间约</w:t>
            </w:r>
            <w:r>
              <w:rPr>
                <w:rFonts w:hint="eastAsia" w:ascii="宋体" w:hAnsi="宋体" w:cs="KongXinCaoTi"/>
                <w:color w:val="000000"/>
                <w:kern w:val="0"/>
                <w:sz w:val="21"/>
                <w:szCs w:val="21"/>
                <w:lang w:bidi="en-US"/>
              </w:rPr>
              <w:t>不少于</w:t>
            </w:r>
            <w:r>
              <w:rPr>
                <w:rFonts w:ascii="宋体" w:hAnsi="宋体" w:cs="KongXinCaoTi"/>
                <w:color w:val="000000"/>
                <w:kern w:val="0"/>
                <w:sz w:val="21"/>
                <w:szCs w:val="21"/>
                <w:lang w:bidi="en-US"/>
              </w:rPr>
              <w:t>15分钟。</w:t>
            </w:r>
          </w:p>
          <w:p w14:paraId="32312AD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KongXinCaoTi"/>
                <w:color w:val="000000"/>
                <w:kern w:val="0"/>
                <w:sz w:val="21"/>
                <w:szCs w:val="21"/>
                <w:lang w:bidi="en-US"/>
              </w:rPr>
            </w:pPr>
            <w:r>
              <w:rPr>
                <w:rFonts w:hint="eastAsia" w:ascii="宋体" w:hAnsi="宋体" w:cs="KongXinCaoTi"/>
                <w:color w:val="000000"/>
                <w:kern w:val="0"/>
                <w:sz w:val="21"/>
                <w:szCs w:val="21"/>
                <w:lang w:eastAsia="zh-CN" w:bidi="en-US"/>
              </w:rPr>
              <w:t>（</w:t>
            </w:r>
            <w:r>
              <w:rPr>
                <w:rFonts w:hint="eastAsia" w:ascii="宋体" w:hAnsi="宋体" w:cs="KongXinCaoTi"/>
                <w:color w:val="000000"/>
                <w:kern w:val="0"/>
                <w:sz w:val="21"/>
                <w:szCs w:val="21"/>
                <w:lang w:val="en-US" w:eastAsia="zh-CN" w:bidi="en-US"/>
              </w:rPr>
              <w:t>7）</w:t>
            </w:r>
            <w:r>
              <w:rPr>
                <w:rFonts w:hint="eastAsia" w:ascii="宋体" w:hAnsi="宋体" w:cs="KongXinCaoTi"/>
                <w:color w:val="000000"/>
                <w:kern w:val="0"/>
                <w:sz w:val="21"/>
                <w:szCs w:val="21"/>
                <w:lang w:bidi="en-US"/>
              </w:rPr>
              <w:t>★</w:t>
            </w:r>
            <w:r>
              <w:rPr>
                <w:rFonts w:ascii="宋体" w:hAnsi="宋体" w:cs="KongXinCaoTi"/>
                <w:color w:val="000000"/>
                <w:kern w:val="0"/>
                <w:sz w:val="21"/>
                <w:szCs w:val="21"/>
                <w:lang w:bidi="en-US"/>
              </w:rPr>
              <w:t>测试</w:t>
            </w:r>
            <w:r>
              <w:rPr>
                <w:rFonts w:hint="eastAsia" w:ascii="宋体" w:hAnsi="宋体" w:cs="KongXinCaoTi"/>
                <w:color w:val="000000"/>
                <w:kern w:val="0"/>
                <w:sz w:val="21"/>
                <w:szCs w:val="21"/>
                <w:lang w:bidi="en-US"/>
              </w:rPr>
              <w:t>不少于四个</w:t>
            </w:r>
            <w:r>
              <w:rPr>
                <w:rFonts w:ascii="宋体" w:hAnsi="宋体" w:cs="KongXinCaoTi"/>
                <w:color w:val="000000"/>
                <w:kern w:val="0"/>
                <w:sz w:val="21"/>
                <w:szCs w:val="21"/>
                <w:lang w:bidi="en-US"/>
              </w:rPr>
              <w:t>环节：热身、练习、主测试及恢复。主试可以根据提示，掌握每个环节的控制。</w:t>
            </w:r>
          </w:p>
          <w:p w14:paraId="2344EF3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KongXinCaoTi"/>
                <w:color w:val="000000"/>
                <w:kern w:val="0"/>
                <w:sz w:val="21"/>
                <w:szCs w:val="21"/>
                <w:lang w:bidi="en-US"/>
              </w:rPr>
            </w:pPr>
            <w:r>
              <w:rPr>
                <w:rFonts w:hint="eastAsia" w:ascii="宋体" w:hAnsi="宋体" w:cs="KongXinCaoTi"/>
                <w:color w:val="000000"/>
                <w:kern w:val="0"/>
                <w:sz w:val="21"/>
                <w:szCs w:val="21"/>
                <w:lang w:eastAsia="zh-CN" w:bidi="en-US"/>
              </w:rPr>
              <w:t>（</w:t>
            </w:r>
            <w:r>
              <w:rPr>
                <w:rFonts w:hint="eastAsia" w:ascii="宋体" w:hAnsi="宋体" w:cs="KongXinCaoTi"/>
                <w:color w:val="000000"/>
                <w:kern w:val="0"/>
                <w:sz w:val="21"/>
                <w:szCs w:val="21"/>
                <w:lang w:val="en-US" w:eastAsia="zh-CN" w:bidi="en-US"/>
              </w:rPr>
              <w:t>8）</w:t>
            </w:r>
            <w:r>
              <w:rPr>
                <w:rFonts w:ascii="宋体" w:hAnsi="宋体" w:cs="KongXinCaoTi"/>
                <w:color w:val="000000"/>
                <w:kern w:val="0"/>
                <w:sz w:val="21"/>
                <w:szCs w:val="21"/>
                <w:lang w:bidi="en-US"/>
              </w:rPr>
              <w:t>支持数据管理功能，数据可以备份以及可以对用户资料进行编辑、导出及导入等。</w:t>
            </w:r>
          </w:p>
          <w:p w14:paraId="269AEA6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KongXinCaoTi"/>
                <w:color w:val="000000"/>
                <w:kern w:val="0"/>
                <w:sz w:val="21"/>
                <w:szCs w:val="21"/>
                <w:lang w:bidi="en-US"/>
              </w:rPr>
            </w:pPr>
            <w:r>
              <w:rPr>
                <w:rFonts w:hint="eastAsia" w:ascii="宋体" w:hAnsi="宋体" w:cs="KongXinCaoTi"/>
                <w:color w:val="000000"/>
                <w:kern w:val="0"/>
                <w:sz w:val="21"/>
                <w:szCs w:val="21"/>
                <w:lang w:eastAsia="zh-CN" w:bidi="en-US"/>
              </w:rPr>
              <w:t>（</w:t>
            </w:r>
            <w:r>
              <w:rPr>
                <w:rFonts w:hint="eastAsia" w:ascii="宋体" w:hAnsi="宋体" w:cs="KongXinCaoTi"/>
                <w:color w:val="000000"/>
                <w:kern w:val="0"/>
                <w:sz w:val="21"/>
                <w:szCs w:val="21"/>
                <w:lang w:val="en-US" w:eastAsia="zh-CN" w:bidi="en-US"/>
              </w:rPr>
              <w:t>9）</w:t>
            </w:r>
            <w:r>
              <w:rPr>
                <w:rFonts w:hint="eastAsia" w:ascii="宋体" w:hAnsi="宋体" w:cs="KongXinCaoTi"/>
                <w:color w:val="000000"/>
                <w:kern w:val="0"/>
                <w:sz w:val="21"/>
                <w:szCs w:val="21"/>
                <w:lang w:bidi="en-US"/>
              </w:rPr>
              <w:t>★</w:t>
            </w:r>
            <w:r>
              <w:rPr>
                <w:rFonts w:ascii="宋体" w:hAnsi="宋体" w:cs="KongXinCaoTi"/>
                <w:color w:val="000000"/>
                <w:kern w:val="0"/>
                <w:sz w:val="21"/>
                <w:szCs w:val="21"/>
                <w:lang w:bidi="en-US"/>
              </w:rPr>
              <w:t>测试结果分为测试报告、趋势报告、反应时间报告及原始数据记录。</w:t>
            </w:r>
          </w:p>
          <w:p w14:paraId="023890BD">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cs="宋体"/>
                <w:bCs/>
                <w:kern w:val="0"/>
                <w:sz w:val="21"/>
                <w:szCs w:val="21"/>
              </w:rPr>
            </w:pPr>
            <w:r>
              <w:rPr>
                <w:rFonts w:hint="eastAsia" w:ascii="宋体" w:hAnsi="宋体" w:cs="KongXinCaoTi"/>
                <w:color w:val="000000"/>
                <w:kern w:val="0"/>
                <w:sz w:val="21"/>
                <w:szCs w:val="21"/>
                <w:lang w:eastAsia="zh-CN" w:bidi="en-US"/>
              </w:rPr>
              <w:t>（</w:t>
            </w:r>
            <w:r>
              <w:rPr>
                <w:rFonts w:hint="eastAsia" w:ascii="宋体" w:hAnsi="宋体" w:cs="KongXinCaoTi"/>
                <w:color w:val="000000"/>
                <w:kern w:val="0"/>
                <w:sz w:val="21"/>
                <w:szCs w:val="21"/>
                <w:lang w:val="en-US" w:eastAsia="zh-CN" w:bidi="en-US"/>
              </w:rPr>
              <w:t>10）</w:t>
            </w:r>
            <w:r>
              <w:rPr>
                <w:rFonts w:hint="eastAsia" w:ascii="宋体" w:hAnsi="宋体" w:cs="KongXinCaoTi"/>
                <w:color w:val="000000"/>
                <w:kern w:val="0"/>
                <w:sz w:val="21"/>
                <w:szCs w:val="21"/>
                <w:lang w:bidi="en-US"/>
              </w:rPr>
              <w:t>★</w:t>
            </w:r>
            <w:r>
              <w:rPr>
                <w:rFonts w:ascii="宋体" w:hAnsi="宋体" w:cs="KongXinCaoTi"/>
                <w:color w:val="000000"/>
                <w:kern w:val="0"/>
                <w:sz w:val="21"/>
                <w:szCs w:val="21"/>
                <w:lang w:bidi="en-US"/>
              </w:rPr>
              <w:t>测试报告可生成多种商数，对注意力不同层面进行评估。</w:t>
            </w:r>
          </w:p>
        </w:tc>
        <w:tc>
          <w:tcPr>
            <w:tcW w:w="585" w:type="dxa"/>
            <w:shd w:val="clear" w:color="auto" w:fill="auto"/>
            <w:vAlign w:val="center"/>
          </w:tcPr>
          <w:p w14:paraId="7306F48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Cs/>
                <w:kern w:val="0"/>
                <w:sz w:val="18"/>
                <w:szCs w:val="18"/>
              </w:rPr>
            </w:pPr>
            <w:r>
              <w:rPr>
                <w:rFonts w:hint="eastAsia" w:ascii="宋体" w:hAnsi="宋体" w:cs="宋体"/>
                <w:bCs/>
                <w:kern w:val="0"/>
                <w:sz w:val="18"/>
                <w:szCs w:val="18"/>
              </w:rPr>
              <w:t>1</w:t>
            </w:r>
          </w:p>
        </w:tc>
        <w:tc>
          <w:tcPr>
            <w:tcW w:w="575" w:type="dxa"/>
            <w:shd w:val="clear" w:color="auto" w:fill="auto"/>
            <w:vAlign w:val="center"/>
          </w:tcPr>
          <w:p w14:paraId="630AEDC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Cs/>
                <w:kern w:val="0"/>
                <w:sz w:val="18"/>
                <w:szCs w:val="18"/>
              </w:rPr>
            </w:pPr>
            <w:r>
              <w:rPr>
                <w:rFonts w:hint="eastAsia" w:ascii="宋体" w:hAnsi="宋体" w:cs="宋体"/>
                <w:bCs/>
                <w:kern w:val="0"/>
                <w:sz w:val="18"/>
                <w:szCs w:val="18"/>
              </w:rPr>
              <w:t>套</w:t>
            </w:r>
          </w:p>
        </w:tc>
      </w:tr>
      <w:tr w14:paraId="36A2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540" w:type="dxa"/>
            <w:shd w:val="clear" w:color="auto" w:fill="auto"/>
            <w:vAlign w:val="center"/>
          </w:tcPr>
          <w:p w14:paraId="158A12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b/>
                <w:bCs w:val="0"/>
                <w:color w:val="auto"/>
                <w:sz w:val="21"/>
                <w:szCs w:val="21"/>
              </w:rPr>
            </w:pPr>
            <w:r>
              <w:rPr>
                <w:rFonts w:hint="eastAsia" w:ascii="宋体" w:hAnsi="宋体" w:cs="宋体"/>
                <w:b/>
                <w:bCs w:val="0"/>
                <w:color w:val="auto"/>
                <w:kern w:val="0"/>
                <w:sz w:val="21"/>
                <w:szCs w:val="21"/>
              </w:rPr>
              <w:t>2</w:t>
            </w:r>
          </w:p>
        </w:tc>
        <w:tc>
          <w:tcPr>
            <w:tcW w:w="720" w:type="dxa"/>
            <w:shd w:val="clear" w:color="auto" w:fill="auto"/>
            <w:vAlign w:val="center"/>
          </w:tcPr>
          <w:p w14:paraId="51D4FC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bCs w:val="0"/>
                <w:color w:val="auto"/>
                <w:kern w:val="0"/>
                <w:sz w:val="21"/>
                <w:szCs w:val="21"/>
              </w:rPr>
            </w:pPr>
            <w:r>
              <w:rPr>
                <w:rFonts w:hint="eastAsia"/>
                <w:b/>
                <w:bCs w:val="0"/>
                <w:color w:val="auto"/>
                <w:sz w:val="21"/>
                <w:szCs w:val="21"/>
              </w:rPr>
              <w:t>注意力认知训练系统</w:t>
            </w:r>
          </w:p>
        </w:tc>
        <w:tc>
          <w:tcPr>
            <w:tcW w:w="1320" w:type="dxa"/>
            <w:shd w:val="clear" w:color="auto" w:fill="auto"/>
            <w:vAlign w:val="center"/>
          </w:tcPr>
          <w:p w14:paraId="2DCDAAB0">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ascii="宋体" w:hAnsi="宋体" w:cs="宋体"/>
                <w:kern w:val="0"/>
                <w:sz w:val="21"/>
                <w:szCs w:val="21"/>
              </w:rPr>
            </w:pPr>
            <w:r>
              <w:rPr>
                <w:rFonts w:hint="eastAsia" w:ascii="宋体" w:hAnsi="宋体" w:eastAsia="宋体" w:cs="宋体"/>
                <w:kern w:val="0"/>
                <w:sz w:val="21"/>
                <w:szCs w:val="21"/>
              </w:rPr>
              <w:t>包括视觉扫描辨别、选择比较推理、听觉模式辨别、逻辑推理测试、数字感知记忆、视觉记忆容量、空间记忆能力、工作记忆容量、视听匹配测试。</w:t>
            </w:r>
            <w:r>
              <w:rPr>
                <w:rFonts w:hint="eastAsia" w:ascii="宋体" w:hAnsi="宋体" w:eastAsia="宋体" w:cs="宋体"/>
                <w:color w:val="000000"/>
                <w:kern w:val="0"/>
                <w:sz w:val="21"/>
                <w:szCs w:val="21"/>
                <w:lang w:bidi="en-US"/>
              </w:rPr>
              <w:t>评估学员在信息的输入、加工及输出过程中的各种能力，并且针对评估结果作出针对性的训练</w:t>
            </w:r>
            <w:r>
              <w:rPr>
                <w:rFonts w:hint="eastAsia" w:ascii="KongXinCaoTi" w:hAnsi="KongXinCaoTi" w:eastAsia="KongXinCaoTi" w:cs="KongXinCaoTi"/>
                <w:color w:val="000000"/>
                <w:kern w:val="0"/>
                <w:sz w:val="21"/>
                <w:szCs w:val="21"/>
                <w:lang w:bidi="en-US"/>
              </w:rPr>
              <w:t>。</w:t>
            </w:r>
          </w:p>
          <w:p w14:paraId="308344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Cs/>
                <w:color w:val="000000"/>
                <w:sz w:val="21"/>
                <w:szCs w:val="21"/>
              </w:rPr>
            </w:pPr>
          </w:p>
        </w:tc>
        <w:tc>
          <w:tcPr>
            <w:tcW w:w="6653" w:type="dxa"/>
            <w:shd w:val="clear" w:color="auto" w:fill="auto"/>
            <w:vAlign w:val="center"/>
          </w:tcPr>
          <w:p w14:paraId="5F9F6C75">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bCs/>
                <w:kern w:val="0"/>
                <w:sz w:val="21"/>
                <w:szCs w:val="21"/>
              </w:rPr>
            </w:pPr>
            <w:bookmarkStart w:id="1" w:name="OLE_LINK1"/>
            <w:r>
              <w:rPr>
                <w:rFonts w:hint="eastAsia" w:ascii="宋体" w:hAnsi="宋体" w:cs="宋体"/>
                <w:bCs/>
                <w:kern w:val="0"/>
                <w:sz w:val="21"/>
                <w:szCs w:val="21"/>
                <w:lang w:eastAsia="zh-CN"/>
              </w:rPr>
              <w:t>（</w:t>
            </w:r>
            <w:r>
              <w:rPr>
                <w:rFonts w:hint="eastAsia" w:ascii="宋体" w:hAnsi="宋体" w:cs="宋体"/>
                <w:bCs/>
                <w:kern w:val="0"/>
                <w:sz w:val="21"/>
                <w:szCs w:val="21"/>
                <w:lang w:val="en-US" w:eastAsia="zh-CN"/>
              </w:rPr>
              <w:t>1）</w:t>
            </w:r>
            <w:r>
              <w:rPr>
                <w:rFonts w:hint="eastAsia" w:ascii="宋体" w:hAnsi="宋体" w:cs="宋体"/>
                <w:bCs/>
                <w:kern w:val="0"/>
                <w:sz w:val="21"/>
                <w:szCs w:val="21"/>
              </w:rPr>
              <w:t>★自带评估系统，不少于9个模块的基准测试：包括视觉扫描辨别、选择比较推理、听觉模式辨别、逻辑推理测试、数字感知记忆、视觉记忆容量、空间记忆能力、工作记忆容量、视听匹配测试。</w:t>
            </w:r>
            <w:bookmarkEnd w:id="1"/>
            <w:r>
              <w:rPr>
                <w:rFonts w:hint="eastAsia" w:ascii="宋体" w:hAnsi="宋体" w:cs="宋体"/>
                <w:bCs/>
                <w:kern w:val="0"/>
                <w:sz w:val="21"/>
                <w:szCs w:val="21"/>
              </w:rPr>
              <w:t>每个模块测试时间为不低于3分钟。评估学员在信息的输入、加工及输出过程中的各种能力。</w:t>
            </w:r>
          </w:p>
          <w:p w14:paraId="0210BDF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bCs/>
                <w:kern w:val="0"/>
                <w:sz w:val="21"/>
                <w:szCs w:val="21"/>
              </w:rPr>
            </w:pPr>
            <w:r>
              <w:rPr>
                <w:rFonts w:hint="eastAsia" w:ascii="宋体" w:hAnsi="宋体" w:cs="宋体"/>
                <w:bCs/>
                <w:kern w:val="0"/>
                <w:sz w:val="21"/>
                <w:szCs w:val="21"/>
                <w:lang w:eastAsia="zh-CN"/>
              </w:rPr>
              <w:t>（</w:t>
            </w:r>
            <w:r>
              <w:rPr>
                <w:rFonts w:hint="eastAsia" w:ascii="宋体" w:hAnsi="宋体" w:cs="宋体"/>
                <w:bCs/>
                <w:kern w:val="0"/>
                <w:sz w:val="21"/>
                <w:szCs w:val="21"/>
                <w:lang w:val="en-US" w:eastAsia="zh-CN"/>
              </w:rPr>
              <w:t>2）</w:t>
            </w:r>
            <w:r>
              <w:rPr>
                <w:rFonts w:hint="eastAsia" w:ascii="宋体" w:hAnsi="宋体" w:cs="宋体"/>
                <w:bCs/>
                <w:kern w:val="0"/>
                <w:sz w:val="21"/>
                <w:szCs w:val="21"/>
              </w:rPr>
              <w:t>★针对性的训练方案。根据</w:t>
            </w:r>
            <w:r>
              <w:rPr>
                <w:rFonts w:hint="eastAsia" w:ascii="宋体" w:hAnsi="宋体" w:cs="宋体"/>
                <w:bCs/>
                <w:color w:val="auto"/>
                <w:kern w:val="0"/>
                <w:sz w:val="21"/>
                <w:szCs w:val="21"/>
              </w:rPr>
              <w:t>2</w:t>
            </w:r>
            <w:r>
              <w:rPr>
                <w:rFonts w:ascii="宋体" w:hAnsi="宋体" w:cs="宋体"/>
                <w:bCs/>
                <w:color w:val="auto"/>
                <w:kern w:val="0"/>
                <w:sz w:val="21"/>
                <w:szCs w:val="21"/>
              </w:rPr>
              <w:t>.</w:t>
            </w:r>
            <w:r>
              <w:rPr>
                <w:rFonts w:hint="eastAsia" w:ascii="宋体" w:hAnsi="宋体" w:cs="宋体"/>
                <w:bCs/>
                <w:color w:val="auto"/>
                <w:kern w:val="0"/>
                <w:sz w:val="21"/>
                <w:szCs w:val="21"/>
                <w:lang w:eastAsia="zh-CN"/>
              </w:rPr>
              <w:t>（</w:t>
            </w:r>
            <w:r>
              <w:rPr>
                <w:rFonts w:hint="eastAsia" w:ascii="宋体" w:hAnsi="宋体" w:cs="宋体"/>
                <w:bCs/>
                <w:color w:val="auto"/>
                <w:kern w:val="0"/>
                <w:sz w:val="21"/>
                <w:szCs w:val="21"/>
                <w:lang w:val="en-US" w:eastAsia="zh-CN"/>
              </w:rPr>
              <w:t>1）</w:t>
            </w:r>
            <w:r>
              <w:rPr>
                <w:rFonts w:hint="eastAsia" w:ascii="宋体" w:hAnsi="宋体" w:cs="宋体"/>
                <w:bCs/>
                <w:color w:val="auto"/>
                <w:kern w:val="0"/>
                <w:sz w:val="21"/>
                <w:szCs w:val="21"/>
              </w:rPr>
              <w:t>的测</w:t>
            </w:r>
            <w:r>
              <w:rPr>
                <w:rFonts w:hint="eastAsia" w:ascii="宋体" w:hAnsi="宋体" w:cs="宋体"/>
                <w:bCs/>
                <w:kern w:val="0"/>
                <w:sz w:val="21"/>
                <w:szCs w:val="21"/>
              </w:rPr>
              <w:t>试结果，系统可一键生成每个学员的个性化训练方案。确保每个孩子的训练内容都有针对性。此外，还可以根据韦氏智力测试第四版、IVA</w:t>
            </w:r>
            <w:r>
              <w:rPr>
                <w:rFonts w:ascii="宋体" w:hAnsi="宋体" w:cs="宋体"/>
                <w:bCs/>
                <w:kern w:val="0"/>
                <w:sz w:val="21"/>
                <w:szCs w:val="21"/>
              </w:rPr>
              <w:t>-</w:t>
            </w:r>
            <w:r>
              <w:rPr>
                <w:rFonts w:hint="eastAsia" w:ascii="宋体" w:hAnsi="宋体" w:cs="宋体"/>
                <w:bCs/>
                <w:kern w:val="0"/>
                <w:sz w:val="21"/>
                <w:szCs w:val="21"/>
              </w:rPr>
              <w:t>CPT测试、CAS认知评估测试结果，来制定针对性的训练计划。训练计划可以另存及加载给不同的学员；系统内置多达不少于3</w:t>
            </w:r>
            <w:r>
              <w:rPr>
                <w:rFonts w:ascii="宋体" w:hAnsi="宋体" w:cs="宋体"/>
                <w:bCs/>
                <w:kern w:val="0"/>
                <w:sz w:val="21"/>
                <w:szCs w:val="21"/>
              </w:rPr>
              <w:t>4</w:t>
            </w:r>
            <w:r>
              <w:rPr>
                <w:rFonts w:hint="eastAsia" w:ascii="宋体" w:hAnsi="宋体" w:cs="宋体"/>
                <w:bCs/>
                <w:kern w:val="0"/>
                <w:sz w:val="21"/>
                <w:szCs w:val="21"/>
              </w:rPr>
              <w:t>种训练计划供选择。</w:t>
            </w:r>
          </w:p>
          <w:p w14:paraId="57547110">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bCs/>
                <w:kern w:val="0"/>
                <w:sz w:val="21"/>
                <w:szCs w:val="21"/>
              </w:rPr>
            </w:pPr>
            <w:r>
              <w:rPr>
                <w:rFonts w:hint="eastAsia" w:ascii="宋体" w:hAnsi="宋体" w:cs="宋体"/>
                <w:bCs/>
                <w:kern w:val="0"/>
                <w:sz w:val="21"/>
                <w:szCs w:val="21"/>
                <w:lang w:val="en-US" w:eastAsia="zh-CN"/>
              </w:rPr>
              <w:t>（3）</w:t>
            </w:r>
            <w:r>
              <w:rPr>
                <w:rFonts w:hint="eastAsia" w:ascii="宋体" w:hAnsi="宋体" w:cs="宋体"/>
                <w:bCs/>
                <w:kern w:val="0"/>
                <w:sz w:val="21"/>
                <w:szCs w:val="21"/>
              </w:rPr>
              <w:t>★不少于5</w:t>
            </w:r>
            <w:r>
              <w:rPr>
                <w:rFonts w:ascii="宋体" w:hAnsi="宋体" w:cs="宋体"/>
                <w:bCs/>
                <w:kern w:val="0"/>
                <w:sz w:val="21"/>
                <w:szCs w:val="21"/>
              </w:rPr>
              <w:t>0</w:t>
            </w:r>
            <w:r>
              <w:rPr>
                <w:rFonts w:hint="eastAsia" w:ascii="宋体" w:hAnsi="宋体" w:cs="宋体"/>
                <w:bCs/>
                <w:kern w:val="0"/>
                <w:sz w:val="21"/>
                <w:szCs w:val="21"/>
              </w:rPr>
              <w:t>个训练项目，不少于2</w:t>
            </w:r>
            <w:r>
              <w:rPr>
                <w:rFonts w:ascii="宋体" w:hAnsi="宋体" w:cs="宋体"/>
                <w:bCs/>
                <w:kern w:val="0"/>
                <w:sz w:val="21"/>
                <w:szCs w:val="21"/>
              </w:rPr>
              <w:t>500</w:t>
            </w:r>
            <w:r>
              <w:rPr>
                <w:rFonts w:hint="eastAsia" w:ascii="宋体" w:hAnsi="宋体" w:cs="宋体"/>
                <w:bCs/>
                <w:kern w:val="0"/>
                <w:sz w:val="21"/>
                <w:szCs w:val="21"/>
              </w:rPr>
              <w:t>多种训练情景，可训练不少于2</w:t>
            </w:r>
            <w:r>
              <w:rPr>
                <w:rFonts w:ascii="宋体" w:hAnsi="宋体" w:cs="宋体"/>
                <w:bCs/>
                <w:kern w:val="0"/>
                <w:sz w:val="21"/>
                <w:szCs w:val="21"/>
              </w:rPr>
              <w:t>0</w:t>
            </w:r>
            <w:r>
              <w:rPr>
                <w:rFonts w:hint="eastAsia" w:ascii="宋体" w:hAnsi="宋体" w:cs="宋体"/>
                <w:bCs/>
                <w:kern w:val="0"/>
                <w:sz w:val="21"/>
                <w:szCs w:val="21"/>
              </w:rPr>
              <w:t>种认知及注意力能力。</w:t>
            </w:r>
          </w:p>
          <w:p w14:paraId="5D8265D4">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bCs/>
                <w:kern w:val="0"/>
                <w:sz w:val="21"/>
                <w:szCs w:val="21"/>
              </w:rPr>
            </w:pPr>
            <w:r>
              <w:rPr>
                <w:rFonts w:hint="eastAsia" w:ascii="宋体" w:hAnsi="宋体" w:cs="宋体"/>
                <w:bCs/>
                <w:kern w:val="0"/>
                <w:sz w:val="21"/>
                <w:szCs w:val="21"/>
                <w:lang w:val="en-US" w:eastAsia="zh-CN"/>
              </w:rPr>
              <w:t>（4）</w:t>
            </w:r>
            <w:r>
              <w:rPr>
                <w:rFonts w:hint="eastAsia" w:ascii="宋体" w:hAnsi="宋体" w:cs="宋体"/>
                <w:bCs/>
                <w:kern w:val="0"/>
                <w:sz w:val="21"/>
                <w:szCs w:val="21"/>
              </w:rPr>
              <w:t>强大的奖励系统（分数、过度游戏、证书等）。</w:t>
            </w:r>
          </w:p>
          <w:p w14:paraId="6E895FE3">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bCs/>
                <w:kern w:val="0"/>
                <w:sz w:val="21"/>
                <w:szCs w:val="21"/>
              </w:rPr>
            </w:pPr>
            <w:r>
              <w:rPr>
                <w:rFonts w:hint="eastAsia" w:ascii="宋体" w:hAnsi="宋体" w:cs="宋体"/>
                <w:bCs/>
                <w:kern w:val="0"/>
                <w:sz w:val="21"/>
                <w:szCs w:val="21"/>
                <w:lang w:val="en-US" w:eastAsia="zh-CN"/>
              </w:rPr>
              <w:t>（5）</w:t>
            </w:r>
            <w:r>
              <w:rPr>
                <w:rFonts w:hint="eastAsia" w:ascii="宋体" w:hAnsi="宋体" w:cs="宋体"/>
                <w:bCs/>
                <w:kern w:val="0"/>
                <w:sz w:val="21"/>
                <w:szCs w:val="21"/>
              </w:rPr>
              <w:t>★详细的训练结果记录（记录每天训练项目的通过/失败等，同时记录每个训练项目的正确率、反应时间及错误数）。完善的训练报告（详细报告、训练计划报告及摘要报告，对每个学员的训练总体情况一目了然）</w:t>
            </w:r>
          </w:p>
          <w:p w14:paraId="27307A8E">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bCs/>
                <w:kern w:val="0"/>
                <w:sz w:val="21"/>
                <w:szCs w:val="21"/>
              </w:rPr>
            </w:pPr>
            <w:r>
              <w:rPr>
                <w:rFonts w:hint="eastAsia" w:ascii="宋体" w:hAnsi="宋体" w:cs="宋体"/>
                <w:bCs/>
                <w:kern w:val="0"/>
                <w:sz w:val="21"/>
                <w:szCs w:val="21"/>
                <w:lang w:val="en-US" w:eastAsia="zh-CN"/>
              </w:rPr>
              <w:t>（6）</w:t>
            </w:r>
            <w:r>
              <w:rPr>
                <w:rFonts w:hint="eastAsia" w:ascii="宋体" w:hAnsi="宋体" w:cs="宋体"/>
                <w:bCs/>
                <w:kern w:val="0"/>
                <w:sz w:val="21"/>
                <w:szCs w:val="21"/>
              </w:rPr>
              <w:t>适合对像：读写困难、注意力障碍（ADHD）、自闭症（ASD）智力迟缓、认知障碍、脑外伤或中风后引起的认知障碍、老人痴呆早期认知训练等。</w:t>
            </w:r>
          </w:p>
          <w:p w14:paraId="09DA736E">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bCs/>
                <w:kern w:val="0"/>
                <w:sz w:val="21"/>
                <w:szCs w:val="21"/>
              </w:rPr>
            </w:pPr>
            <w:r>
              <w:rPr>
                <w:rFonts w:hint="eastAsia" w:ascii="宋体" w:hAnsi="宋体" w:cs="宋体"/>
                <w:bCs/>
                <w:kern w:val="0"/>
                <w:sz w:val="21"/>
                <w:szCs w:val="21"/>
                <w:lang w:val="en-US" w:eastAsia="zh-CN"/>
              </w:rPr>
              <w:t>（7）</w:t>
            </w:r>
            <w:r>
              <w:rPr>
                <w:rFonts w:hint="eastAsia" w:ascii="宋体" w:hAnsi="宋体" w:cs="宋体"/>
                <w:bCs/>
                <w:kern w:val="0"/>
                <w:sz w:val="21"/>
                <w:szCs w:val="21"/>
              </w:rPr>
              <w:t>适合年龄：6岁以上至成人。</w:t>
            </w:r>
          </w:p>
          <w:p w14:paraId="1C8AEE46">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bCs/>
                <w:kern w:val="0"/>
                <w:sz w:val="21"/>
                <w:szCs w:val="21"/>
              </w:rPr>
            </w:pPr>
            <w:r>
              <w:rPr>
                <w:rFonts w:hint="eastAsia" w:ascii="宋体" w:hAnsi="宋体" w:cs="宋体"/>
                <w:bCs/>
                <w:kern w:val="0"/>
                <w:sz w:val="21"/>
                <w:szCs w:val="21"/>
                <w:lang w:val="en-US" w:eastAsia="zh-CN"/>
              </w:rPr>
              <w:t>（8）</w:t>
            </w:r>
            <w:r>
              <w:rPr>
                <w:rFonts w:hint="eastAsia" w:ascii="宋体" w:hAnsi="宋体" w:cs="宋体"/>
                <w:bCs/>
                <w:kern w:val="0"/>
                <w:sz w:val="21"/>
                <w:szCs w:val="21"/>
              </w:rPr>
              <w:t>一套系统可服务N个学员。</w:t>
            </w:r>
          </w:p>
          <w:p w14:paraId="18E3A675">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bCs/>
                <w:kern w:val="0"/>
                <w:sz w:val="21"/>
                <w:szCs w:val="21"/>
              </w:rPr>
            </w:pPr>
            <w:r>
              <w:rPr>
                <w:rFonts w:hint="eastAsia" w:ascii="宋体" w:hAnsi="宋体" w:cs="宋体"/>
                <w:bCs/>
                <w:kern w:val="0"/>
                <w:sz w:val="21"/>
                <w:szCs w:val="21"/>
                <w:lang w:val="en-US" w:eastAsia="zh-CN"/>
              </w:rPr>
              <w:t>（9）</w:t>
            </w:r>
            <w:r>
              <w:rPr>
                <w:rFonts w:hint="eastAsia" w:ascii="宋体" w:hAnsi="宋体" w:cs="宋体"/>
                <w:bCs/>
                <w:kern w:val="0"/>
                <w:sz w:val="21"/>
                <w:szCs w:val="21"/>
              </w:rPr>
              <w:t>训练数据可导出及导入，方便管理。</w:t>
            </w:r>
          </w:p>
          <w:p w14:paraId="2516F916">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bCs/>
                <w:kern w:val="0"/>
                <w:sz w:val="21"/>
                <w:szCs w:val="21"/>
              </w:rPr>
            </w:pPr>
            <w:r>
              <w:rPr>
                <w:rFonts w:hint="eastAsia" w:ascii="宋体" w:hAnsi="宋体" w:cs="宋体"/>
                <w:bCs/>
                <w:kern w:val="0"/>
                <w:sz w:val="21"/>
                <w:szCs w:val="21"/>
                <w:lang w:val="en-US" w:eastAsia="zh-CN"/>
              </w:rPr>
              <w:t>（10）</w:t>
            </w:r>
            <w:r>
              <w:rPr>
                <w:rFonts w:hint="eastAsia" w:ascii="宋体" w:hAnsi="宋体" w:cs="KongXinCaoTi"/>
                <w:color w:val="000000"/>
                <w:kern w:val="0"/>
                <w:sz w:val="21"/>
                <w:szCs w:val="21"/>
                <w:lang w:bidi="en-US"/>
              </w:rPr>
              <w:t>★</w:t>
            </w:r>
            <w:r>
              <w:rPr>
                <w:rFonts w:hint="eastAsia" w:ascii="宋体" w:hAnsi="宋体" w:cs="宋体"/>
                <w:bCs/>
                <w:kern w:val="0"/>
                <w:sz w:val="21"/>
                <w:szCs w:val="21"/>
              </w:rPr>
              <w:t>全程电脑训练，电脑记录各种训练数据。一个老师可同时训练多个孩子。（需要安装多套系统）</w:t>
            </w:r>
          </w:p>
        </w:tc>
        <w:tc>
          <w:tcPr>
            <w:tcW w:w="585" w:type="dxa"/>
            <w:shd w:val="clear" w:color="auto" w:fill="auto"/>
            <w:vAlign w:val="center"/>
          </w:tcPr>
          <w:p w14:paraId="055223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Cs/>
                <w:kern w:val="0"/>
                <w:sz w:val="18"/>
                <w:szCs w:val="18"/>
              </w:rPr>
            </w:pPr>
            <w:r>
              <w:rPr>
                <w:rFonts w:hint="eastAsia" w:ascii="宋体" w:hAnsi="宋体" w:cs="宋体"/>
                <w:bCs/>
                <w:kern w:val="0"/>
                <w:sz w:val="18"/>
                <w:szCs w:val="18"/>
              </w:rPr>
              <w:t>1</w:t>
            </w:r>
          </w:p>
        </w:tc>
        <w:tc>
          <w:tcPr>
            <w:tcW w:w="575" w:type="dxa"/>
            <w:shd w:val="clear" w:color="auto" w:fill="auto"/>
            <w:vAlign w:val="center"/>
          </w:tcPr>
          <w:p w14:paraId="60E760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Cs/>
                <w:kern w:val="0"/>
                <w:sz w:val="18"/>
                <w:szCs w:val="18"/>
              </w:rPr>
            </w:pPr>
            <w:r>
              <w:rPr>
                <w:rFonts w:hint="eastAsia" w:ascii="宋体" w:hAnsi="宋体" w:cs="宋体"/>
                <w:bCs/>
                <w:kern w:val="0"/>
                <w:sz w:val="18"/>
                <w:szCs w:val="18"/>
              </w:rPr>
              <w:t>套</w:t>
            </w:r>
          </w:p>
        </w:tc>
      </w:tr>
    </w:tbl>
    <w:p w14:paraId="20F3C129">
      <w:pPr>
        <w:pStyle w:val="16"/>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（二）商务要求</w:t>
      </w:r>
    </w:p>
    <w:tbl>
      <w:tblPr>
        <w:tblStyle w:val="20"/>
        <w:tblW w:w="10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8134"/>
      </w:tblGrid>
      <w:tr w14:paraId="648F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68" w:type="dxa"/>
            <w:shd w:val="clear" w:color="auto" w:fill="auto"/>
            <w:vAlign w:val="center"/>
          </w:tcPr>
          <w:p w14:paraId="60133E2B">
            <w:pPr>
              <w:snapToGrid w:val="0"/>
              <w:spacing w:line="336" w:lineRule="exact"/>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1.</w:t>
            </w:r>
            <w:r>
              <w:rPr>
                <w:rFonts w:hint="eastAsia" w:ascii="宋体" w:hAnsi="宋体" w:eastAsia="宋体" w:cs="宋体"/>
                <w:b/>
                <w:bCs/>
                <w:sz w:val="21"/>
                <w:szCs w:val="21"/>
              </w:rPr>
              <w:t>售后服务要求</w:t>
            </w:r>
          </w:p>
        </w:tc>
        <w:tc>
          <w:tcPr>
            <w:tcW w:w="8134" w:type="dxa"/>
            <w:shd w:val="clear" w:color="auto" w:fill="auto"/>
            <w:vAlign w:val="center"/>
          </w:tcPr>
          <w:p w14:paraId="6CB055C3">
            <w:pPr>
              <w:snapToGrid w:val="0"/>
              <w:spacing w:line="336" w:lineRule="exact"/>
              <w:rPr>
                <w:rFonts w:hint="eastAsia"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lang w:val="en-US"/>
              </w:rPr>
              <w:t>按国家有关产品“三包”规定执行“三包”，提供≥1年质保，质保期满后</w:t>
            </w:r>
            <w:r>
              <w:rPr>
                <w:rFonts w:hint="eastAsia" w:asciiTheme="minorEastAsia" w:hAnsiTheme="minorEastAsia" w:eastAsiaTheme="minorEastAsia" w:cstheme="minorEastAsia"/>
                <w:b w:val="0"/>
                <w:bCs/>
                <w:strike w:val="0"/>
                <w:dstrike w:val="0"/>
                <w:color w:val="auto"/>
                <w:sz w:val="21"/>
                <w:szCs w:val="21"/>
                <w:lang w:val="en-US" w:eastAsia="zh-CN"/>
              </w:rPr>
              <w:t>终身免费维保</w:t>
            </w:r>
            <w:r>
              <w:rPr>
                <w:rFonts w:hint="eastAsia" w:asciiTheme="minorEastAsia" w:hAnsiTheme="minorEastAsia" w:eastAsiaTheme="minorEastAsia" w:cstheme="minorEastAsia"/>
                <w:b w:val="0"/>
                <w:bCs/>
                <w:color w:val="auto"/>
                <w:sz w:val="21"/>
                <w:szCs w:val="21"/>
                <w:lang w:val="en-US"/>
              </w:rPr>
              <w:t>。</w:t>
            </w:r>
          </w:p>
          <w:p w14:paraId="2F2B9DE9">
            <w:pPr>
              <w:snapToGrid w:val="0"/>
              <w:spacing w:line="336" w:lineRule="exact"/>
              <w:rPr>
                <w:rFonts w:hint="eastAsia"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lang w:val="en-US"/>
              </w:rPr>
              <w:t>免费送货上门、提供免费技术培训（须提供详细的项目培训计划；对系统使用人员、系统运行维护管理人员等不同对象的培训计划；培训课程安排、培训方式及时间；地点场所由采购人提供；提供系统操作培训：主要面向医院医务人员及相关管理部门等使用系统的人员，提供操作培训；提供系统日常维护系统培训：主要面向医院信息管理技术人员进行培训，使其具备独立进行系统日常维护、故障的诊断与处理等方面的培训）。</w:t>
            </w:r>
          </w:p>
          <w:p w14:paraId="1321542D">
            <w:pPr>
              <w:snapToGrid w:val="0"/>
              <w:spacing w:line="336" w:lineRule="exact"/>
              <w:rPr>
                <w:rFonts w:hint="eastAsia"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lang w:val="en-US"/>
              </w:rPr>
              <w:t>提供1年的7*24小时售后技术服务，维保期内均提供免费上门维护、升级服务，故障响应时间：2小时内进行响应，12小时以内到现场，24小时以内解决问题。包括免费升级、功能完善、故障排除、性能调优、技术咨询等。</w:t>
            </w:r>
          </w:p>
        </w:tc>
      </w:tr>
      <w:tr w14:paraId="02AF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468" w:type="dxa"/>
            <w:shd w:val="clear" w:color="auto" w:fill="auto"/>
            <w:vAlign w:val="center"/>
          </w:tcPr>
          <w:p w14:paraId="2A7CC117">
            <w:pPr>
              <w:snapToGrid w:val="0"/>
              <w:spacing w:line="336" w:lineRule="exact"/>
              <w:jc w:val="center"/>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en-US" w:eastAsia="zh-CN"/>
              </w:rPr>
              <w:t>2.</w:t>
            </w:r>
            <w:r>
              <w:rPr>
                <w:rFonts w:hint="eastAsia" w:ascii="宋体" w:hAnsi="宋体" w:eastAsia="宋体" w:cs="宋体"/>
                <w:b/>
                <w:bCs/>
                <w:color w:val="auto"/>
                <w:sz w:val="21"/>
                <w:szCs w:val="21"/>
              </w:rPr>
              <w:t>交付期及地点</w:t>
            </w:r>
          </w:p>
          <w:p w14:paraId="2F957187">
            <w:pPr>
              <w:jc w:val="center"/>
              <w:rPr>
                <w:rFonts w:hint="eastAsia" w:asciiTheme="minorEastAsia" w:hAnsiTheme="minorEastAsia" w:eastAsiaTheme="minorEastAsia" w:cstheme="minorEastAsia"/>
                <w:b w:val="0"/>
                <w:bCs/>
                <w:color w:val="auto"/>
                <w:kern w:val="2"/>
                <w:sz w:val="21"/>
                <w:szCs w:val="21"/>
                <w:lang w:val="en-US" w:eastAsia="zh-CN" w:bidi="ar-SA"/>
              </w:rPr>
            </w:pPr>
          </w:p>
        </w:tc>
        <w:tc>
          <w:tcPr>
            <w:tcW w:w="8134" w:type="dxa"/>
            <w:shd w:val="clear" w:color="auto" w:fill="auto"/>
            <w:vAlign w:val="center"/>
          </w:tcPr>
          <w:p w14:paraId="3445128B">
            <w:pPr>
              <w:snapToGrid w:val="0"/>
              <w:spacing w:line="336" w:lineRule="exact"/>
              <w:rPr>
                <w:rFonts w:hint="eastAsia" w:asciiTheme="minorEastAsia" w:hAnsiTheme="minorEastAsia" w:eastAsiaTheme="minorEastAsia" w:cstheme="minorEastAsia"/>
                <w:b w:val="0"/>
                <w:bCs/>
                <w:color w:val="auto"/>
                <w:kern w:val="0"/>
                <w:sz w:val="21"/>
                <w:szCs w:val="21"/>
                <w:lang w:val="en-US" w:eastAsia="zh-CN" w:bidi="ar-SA"/>
              </w:rPr>
            </w:pPr>
            <w:r>
              <w:rPr>
                <w:rFonts w:hint="eastAsia" w:asciiTheme="minorEastAsia" w:hAnsiTheme="minorEastAsia" w:eastAsiaTheme="minorEastAsia" w:cstheme="minorEastAsia"/>
                <w:b w:val="0"/>
                <w:bCs/>
                <w:color w:val="auto"/>
                <w:kern w:val="0"/>
                <w:sz w:val="21"/>
                <w:szCs w:val="21"/>
                <w:lang w:val="en-US" w:eastAsia="zh-CN" w:bidi="ar-SA"/>
              </w:rPr>
              <w:t>（1）交付期：自签订合同之日起10个日历日内验收合格并交付采购人使用。</w:t>
            </w:r>
          </w:p>
          <w:p w14:paraId="563B2FB0">
            <w:pPr>
              <w:snapToGrid w:val="0"/>
              <w:spacing w:line="336" w:lineRule="exact"/>
              <w:rPr>
                <w:rFonts w:hint="eastAsia" w:asciiTheme="minorEastAsia" w:hAnsiTheme="minorEastAsia" w:eastAsiaTheme="minorEastAsia" w:cstheme="minorEastAsia"/>
                <w:b w:val="0"/>
                <w:bCs/>
                <w:color w:val="auto"/>
                <w:kern w:val="0"/>
                <w:sz w:val="21"/>
                <w:szCs w:val="21"/>
                <w:lang w:val="en-US" w:eastAsia="zh-CN" w:bidi="ar-SA"/>
              </w:rPr>
            </w:pPr>
            <w:r>
              <w:rPr>
                <w:rFonts w:hint="eastAsia" w:asciiTheme="minorEastAsia" w:hAnsiTheme="minorEastAsia" w:eastAsiaTheme="minorEastAsia" w:cstheme="minorEastAsia"/>
                <w:b w:val="0"/>
                <w:bCs/>
                <w:color w:val="auto"/>
                <w:kern w:val="0"/>
                <w:sz w:val="21"/>
                <w:szCs w:val="21"/>
                <w:lang w:val="en-US" w:eastAsia="zh-CN" w:bidi="ar-SA"/>
              </w:rPr>
              <w:t>（2）交付地点：招标人指定地点。</w:t>
            </w:r>
          </w:p>
        </w:tc>
      </w:tr>
      <w:tr w14:paraId="2B93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2468" w:type="dxa"/>
            <w:shd w:val="clear" w:color="auto" w:fill="auto"/>
            <w:vAlign w:val="center"/>
          </w:tcPr>
          <w:p w14:paraId="59FDE80F">
            <w:pPr>
              <w:snapToGrid w:val="0"/>
              <w:spacing w:line="336" w:lineRule="exact"/>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宋体" w:hAnsi="宋体" w:eastAsia="宋体" w:cs="宋体"/>
                <w:b/>
                <w:bCs/>
                <w:color w:val="auto"/>
                <w:sz w:val="21"/>
                <w:szCs w:val="21"/>
              </w:rPr>
              <w:t>付款方式</w:t>
            </w:r>
          </w:p>
        </w:tc>
        <w:tc>
          <w:tcPr>
            <w:tcW w:w="8134" w:type="dxa"/>
            <w:shd w:val="clear" w:color="auto" w:fill="auto"/>
            <w:vAlign w:val="center"/>
          </w:tcPr>
          <w:p w14:paraId="6C6D5DA3">
            <w:pPr>
              <w:snapToGrid w:val="0"/>
              <w:spacing w:line="336" w:lineRule="exac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sz w:val="21"/>
                <w:szCs w:val="21"/>
                <w:lang w:val="en-US"/>
              </w:rPr>
              <w:t>合同签订后，乙方将尽快安排入场安装，自验收合格（培训指导完成、设备、软件正式使用）收到正规等额、有效发票之日起60个工作日后支付自有资金的95%，自有资金的5%作为履约保证金，质保期满30个工作日后付清（无息）。质保期满后不另外收取维保费。</w:t>
            </w:r>
          </w:p>
        </w:tc>
      </w:tr>
      <w:tr w14:paraId="09E1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2468" w:type="dxa"/>
            <w:shd w:val="clear" w:color="auto" w:fill="auto"/>
            <w:vAlign w:val="center"/>
          </w:tcPr>
          <w:p w14:paraId="14358007">
            <w:pPr>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宋体" w:hAnsi="宋体" w:eastAsia="宋体" w:cs="宋体"/>
                <w:b/>
                <w:bCs/>
                <w:color w:val="auto"/>
                <w:sz w:val="21"/>
                <w:szCs w:val="21"/>
              </w:rPr>
              <w:t>产品要求</w:t>
            </w:r>
          </w:p>
        </w:tc>
        <w:tc>
          <w:tcPr>
            <w:tcW w:w="8134" w:type="dxa"/>
            <w:shd w:val="clear" w:color="auto" w:fill="auto"/>
            <w:vAlign w:val="center"/>
          </w:tcPr>
          <w:p w14:paraId="4173BDB1">
            <w:pPr>
              <w:snapToGrid w:val="0"/>
              <w:spacing w:line="336" w:lineRule="exact"/>
              <w:rPr>
                <w:rFonts w:hint="eastAsia"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rPr>
              <w:t>1.交付的软件（系统）产品应具备合同或需求文档中约定的所有功能。</w:t>
            </w:r>
          </w:p>
          <w:p w14:paraId="2932E428">
            <w:pPr>
              <w:snapToGrid w:val="0"/>
              <w:spacing w:line="336" w:lineRule="exact"/>
              <w:rPr>
                <w:rFonts w:hint="eastAsia"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rPr>
              <w:t>2.软件（系统）产品需要与各种相关的硬件设备、操作系统、数据库以及其他软件系统等兼容，并交付招标人指定地点。国家对包装及运输有相关强制性标准或要求的，中标人应当执行。</w:t>
            </w:r>
          </w:p>
          <w:p w14:paraId="1A494F29">
            <w:pPr>
              <w:snapToGrid w:val="0"/>
              <w:spacing w:line="336" w:lineRule="exac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val="0"/>
                <w:bCs/>
                <w:color w:val="auto"/>
                <w:sz w:val="21"/>
                <w:szCs w:val="21"/>
                <w:lang w:val="en-US"/>
              </w:rPr>
              <w:t>3.软件（系统）应采取有效的措施保护用户数据的安全，防止数据泄露、篡改和丢失。</w:t>
            </w:r>
          </w:p>
        </w:tc>
      </w:tr>
      <w:tr w14:paraId="76E2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6" w:hRule="atLeast"/>
          <w:jc w:val="center"/>
        </w:trPr>
        <w:tc>
          <w:tcPr>
            <w:tcW w:w="2468" w:type="dxa"/>
            <w:shd w:val="clear" w:color="auto" w:fill="auto"/>
            <w:vAlign w:val="center"/>
          </w:tcPr>
          <w:p w14:paraId="5A00F4EB">
            <w:pPr>
              <w:snapToGrid w:val="0"/>
              <w:spacing w:line="336"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宋体" w:hAnsi="宋体" w:eastAsia="宋体" w:cs="宋体"/>
                <w:b/>
                <w:bCs/>
                <w:sz w:val="21"/>
                <w:szCs w:val="21"/>
              </w:rPr>
              <w:t>验收标准</w:t>
            </w:r>
          </w:p>
          <w:p w14:paraId="43726854">
            <w:pPr>
              <w:jc w:val="center"/>
              <w:rPr>
                <w:rFonts w:hint="eastAsia" w:asciiTheme="minorEastAsia" w:hAnsiTheme="minorEastAsia" w:eastAsiaTheme="minorEastAsia" w:cstheme="minorEastAsia"/>
                <w:b w:val="0"/>
                <w:bCs/>
                <w:color w:val="auto"/>
                <w:sz w:val="21"/>
                <w:szCs w:val="21"/>
              </w:rPr>
            </w:pPr>
          </w:p>
        </w:tc>
        <w:tc>
          <w:tcPr>
            <w:tcW w:w="8134" w:type="dxa"/>
            <w:shd w:val="clear" w:color="auto" w:fill="auto"/>
            <w:vAlign w:val="center"/>
          </w:tcPr>
          <w:p w14:paraId="5293B681">
            <w:pPr>
              <w:snapToGrid w:val="0"/>
              <w:spacing w:line="336" w:lineRule="exac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1.投标人提供的产品必须符合国家强制执行的相关质量标准要求以及产品制造厂家合格产品的出厂质量标准。</w:t>
            </w:r>
          </w:p>
          <w:p w14:paraId="201650D2">
            <w:pPr>
              <w:snapToGrid w:val="0"/>
              <w:spacing w:line="336" w:lineRule="exac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2.产品需全新、完好、无破损，产品到货交付后，招标人将根据招标文件要求及投标文件承诺逐条对应进行核验，必要时，招标人有权邀请国家质量监督检验部门或国家认可的检测机构参与共同验收。如产品不满足招标文件要求、投标文件承诺或国家强制执行的相关质量标准要求以及产品制造厂家合格产品的出厂质量标准，招标人有权不予验收，由此造成招标人的经济损失由中标人承担全部赔偿责任，验收时所产生的一切费用由中标供应商承担。</w:t>
            </w:r>
          </w:p>
          <w:p w14:paraId="24369DB0">
            <w:pPr>
              <w:snapToGrid w:val="0"/>
              <w:spacing w:line="336" w:lineRule="exac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3</w:t>
            </w:r>
            <w:r>
              <w:rPr>
                <w:rFonts w:hint="eastAsia" w:asciiTheme="minorEastAsia" w:hAnsiTheme="minorEastAsia" w:eastAsiaTheme="minorEastAsia" w:cstheme="minorEastAsia"/>
                <w:b w:val="0"/>
                <w:bCs/>
                <w:color w:val="auto"/>
                <w:kern w:val="0"/>
                <w:sz w:val="21"/>
                <w:szCs w:val="21"/>
                <w:lang w:val="en-US" w:eastAsia="zh-CN"/>
              </w:rPr>
              <w:t>.</w:t>
            </w:r>
            <w:r>
              <w:rPr>
                <w:rFonts w:hint="eastAsia" w:asciiTheme="minorEastAsia" w:hAnsiTheme="minorEastAsia" w:eastAsiaTheme="minorEastAsia" w:cstheme="minorEastAsia"/>
                <w:b w:val="0"/>
                <w:bCs/>
                <w:color w:val="auto"/>
                <w:kern w:val="0"/>
                <w:sz w:val="21"/>
                <w:szCs w:val="21"/>
              </w:rPr>
              <w:t>项目完成系统建设内容，经稳定运行一周以上可提出验收，中标人按医院信息化项目管理制度要求提供有关材料，由招标人组织现场验收。</w:t>
            </w:r>
          </w:p>
          <w:p w14:paraId="25BB1754">
            <w:pPr>
              <w:snapToGrid w:val="0"/>
              <w:spacing w:line="336" w:lineRule="exact"/>
              <w:rPr>
                <w:rFonts w:hint="eastAsia"/>
              </w:rPr>
            </w:pPr>
            <w:r>
              <w:rPr>
                <w:rFonts w:hint="eastAsia" w:asciiTheme="minorEastAsia" w:hAnsiTheme="minorEastAsia" w:eastAsiaTheme="minorEastAsia" w:cstheme="minorEastAsia"/>
                <w:b w:val="0"/>
                <w:bCs/>
                <w:color w:val="auto"/>
                <w:kern w:val="0"/>
                <w:sz w:val="21"/>
                <w:szCs w:val="21"/>
              </w:rPr>
              <w:t>4</w:t>
            </w:r>
            <w:r>
              <w:rPr>
                <w:rFonts w:hint="eastAsia" w:asciiTheme="minorEastAsia" w:hAnsiTheme="minorEastAsia" w:eastAsiaTheme="minorEastAsia" w:cstheme="minorEastAsia"/>
                <w:b w:val="0"/>
                <w:bCs/>
                <w:color w:val="auto"/>
                <w:kern w:val="0"/>
                <w:sz w:val="21"/>
                <w:szCs w:val="21"/>
                <w:lang w:val="en-US" w:eastAsia="zh-CN"/>
              </w:rPr>
              <w:t>.</w:t>
            </w:r>
            <w:r>
              <w:rPr>
                <w:rFonts w:hint="eastAsia" w:asciiTheme="minorEastAsia" w:hAnsiTheme="minorEastAsia" w:eastAsiaTheme="minorEastAsia" w:cstheme="minorEastAsia"/>
                <w:b w:val="0"/>
                <w:bCs/>
                <w:color w:val="auto"/>
                <w:kern w:val="0"/>
                <w:sz w:val="21"/>
                <w:szCs w:val="21"/>
              </w:rPr>
              <w:t>验收其他要求按合同条款执行。</w:t>
            </w:r>
          </w:p>
        </w:tc>
      </w:tr>
      <w:tr w14:paraId="7384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468" w:type="dxa"/>
            <w:shd w:val="clear" w:color="auto" w:fill="auto"/>
            <w:vAlign w:val="center"/>
          </w:tcPr>
          <w:p w14:paraId="1AF9F7FE">
            <w:pPr>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6.</w:t>
            </w:r>
            <w:r>
              <w:rPr>
                <w:rFonts w:hint="eastAsia" w:ascii="宋体" w:hAnsi="宋体" w:eastAsia="宋体" w:cs="宋体"/>
                <w:b/>
                <w:bCs/>
                <w:sz w:val="21"/>
                <w:szCs w:val="21"/>
                <w:lang w:val="zh-CN"/>
              </w:rPr>
              <w:t>其他要求</w:t>
            </w:r>
          </w:p>
        </w:tc>
        <w:tc>
          <w:tcPr>
            <w:tcW w:w="8134" w:type="dxa"/>
            <w:shd w:val="clear" w:color="auto" w:fill="auto"/>
            <w:vAlign w:val="center"/>
          </w:tcPr>
          <w:p w14:paraId="28F1B5A5">
            <w:pPr>
              <w:widowControl/>
              <w:jc w:val="lef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本项目所提供的软件必须具有合法的版权或使用权，如在本项目范围内使用过程中出现版权或使用权纠纷，应由中标人负责。</w:t>
            </w:r>
          </w:p>
        </w:tc>
      </w:tr>
    </w:tbl>
    <w:p w14:paraId="11FB9C26">
      <w:pPr>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四、合同主要条款</w:t>
      </w:r>
    </w:p>
    <w:p w14:paraId="4616F99C">
      <w:pPr>
        <w:spacing w:line="400" w:lineRule="exact"/>
        <w:ind w:firstLine="480" w:firstLineChars="200"/>
        <w:rPr>
          <w:rFonts w:hint="eastAsia" w:ascii="宋体" w:hAnsi="宋体" w:cs="宋体"/>
          <w:sz w:val="24"/>
        </w:rPr>
      </w:pPr>
      <w:r>
        <w:rPr>
          <w:rFonts w:hint="eastAsia" w:ascii="宋体" w:hAnsi="宋体" w:cs="宋体"/>
          <w:sz w:val="24"/>
        </w:rPr>
        <w:t>甲方：</w:t>
      </w:r>
      <w:r>
        <w:rPr>
          <w:rFonts w:hint="eastAsia" w:ascii="宋体" w:hAnsi="宋体" w:cs="宋体"/>
          <w:sz w:val="24"/>
          <w:u w:val="single"/>
        </w:rPr>
        <w:t xml:space="preserve">桂林市人民医院  </w:t>
      </w:r>
    </w:p>
    <w:p w14:paraId="42BE7510">
      <w:pPr>
        <w:spacing w:line="400" w:lineRule="exact"/>
        <w:ind w:firstLine="480" w:firstLineChars="200"/>
        <w:rPr>
          <w:rFonts w:hint="eastAsia" w:ascii="宋体" w:hAnsi="宋体" w:cs="宋体"/>
          <w:sz w:val="24"/>
        </w:rPr>
      </w:pPr>
      <w:r>
        <w:rPr>
          <w:rFonts w:hint="eastAsia" w:ascii="宋体" w:hAnsi="宋体" w:cs="宋体"/>
          <w:sz w:val="24"/>
        </w:rPr>
        <w:t>注册地址：</w:t>
      </w:r>
      <w:r>
        <w:rPr>
          <w:rFonts w:hint="eastAsia" w:ascii="宋体" w:hAnsi="宋体" w:cs="宋体"/>
          <w:sz w:val="24"/>
          <w:u w:val="single"/>
        </w:rPr>
        <w:t>广西桂林市象山区文明路12号</w:t>
      </w:r>
    </w:p>
    <w:p w14:paraId="1DE31856">
      <w:pPr>
        <w:spacing w:line="400" w:lineRule="exact"/>
        <w:ind w:firstLine="480" w:firstLineChars="200"/>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w:t>
      </w:r>
    </w:p>
    <w:p w14:paraId="4CC9DC96">
      <w:pPr>
        <w:spacing w:line="400" w:lineRule="exact"/>
        <w:ind w:firstLine="480" w:firstLineChars="200"/>
        <w:rPr>
          <w:rFonts w:hint="eastAsia" w:ascii="宋体" w:hAnsi="宋体" w:cs="宋体"/>
          <w:sz w:val="24"/>
          <w:u w:val="single"/>
        </w:rPr>
      </w:pPr>
      <w:r>
        <w:rPr>
          <w:rFonts w:hint="eastAsia" w:ascii="宋体" w:hAnsi="宋体" w:cs="宋体"/>
          <w:sz w:val="24"/>
        </w:rPr>
        <w:t>联系人：</w:t>
      </w:r>
      <w:r>
        <w:rPr>
          <w:rFonts w:hint="eastAsia" w:ascii="宋体" w:hAnsi="宋体" w:cs="宋体"/>
          <w:sz w:val="24"/>
          <w:u w:val="single"/>
        </w:rPr>
        <w:t xml:space="preserve">             </w:t>
      </w:r>
    </w:p>
    <w:p w14:paraId="6EED4322">
      <w:pPr>
        <w:spacing w:line="400" w:lineRule="exact"/>
        <w:ind w:firstLine="480" w:firstLineChars="200"/>
        <w:rPr>
          <w:rFonts w:hint="eastAsia" w:ascii="宋体" w:hAnsi="宋体" w:cs="宋体"/>
          <w:sz w:val="24"/>
          <w:u w:val="single"/>
        </w:rPr>
      </w:pPr>
      <w:r>
        <w:rPr>
          <w:rFonts w:hint="eastAsia" w:ascii="宋体" w:hAnsi="宋体" w:cs="宋体"/>
          <w:sz w:val="24"/>
        </w:rPr>
        <w:t>联系电话：</w:t>
      </w:r>
      <w:r>
        <w:rPr>
          <w:rFonts w:hint="eastAsia" w:ascii="宋体" w:hAnsi="宋体" w:cs="宋体"/>
          <w:sz w:val="24"/>
          <w:u w:val="single"/>
        </w:rPr>
        <w:t xml:space="preserve">              </w:t>
      </w:r>
    </w:p>
    <w:p w14:paraId="173B7143">
      <w:pPr>
        <w:spacing w:line="400" w:lineRule="exact"/>
        <w:ind w:firstLine="480" w:firstLineChars="200"/>
        <w:rPr>
          <w:rFonts w:hint="eastAsia" w:ascii="宋体" w:hAnsi="宋体" w:cs="宋体"/>
          <w:sz w:val="24"/>
        </w:rPr>
      </w:pPr>
      <w:r>
        <w:rPr>
          <w:rFonts w:hint="eastAsia" w:ascii="宋体" w:hAnsi="宋体" w:cs="宋体"/>
          <w:sz w:val="24"/>
        </w:rPr>
        <w:t>通讯地址：广西桂林市象山区文明路12号桂林市人民医院</w:t>
      </w:r>
    </w:p>
    <w:p w14:paraId="0D1A6471">
      <w:pPr>
        <w:spacing w:line="400" w:lineRule="exact"/>
        <w:ind w:firstLine="480" w:firstLineChars="200"/>
        <w:rPr>
          <w:rFonts w:hint="eastAsia" w:ascii="宋体" w:hAnsi="宋体" w:cs="宋体"/>
          <w:sz w:val="24"/>
        </w:rPr>
      </w:pPr>
    </w:p>
    <w:p w14:paraId="6B799C93">
      <w:pPr>
        <w:spacing w:line="400" w:lineRule="exact"/>
        <w:ind w:firstLine="480" w:firstLineChars="200"/>
        <w:rPr>
          <w:rFonts w:hint="eastAsia"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5ACFFC86">
      <w:pPr>
        <w:spacing w:line="400" w:lineRule="exact"/>
        <w:ind w:firstLine="480" w:firstLineChars="200"/>
        <w:rPr>
          <w:rFonts w:hint="eastAsia" w:ascii="宋体" w:hAnsi="宋体" w:cs="宋体"/>
          <w:sz w:val="24"/>
        </w:rPr>
      </w:pPr>
      <w:r>
        <w:rPr>
          <w:rFonts w:hint="eastAsia" w:ascii="宋体" w:hAnsi="宋体" w:cs="宋体"/>
          <w:sz w:val="24"/>
        </w:rPr>
        <w:t>注册地址：</w:t>
      </w:r>
      <w:r>
        <w:rPr>
          <w:rFonts w:hint="eastAsia" w:ascii="宋体" w:hAnsi="宋体" w:cs="宋体"/>
          <w:sz w:val="24"/>
          <w:u w:val="single"/>
        </w:rPr>
        <w:t xml:space="preserve">                                       </w:t>
      </w:r>
    </w:p>
    <w:p w14:paraId="5A40930E">
      <w:pPr>
        <w:spacing w:line="400" w:lineRule="exact"/>
        <w:ind w:firstLine="480" w:firstLineChars="200"/>
        <w:rPr>
          <w:rFonts w:hint="eastAsia"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p>
    <w:p w14:paraId="3F97A25F">
      <w:pPr>
        <w:spacing w:line="400" w:lineRule="exact"/>
        <w:ind w:firstLine="480" w:firstLineChars="200"/>
        <w:rPr>
          <w:rFonts w:hint="eastAsia" w:ascii="宋体" w:hAnsi="宋体" w:cs="宋体"/>
          <w:sz w:val="24"/>
          <w:u w:val="single"/>
        </w:rPr>
      </w:pPr>
      <w:r>
        <w:rPr>
          <w:rFonts w:hint="eastAsia" w:ascii="宋体" w:hAnsi="宋体" w:cs="宋体"/>
          <w:sz w:val="24"/>
        </w:rPr>
        <w:t>联系人：</w:t>
      </w:r>
      <w:r>
        <w:rPr>
          <w:rFonts w:hint="eastAsia" w:ascii="宋体" w:hAnsi="宋体" w:cs="宋体"/>
          <w:sz w:val="24"/>
          <w:u w:val="single"/>
        </w:rPr>
        <w:t xml:space="preserve">           </w:t>
      </w:r>
    </w:p>
    <w:p w14:paraId="13BD0104">
      <w:pPr>
        <w:spacing w:line="400" w:lineRule="exact"/>
        <w:ind w:firstLine="480" w:firstLineChars="200"/>
        <w:rPr>
          <w:rFonts w:hint="eastAsia" w:ascii="宋体" w:hAnsi="宋体" w:cs="宋体"/>
          <w:sz w:val="24"/>
          <w:u w:val="single"/>
        </w:rPr>
      </w:pPr>
      <w:r>
        <w:rPr>
          <w:rFonts w:hint="eastAsia" w:ascii="宋体" w:hAnsi="宋体" w:cs="宋体"/>
          <w:sz w:val="24"/>
        </w:rPr>
        <w:t>联系电话：</w:t>
      </w:r>
      <w:r>
        <w:rPr>
          <w:rFonts w:hint="eastAsia" w:ascii="宋体" w:hAnsi="宋体" w:cs="宋体"/>
          <w:sz w:val="24"/>
          <w:u w:val="single"/>
        </w:rPr>
        <w:t xml:space="preserve">              </w:t>
      </w:r>
    </w:p>
    <w:p w14:paraId="1F564D5D">
      <w:pPr>
        <w:spacing w:line="400" w:lineRule="exact"/>
        <w:ind w:firstLine="480" w:firstLineChars="200"/>
        <w:rPr>
          <w:rFonts w:hint="eastAsia" w:ascii="宋体" w:hAnsi="宋体" w:cs="宋体"/>
          <w:sz w:val="24"/>
          <w:u w:val="single"/>
        </w:rPr>
      </w:pPr>
      <w:r>
        <w:rPr>
          <w:rFonts w:hint="eastAsia" w:ascii="宋体" w:hAnsi="宋体" w:cs="宋体"/>
          <w:sz w:val="24"/>
        </w:rPr>
        <w:t>通讯地址：</w:t>
      </w:r>
      <w:r>
        <w:rPr>
          <w:rFonts w:hint="eastAsia" w:ascii="宋体" w:hAnsi="宋体" w:cs="宋体"/>
          <w:sz w:val="24"/>
          <w:u w:val="single"/>
        </w:rPr>
        <w:t xml:space="preserve">                                          </w:t>
      </w:r>
    </w:p>
    <w:p w14:paraId="22BD69EE">
      <w:pPr>
        <w:spacing w:line="400" w:lineRule="exact"/>
        <w:ind w:firstLine="480" w:firstLineChars="200"/>
        <w:rPr>
          <w:rFonts w:hint="eastAsia"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》及其他有关法律、法规，经甲、乙双方协商一致，就乙方向甲方提供以下软件产品一事签署本合同如下：</w:t>
      </w:r>
    </w:p>
    <w:p w14:paraId="45BD826B">
      <w:pPr>
        <w:spacing w:line="400" w:lineRule="exact"/>
        <w:ind w:firstLine="482" w:firstLineChars="200"/>
        <w:rPr>
          <w:rFonts w:hint="eastAsia" w:ascii="宋体" w:hAnsi="宋体" w:cs="宋体"/>
          <w:sz w:val="24"/>
        </w:rPr>
      </w:pPr>
      <w:r>
        <w:rPr>
          <w:rFonts w:hint="eastAsia" w:ascii="宋体" w:hAnsi="宋体" w:cs="宋体"/>
          <w:b/>
          <w:bCs/>
          <w:sz w:val="24"/>
        </w:rPr>
        <w:t>第一条</w:t>
      </w:r>
      <w:r>
        <w:rPr>
          <w:rFonts w:hint="eastAsia" w:ascii="宋体" w:hAnsi="宋体" w:cs="宋体"/>
          <w:b/>
          <w:bCs/>
          <w:sz w:val="24"/>
          <w:lang w:val="en-US" w:eastAsia="zh-CN"/>
        </w:rPr>
        <w:t xml:space="preserve">  </w:t>
      </w:r>
      <w:r>
        <w:rPr>
          <w:rFonts w:hint="eastAsia" w:ascii="宋体" w:hAnsi="宋体" w:cs="宋体"/>
          <w:b/>
          <w:bCs/>
          <w:sz w:val="24"/>
        </w:rPr>
        <w:t>合同标的</w:t>
      </w:r>
    </w:p>
    <w:p w14:paraId="0DB294F6">
      <w:pPr>
        <w:spacing w:line="400" w:lineRule="exact"/>
        <w:ind w:firstLine="480" w:firstLineChars="200"/>
        <w:rPr>
          <w:rFonts w:hint="eastAsia" w:ascii="宋体" w:hAnsi="宋体" w:cs="宋体"/>
          <w:sz w:val="24"/>
        </w:rPr>
      </w:pPr>
      <w:r>
        <w:rPr>
          <w:rFonts w:hint="eastAsia" w:ascii="宋体" w:hAnsi="宋体" w:cs="宋体"/>
          <w:sz w:val="24"/>
        </w:rPr>
        <w:t>项目名称为：</w:t>
      </w:r>
      <w:r>
        <w:rPr>
          <w:rFonts w:hint="eastAsia" w:ascii="宋体" w:hAnsi="宋体" w:cs="宋体"/>
          <w:sz w:val="24"/>
          <w:u w:val="single"/>
        </w:rPr>
        <w:t xml:space="preserve">                                           </w:t>
      </w:r>
      <w:r>
        <w:rPr>
          <w:rFonts w:hint="eastAsia" w:ascii="宋体" w:hAnsi="宋体" w:cs="宋体"/>
          <w:sz w:val="24"/>
        </w:rPr>
        <w:t>。</w:t>
      </w:r>
    </w:p>
    <w:p w14:paraId="006A0855">
      <w:pPr>
        <w:spacing w:line="400" w:lineRule="exact"/>
        <w:ind w:firstLine="480" w:firstLineChars="200"/>
        <w:rPr>
          <w:rFonts w:hint="eastAsia" w:ascii="宋体" w:hAnsi="宋体" w:cs="宋体"/>
          <w:sz w:val="24"/>
        </w:rPr>
      </w:pPr>
      <w:r>
        <w:rPr>
          <w:rFonts w:hint="eastAsia" w:ascii="宋体" w:hAnsi="宋体" w:cs="宋体"/>
          <w:sz w:val="24"/>
        </w:rPr>
        <w:t>软件总价：</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hint="eastAsia" w:ascii="宋体" w:hAnsi="宋体" w:cs="宋体"/>
          <w:sz w:val="24"/>
        </w:rPr>
        <w:t>元整）</w:t>
      </w:r>
    </w:p>
    <w:p w14:paraId="438B2245">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结算资金来源：自有资金</w:t>
      </w:r>
    </w:p>
    <w:p w14:paraId="6E26947D">
      <w:pPr>
        <w:spacing w:line="400" w:lineRule="exact"/>
        <w:ind w:firstLine="480" w:firstLineChars="200"/>
        <w:rPr>
          <w:rFonts w:hint="eastAsia" w:ascii="宋体" w:hAnsi="宋体" w:cs="宋体"/>
          <w:sz w:val="24"/>
        </w:rPr>
      </w:pPr>
      <w:r>
        <w:rPr>
          <w:rFonts w:hint="eastAsia" w:ascii="宋体" w:hAnsi="宋体" w:cs="宋体"/>
          <w:sz w:val="24"/>
        </w:rPr>
        <w:t>全部软件功能模块及价格清单详见本协议附件一。</w:t>
      </w:r>
    </w:p>
    <w:p w14:paraId="3C5CE3D4">
      <w:pPr>
        <w:spacing w:line="400" w:lineRule="exact"/>
        <w:ind w:firstLine="482" w:firstLineChars="200"/>
        <w:rPr>
          <w:rFonts w:hint="eastAsia" w:ascii="宋体" w:hAnsi="宋体" w:cs="宋体"/>
          <w:sz w:val="24"/>
        </w:rPr>
      </w:pPr>
      <w:r>
        <w:rPr>
          <w:rFonts w:hint="eastAsia" w:ascii="宋体" w:hAnsi="宋体" w:cs="宋体"/>
          <w:b/>
          <w:bCs/>
          <w:sz w:val="24"/>
        </w:rPr>
        <w:t>第二条</w:t>
      </w:r>
      <w:r>
        <w:rPr>
          <w:rFonts w:hint="eastAsia" w:ascii="宋体" w:hAnsi="宋体" w:cs="宋体"/>
          <w:b/>
          <w:bCs/>
          <w:sz w:val="24"/>
          <w:lang w:val="en-US" w:eastAsia="zh-CN"/>
        </w:rPr>
        <w:t xml:space="preserve">  </w:t>
      </w:r>
      <w:r>
        <w:rPr>
          <w:rFonts w:hint="eastAsia" w:ascii="宋体" w:hAnsi="宋体" w:cs="宋体"/>
          <w:b/>
          <w:bCs/>
          <w:sz w:val="24"/>
        </w:rPr>
        <w:t>产品使用范围</w:t>
      </w:r>
    </w:p>
    <w:p w14:paraId="1908C9C2">
      <w:pPr>
        <w:spacing w:line="40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甲方采购乙方软件产品的用途为</w:t>
      </w:r>
      <w:r>
        <w:rPr>
          <w:rFonts w:hint="eastAsia" w:ascii="宋体" w:hAnsi="宋体" w:cs="宋体"/>
          <w:sz w:val="24"/>
          <w:u w:val="single"/>
        </w:rPr>
        <w:t xml:space="preserve">                            </w:t>
      </w:r>
      <w:r>
        <w:rPr>
          <w:rFonts w:hint="eastAsia" w:ascii="宋体" w:hAnsi="宋体" w:cs="宋体"/>
          <w:sz w:val="24"/>
        </w:rPr>
        <w:t>。</w:t>
      </w:r>
    </w:p>
    <w:p w14:paraId="43196EC5">
      <w:pPr>
        <w:spacing w:line="40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甲方仅可以在本院范围内使用乙方产品。如果甲方需要在超出本合同规定的使用范围以外使用乙方产品，应向乙方提出书面申请，并由双方另行签署合同或补充协议。</w:t>
      </w:r>
    </w:p>
    <w:p w14:paraId="0D6A25A1">
      <w:pPr>
        <w:spacing w:line="400" w:lineRule="exact"/>
        <w:ind w:firstLine="482" w:firstLineChars="200"/>
        <w:rPr>
          <w:rFonts w:hint="eastAsia" w:ascii="宋体" w:hAnsi="宋体" w:cs="宋体"/>
          <w:b/>
          <w:bCs/>
          <w:sz w:val="24"/>
        </w:rPr>
      </w:pPr>
      <w:r>
        <w:rPr>
          <w:rFonts w:hint="eastAsia" w:ascii="宋体" w:hAnsi="宋体" w:cs="宋体"/>
          <w:b/>
          <w:bCs/>
          <w:sz w:val="24"/>
        </w:rPr>
        <w:t>第三条  甲方权利义务</w:t>
      </w:r>
    </w:p>
    <w:p w14:paraId="5115D6B8">
      <w:pPr>
        <w:spacing w:line="40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甲方应按乙方要求提供合同所规定的软件产品所需的硬件设备及硬件、网络环境，并有责任为乙方安装、调试及培训提供便利的工作条件。</w:t>
      </w:r>
    </w:p>
    <w:p w14:paraId="24B581ED">
      <w:pPr>
        <w:spacing w:line="40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甲方有责任为乙方的安装工作进行内部各部门、各营业部的协调，调动相关资源。</w:t>
      </w:r>
    </w:p>
    <w:p w14:paraId="4B2E4BB3">
      <w:pPr>
        <w:spacing w:line="40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如该软件产品的安装需要第三方给予软、硬件配合的，甲方有责任按照乙方安装产品所需的条件与相关第三方沟通，确保产品能够顺利安装、调试。如由于甲方与第三方沟通问题，或第三方自身问题导致产品无法按照本合同“第五条 产品交付”的约定时间正常交付，则甲乙双方约定在原有交付约定时间基础上顺延。</w:t>
      </w:r>
    </w:p>
    <w:p w14:paraId="1EE27E14">
      <w:pPr>
        <w:spacing w:line="40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甲方应按照本协议规定的时间按时足额的向乙方支付相关费用。</w:t>
      </w:r>
    </w:p>
    <w:p w14:paraId="3774135E">
      <w:pPr>
        <w:spacing w:line="40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w:t>
      </w:r>
      <w:r>
        <w:rPr>
          <w:rFonts w:hint="eastAsia" w:ascii="宋体" w:hAnsi="宋体" w:cs="宋体"/>
          <w:sz w:val="24"/>
        </w:rPr>
        <w:t>非因产品质量问题或交付产品与合同规定不符的，甲方不得退回产品。</w:t>
      </w:r>
    </w:p>
    <w:p w14:paraId="14211393">
      <w:pPr>
        <w:spacing w:line="400" w:lineRule="exact"/>
        <w:ind w:firstLine="480" w:firstLineChars="200"/>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w:t>
      </w:r>
      <w:r>
        <w:rPr>
          <w:rFonts w:hint="eastAsia" w:ascii="宋体" w:hAnsi="宋体" w:cs="宋体"/>
          <w:sz w:val="24"/>
        </w:rPr>
        <w:t>甲方应当按乙方所提供的相关软件的操作手册进行操作，以确保软件产品运行安全可靠。</w:t>
      </w:r>
    </w:p>
    <w:p w14:paraId="40820945">
      <w:pPr>
        <w:spacing w:line="400" w:lineRule="exact"/>
        <w:ind w:firstLine="482" w:firstLineChars="200"/>
        <w:rPr>
          <w:rFonts w:hint="eastAsia" w:ascii="宋体" w:hAnsi="宋体" w:cs="宋体"/>
          <w:b/>
          <w:bCs/>
          <w:sz w:val="24"/>
        </w:rPr>
      </w:pPr>
      <w:r>
        <w:rPr>
          <w:rFonts w:hint="eastAsia" w:ascii="宋体" w:hAnsi="宋体" w:cs="宋体"/>
          <w:b/>
          <w:bCs/>
          <w:sz w:val="24"/>
        </w:rPr>
        <w:t>第四条 乙方权利义务</w:t>
      </w:r>
    </w:p>
    <w:p w14:paraId="41ACDEC1">
      <w:pPr>
        <w:spacing w:line="40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乙方承诺本合同软件由原厂商供应并完全符合厂商规定的质量、规格、性能及标准，乙方并保证本合同软件在正确安装、正常使用和维护的情况下运行良好。</w:t>
      </w:r>
    </w:p>
    <w:p w14:paraId="547CE00A">
      <w:pPr>
        <w:spacing w:line="40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乙方承诺以上软件产品系经严格测试、成熟稳定、无病毒及重大缺陷的软件产品。</w:t>
      </w:r>
    </w:p>
    <w:p w14:paraId="0B60F2AF">
      <w:pPr>
        <w:spacing w:line="40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乙方承诺以上软件产品符合网络安全等级保护三级相关技术规范和要求，若不满足，乙方免费升级优化，直至满足。</w:t>
      </w:r>
    </w:p>
    <w:p w14:paraId="1704C495">
      <w:pPr>
        <w:spacing w:line="40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乙方承诺以上软件产品无任何著作权归属的纠纷，并承诺以上产品皆为可执行的软件产品，未在其中设置任何妨碍软件正常运行的限制措施。</w:t>
      </w:r>
    </w:p>
    <w:p w14:paraId="4F0F1366">
      <w:pPr>
        <w:spacing w:line="40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w:t>
      </w:r>
      <w:r>
        <w:rPr>
          <w:rFonts w:hint="eastAsia" w:ascii="宋体" w:hAnsi="宋体" w:cs="宋体"/>
          <w:sz w:val="24"/>
        </w:rPr>
        <w:t>乙方应为甲方提供相关软件产品及相应的技术文档，包含规格说明书、操作手册、项目实施文档、项目过程资产文档等，有责任对甲方相关人员进行管理、操作、使用及技术培训。</w:t>
      </w:r>
    </w:p>
    <w:p w14:paraId="3E82D3DE">
      <w:pPr>
        <w:spacing w:line="400" w:lineRule="exact"/>
        <w:ind w:firstLine="480" w:firstLineChars="200"/>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w:t>
      </w:r>
      <w:r>
        <w:rPr>
          <w:rFonts w:hint="eastAsia" w:ascii="宋体" w:hAnsi="宋体" w:cs="宋体"/>
          <w:sz w:val="24"/>
        </w:rPr>
        <w:t>乙方以优惠价格向甲方提供软件产品的版本升级服务，具体价款等内容由甲、乙双方协商后签署补充协议或服务协议。</w:t>
      </w:r>
    </w:p>
    <w:p w14:paraId="5D89C1D7">
      <w:pPr>
        <w:spacing w:line="400" w:lineRule="exact"/>
        <w:ind w:firstLine="480" w:firstLineChars="200"/>
        <w:rPr>
          <w:rFonts w:hint="eastAsia" w:ascii="宋体" w:hAnsi="宋体" w:cs="宋体"/>
          <w:sz w:val="24"/>
        </w:rPr>
      </w:pPr>
      <w:r>
        <w:rPr>
          <w:rFonts w:hint="eastAsia" w:ascii="宋体" w:hAnsi="宋体" w:cs="宋体"/>
          <w:sz w:val="24"/>
        </w:rPr>
        <w:t>7</w:t>
      </w:r>
      <w:r>
        <w:rPr>
          <w:rFonts w:hint="eastAsia" w:ascii="宋体" w:hAnsi="宋体" w:cs="宋体"/>
          <w:sz w:val="24"/>
          <w:lang w:val="en-US" w:eastAsia="zh-CN"/>
        </w:rPr>
        <w:t>.</w:t>
      </w:r>
      <w:r>
        <w:rPr>
          <w:rFonts w:hint="eastAsia" w:ascii="宋体" w:hAnsi="宋体" w:cs="宋体"/>
          <w:sz w:val="24"/>
        </w:rPr>
        <w:t>乙方为甲方提供免费培训服务，以确保甲方人员能熟练使用和操作该产品。</w:t>
      </w:r>
    </w:p>
    <w:p w14:paraId="3CEC3995">
      <w:pPr>
        <w:spacing w:line="400" w:lineRule="exact"/>
        <w:ind w:firstLine="480" w:firstLineChars="200"/>
        <w:rPr>
          <w:rFonts w:hint="eastAsia" w:ascii="宋体" w:hAnsi="宋体" w:cs="宋体"/>
          <w:sz w:val="24"/>
        </w:rPr>
      </w:pPr>
      <w:r>
        <w:rPr>
          <w:rFonts w:hint="eastAsia" w:ascii="宋体" w:hAnsi="宋体" w:cs="宋体"/>
          <w:sz w:val="24"/>
        </w:rPr>
        <w:t>8</w:t>
      </w:r>
      <w:r>
        <w:rPr>
          <w:rFonts w:hint="eastAsia" w:ascii="宋体" w:hAnsi="宋体" w:cs="宋体"/>
          <w:sz w:val="24"/>
          <w:lang w:val="en-US" w:eastAsia="zh-CN"/>
        </w:rPr>
        <w:t>.</w:t>
      </w:r>
      <w:r>
        <w:rPr>
          <w:rFonts w:hint="eastAsia" w:ascii="宋体" w:hAnsi="宋体" w:cs="宋体"/>
          <w:sz w:val="24"/>
        </w:rPr>
        <w:t>以上软件产品在项目实施及维护期间，乙方免费向第三方提供接口。</w:t>
      </w:r>
    </w:p>
    <w:p w14:paraId="500D2511">
      <w:pPr>
        <w:spacing w:line="400" w:lineRule="exact"/>
        <w:ind w:firstLine="480" w:firstLineChars="200"/>
        <w:rPr>
          <w:rFonts w:hint="eastAsia" w:ascii="宋体" w:hAnsi="宋体" w:cs="宋体"/>
          <w:sz w:val="24"/>
        </w:rPr>
      </w:pPr>
      <w:r>
        <w:rPr>
          <w:rFonts w:hint="eastAsia" w:ascii="宋体" w:hAnsi="宋体" w:cs="宋体"/>
          <w:sz w:val="24"/>
        </w:rPr>
        <w:t>9</w:t>
      </w:r>
      <w:r>
        <w:rPr>
          <w:rFonts w:hint="eastAsia" w:ascii="宋体" w:hAnsi="宋体" w:cs="宋体"/>
          <w:sz w:val="24"/>
          <w:lang w:val="en-US" w:eastAsia="zh-CN"/>
        </w:rPr>
        <w:t>.</w:t>
      </w:r>
      <w:r>
        <w:rPr>
          <w:rFonts w:hint="eastAsia" w:ascii="宋体" w:hAnsi="宋体" w:cs="宋体"/>
          <w:sz w:val="24"/>
        </w:rPr>
        <w:t>乙方需安排符合甲方要求的项目人员到场进行项目管理和实施，如项目人员发生变动或离场的需提前一周先甲方申请，甲方认可后方允许变更或离场。</w:t>
      </w:r>
    </w:p>
    <w:p w14:paraId="280B8C5C">
      <w:pPr>
        <w:spacing w:line="400" w:lineRule="exact"/>
        <w:ind w:firstLine="480" w:firstLineChars="20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如乙方（厂商）存在配合相关部门调查商业贿赂等违法行为的情况，甲方（医院）可暂缓付款，一经查实乙方存在对甲方员工进行商业贿赂等违法行为的，乙方须向甲方支付合同总价款40%的违约金作为处罚，甲方有权从应支付给乙方的款项中予以直接扣减。</w:t>
      </w:r>
    </w:p>
    <w:p w14:paraId="5BE77683">
      <w:pPr>
        <w:spacing w:line="400" w:lineRule="exact"/>
        <w:ind w:firstLine="482" w:firstLineChars="200"/>
        <w:rPr>
          <w:rFonts w:hint="eastAsia" w:ascii="宋体" w:hAnsi="宋体" w:cs="宋体"/>
          <w:sz w:val="24"/>
        </w:rPr>
      </w:pPr>
      <w:r>
        <w:rPr>
          <w:rFonts w:hint="eastAsia" w:ascii="宋体" w:hAnsi="宋体" w:cs="宋体"/>
          <w:b/>
          <w:bCs/>
          <w:sz w:val="24"/>
        </w:rPr>
        <w:t>第五条  产品交付</w:t>
      </w:r>
    </w:p>
    <w:p w14:paraId="0EE70794">
      <w:pPr>
        <w:spacing w:line="400" w:lineRule="exact"/>
        <w:ind w:firstLine="480" w:firstLineChars="200"/>
        <w:rPr>
          <w:rFonts w:hint="eastAsia" w:ascii="宋体" w:hAnsi="宋体" w:cs="宋体"/>
          <w:sz w:val="24"/>
        </w:rPr>
      </w:pPr>
      <w:r>
        <w:rPr>
          <w:rFonts w:hint="eastAsia" w:ascii="宋体" w:hAnsi="宋体" w:cs="宋体"/>
          <w:sz w:val="24"/>
        </w:rPr>
        <w:t>交付时间：乙方应于合同签订后</w:t>
      </w:r>
      <w:r>
        <w:rPr>
          <w:rFonts w:hint="eastAsia" w:ascii="宋体" w:hAnsi="宋体" w:cs="宋体"/>
          <w:sz w:val="24"/>
          <w:u w:val="single"/>
        </w:rPr>
        <w:t xml:space="preserve">   </w:t>
      </w:r>
      <w:r>
        <w:rPr>
          <w:rFonts w:hint="eastAsia" w:ascii="宋体" w:hAnsi="宋体" w:cs="宋体"/>
          <w:sz w:val="24"/>
        </w:rPr>
        <w:t>个工作日内向甲方交付产品，产品以</w:t>
      </w:r>
      <w:r>
        <w:rPr>
          <w:rFonts w:hint="eastAsia" w:ascii="宋体" w:hAnsi="宋体" w:cs="宋体"/>
          <w:sz w:val="24"/>
          <w:u w:val="single"/>
        </w:rPr>
        <w:t xml:space="preserve">     </w:t>
      </w:r>
      <w:r>
        <w:rPr>
          <w:rFonts w:hint="eastAsia" w:ascii="宋体" w:hAnsi="宋体" w:cs="宋体"/>
          <w:sz w:val="24"/>
        </w:rPr>
        <w:t>为载体。</w:t>
      </w:r>
    </w:p>
    <w:p w14:paraId="7ABBE468">
      <w:pPr>
        <w:spacing w:line="400" w:lineRule="exact"/>
        <w:ind w:firstLine="480" w:firstLineChars="200"/>
        <w:rPr>
          <w:rFonts w:hint="eastAsia" w:ascii="宋体" w:hAnsi="宋体" w:cs="宋体"/>
          <w:sz w:val="24"/>
        </w:rPr>
      </w:pPr>
      <w:r>
        <w:rPr>
          <w:rFonts w:hint="eastAsia" w:ascii="宋体" w:hAnsi="宋体" w:cs="宋体"/>
          <w:sz w:val="24"/>
        </w:rPr>
        <w:t>交付地点：桂林市</w:t>
      </w:r>
    </w:p>
    <w:p w14:paraId="31C1549B">
      <w:pPr>
        <w:spacing w:line="400" w:lineRule="exact"/>
        <w:ind w:firstLine="480" w:firstLineChars="200"/>
        <w:rPr>
          <w:rFonts w:hint="eastAsia" w:ascii="宋体" w:hAnsi="宋体" w:cs="宋体"/>
          <w:sz w:val="24"/>
        </w:rPr>
      </w:pPr>
      <w:r>
        <w:rPr>
          <w:rFonts w:hint="eastAsia" w:ascii="宋体" w:hAnsi="宋体" w:cs="宋体"/>
          <w:sz w:val="24"/>
        </w:rPr>
        <w:t>接收人名称：桂林市人民医院</w:t>
      </w:r>
    </w:p>
    <w:p w14:paraId="55517C8A">
      <w:pPr>
        <w:spacing w:line="400" w:lineRule="exact"/>
        <w:ind w:firstLine="480" w:firstLineChars="200"/>
        <w:rPr>
          <w:rFonts w:hint="eastAsia" w:ascii="宋体" w:hAnsi="宋体" w:cs="宋体"/>
          <w:sz w:val="24"/>
        </w:rPr>
      </w:pPr>
      <w:r>
        <w:rPr>
          <w:rFonts w:hint="eastAsia" w:ascii="宋体" w:hAnsi="宋体" w:cs="宋体"/>
          <w:sz w:val="24"/>
        </w:rPr>
        <w:t>地址：广西桂林市象山区文明路12号</w:t>
      </w:r>
    </w:p>
    <w:p w14:paraId="5C786A96">
      <w:pPr>
        <w:spacing w:line="400" w:lineRule="exact"/>
        <w:ind w:firstLine="480" w:firstLineChars="200"/>
        <w:rPr>
          <w:rFonts w:hint="eastAsia" w:ascii="宋体" w:hAnsi="宋体" w:cs="宋体"/>
          <w:sz w:val="24"/>
        </w:rPr>
      </w:pPr>
      <w:r>
        <w:rPr>
          <w:rFonts w:hint="eastAsia" w:ascii="宋体" w:hAnsi="宋体" w:cs="宋体"/>
          <w:sz w:val="24"/>
        </w:rPr>
        <w:t xml:space="preserve">电话：       </w:t>
      </w:r>
    </w:p>
    <w:p w14:paraId="5150112A">
      <w:pPr>
        <w:spacing w:line="400" w:lineRule="exact"/>
        <w:ind w:firstLine="480" w:firstLineChars="200"/>
        <w:rPr>
          <w:rFonts w:hint="eastAsia" w:ascii="宋体" w:hAnsi="宋体" w:cs="宋体"/>
          <w:sz w:val="24"/>
        </w:rPr>
      </w:pPr>
      <w:r>
        <w:rPr>
          <w:rFonts w:hint="eastAsia" w:ascii="宋体" w:hAnsi="宋体" w:cs="宋体"/>
          <w:sz w:val="24"/>
        </w:rPr>
        <w:t>传真：</w:t>
      </w:r>
      <w:r>
        <w:rPr>
          <w:rFonts w:hint="eastAsia" w:ascii="宋体" w:hAnsi="宋体" w:cs="宋体"/>
          <w:sz w:val="24"/>
        </w:rPr>
        <w:tab/>
      </w:r>
    </w:p>
    <w:p w14:paraId="6C04DC77">
      <w:pPr>
        <w:spacing w:line="400" w:lineRule="exact"/>
        <w:ind w:firstLine="482" w:firstLineChars="200"/>
        <w:rPr>
          <w:rFonts w:hint="eastAsia" w:ascii="宋体" w:hAnsi="宋体" w:cs="宋体"/>
          <w:sz w:val="24"/>
        </w:rPr>
      </w:pPr>
      <w:r>
        <w:rPr>
          <w:rFonts w:hint="eastAsia" w:ascii="宋体" w:hAnsi="宋体" w:cs="宋体"/>
          <w:b/>
          <w:bCs/>
          <w:sz w:val="24"/>
        </w:rPr>
        <w:t>第六条  验收标准和方式</w:t>
      </w:r>
      <w:r>
        <w:rPr>
          <w:rFonts w:hint="eastAsia" w:ascii="宋体" w:hAnsi="宋体" w:cs="宋体"/>
          <w:sz w:val="24"/>
        </w:rPr>
        <w:tab/>
      </w:r>
      <w:r>
        <w:rPr>
          <w:rFonts w:hint="eastAsia" w:ascii="宋体" w:hAnsi="宋体" w:cs="宋体"/>
          <w:sz w:val="24"/>
        </w:rPr>
        <w:tab/>
      </w:r>
    </w:p>
    <w:p w14:paraId="463EAE40">
      <w:pPr>
        <w:spacing w:line="40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验收标准：产品验收范围应严格依据本合同及附件所界定的内容进行，验收合格与否应以附件《产品功能明细表》为验收标准。</w:t>
      </w:r>
    </w:p>
    <w:p w14:paraId="7F1B7DFA">
      <w:pPr>
        <w:spacing w:line="40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项目上线：完成系统全部功能模块安装部署并完成试运行，乙方完成用户培训，用户开始正常使用系统后，乙方提交项目上线报告，甲乙双方共同签署确认。</w:t>
      </w:r>
    </w:p>
    <w:p w14:paraId="3C213162">
      <w:pPr>
        <w:spacing w:line="40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验收方式：在项目正式上线后，连续运行且无故障出现达到60日，甲乙双方共同进行软件验收满意度调查，发放合同附件二《软件验收满意度调查表》，抽查范围及人数根据软件应用范围由甲乙双方协商确认。验收满意率大于等于80%，乙方向甲方提请验收并提供验收报告。甲方在接到验收报告之日起10个工作日内组织验收或提出修改意见。</w:t>
      </w:r>
    </w:p>
    <w:p w14:paraId="7F06A9C4">
      <w:pPr>
        <w:spacing w:line="40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甲方接到验收报告后10个工作日内无正当理由不组织验收，且不能提出修改意见，则视作验收报告已被批准，甲方即应给乙方办理结算手续。</w:t>
      </w:r>
    </w:p>
    <w:p w14:paraId="132B5C35">
      <w:pPr>
        <w:spacing w:line="40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w:t>
      </w:r>
      <w:r>
        <w:rPr>
          <w:rFonts w:hint="eastAsia" w:ascii="宋体" w:hAnsi="宋体" w:cs="宋体"/>
          <w:sz w:val="24"/>
        </w:rPr>
        <w:t>如验收不合格，乙方应当在收到甲方书面通知之日起 10 日内对系统进行修改完善直至合格，该情形不视为乙方逾期违约，并由双方约定新的验收时间重新进行验收。</w:t>
      </w:r>
    </w:p>
    <w:p w14:paraId="1636486A">
      <w:pPr>
        <w:spacing w:line="400" w:lineRule="exact"/>
        <w:ind w:firstLine="480" w:firstLineChars="200"/>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w:t>
      </w:r>
      <w:r>
        <w:rPr>
          <w:rFonts w:hint="eastAsia" w:ascii="宋体" w:hAnsi="宋体" w:cs="宋体"/>
          <w:sz w:val="24"/>
        </w:rPr>
        <w:t>维保到期后，需提交《质保期到期验收单》方可提出质保申请。</w:t>
      </w:r>
    </w:p>
    <w:p w14:paraId="6E2A7D61">
      <w:pPr>
        <w:spacing w:line="400" w:lineRule="exact"/>
        <w:ind w:firstLine="482" w:firstLineChars="200"/>
        <w:rPr>
          <w:rFonts w:hint="eastAsia" w:ascii="宋体" w:hAnsi="宋体" w:cs="宋体"/>
          <w:b/>
          <w:bCs/>
          <w:sz w:val="24"/>
        </w:rPr>
      </w:pPr>
      <w:r>
        <w:rPr>
          <w:rFonts w:hint="eastAsia" w:ascii="宋体" w:hAnsi="宋体" w:cs="宋体"/>
          <w:b/>
          <w:bCs/>
          <w:sz w:val="24"/>
        </w:rPr>
        <w:t>第七条</w:t>
      </w:r>
      <w:r>
        <w:rPr>
          <w:rFonts w:hint="eastAsia" w:ascii="宋体" w:hAnsi="宋体" w:cs="宋体"/>
          <w:b/>
          <w:bCs/>
          <w:sz w:val="24"/>
          <w:lang w:val="en-US" w:eastAsia="zh-CN"/>
        </w:rPr>
        <w:t xml:space="preserve">  </w:t>
      </w:r>
      <w:r>
        <w:rPr>
          <w:rFonts w:hint="eastAsia" w:ascii="宋体" w:hAnsi="宋体" w:cs="宋体"/>
          <w:b/>
          <w:bCs/>
          <w:sz w:val="24"/>
        </w:rPr>
        <w:t>货款支付</w:t>
      </w:r>
    </w:p>
    <w:p w14:paraId="6BD4EBCA">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1.合同签订后，乙方将尽快安排入场安装，自验收合格（培训指导完成、设备、软件正式使用）收到正规等额、有效发票之日起60个工作日后支付自有资金的95%，自有资金的的5%作为履约保证金，质保期满30个工作日后付清（无息）。合同维保到期后终身免费维保。</w:t>
      </w:r>
    </w:p>
    <w:p w14:paraId="6F4C730F">
      <w:pPr>
        <w:spacing w:line="400" w:lineRule="exact"/>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乙方开户银行名称、地址和账号为：</w:t>
      </w:r>
    </w:p>
    <w:p w14:paraId="5CBF39C9">
      <w:pPr>
        <w:spacing w:line="400" w:lineRule="exact"/>
        <w:ind w:firstLine="480" w:firstLineChars="200"/>
        <w:rPr>
          <w:rFonts w:hint="eastAsia" w:ascii="宋体" w:hAnsi="宋体" w:cs="宋体"/>
          <w:sz w:val="24"/>
          <w:u w:val="single"/>
        </w:rPr>
      </w:pPr>
      <w:r>
        <w:rPr>
          <w:rFonts w:hint="eastAsia" w:ascii="宋体" w:hAnsi="宋体" w:cs="宋体"/>
          <w:sz w:val="24"/>
        </w:rPr>
        <w:t>名称：</w:t>
      </w:r>
      <w:r>
        <w:rPr>
          <w:rFonts w:hint="eastAsia" w:ascii="宋体" w:hAnsi="宋体" w:cs="宋体"/>
          <w:sz w:val="24"/>
          <w:u w:val="single"/>
        </w:rPr>
        <w:t xml:space="preserve">                        </w:t>
      </w:r>
    </w:p>
    <w:p w14:paraId="701A6B0E">
      <w:pPr>
        <w:spacing w:line="400" w:lineRule="exact"/>
        <w:ind w:firstLine="480" w:firstLineChars="200"/>
        <w:rPr>
          <w:rFonts w:hint="eastAsia"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p>
    <w:p w14:paraId="7936DC3C">
      <w:pPr>
        <w:spacing w:line="400" w:lineRule="exact"/>
        <w:ind w:firstLine="480" w:firstLineChars="200"/>
        <w:rPr>
          <w:rFonts w:hint="eastAsia" w:ascii="宋体" w:hAnsi="宋体" w:cs="宋体"/>
          <w:sz w:val="24"/>
        </w:rPr>
      </w:pPr>
      <w:r>
        <w:rPr>
          <w:rFonts w:hint="eastAsia" w:ascii="宋体" w:hAnsi="宋体" w:cs="宋体"/>
          <w:sz w:val="24"/>
        </w:rPr>
        <w:t>账号：</w:t>
      </w:r>
      <w:r>
        <w:rPr>
          <w:rFonts w:hint="eastAsia" w:ascii="宋体" w:hAnsi="宋体" w:cs="宋体"/>
          <w:sz w:val="24"/>
          <w:u w:val="single"/>
        </w:rPr>
        <w:t xml:space="preserve">                         </w:t>
      </w:r>
    </w:p>
    <w:p w14:paraId="5EAE0E65">
      <w:pPr>
        <w:spacing w:line="400" w:lineRule="exact"/>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甲方开票信息：</w:t>
      </w:r>
    </w:p>
    <w:p w14:paraId="2B4CAC10">
      <w:pPr>
        <w:spacing w:line="400" w:lineRule="exact"/>
        <w:ind w:firstLine="480" w:firstLineChars="200"/>
        <w:rPr>
          <w:rFonts w:hint="eastAsia" w:ascii="宋体" w:hAnsi="宋体" w:cs="宋体"/>
          <w:sz w:val="24"/>
        </w:rPr>
      </w:pPr>
      <w:r>
        <w:rPr>
          <w:rFonts w:hint="eastAsia" w:ascii="宋体" w:hAnsi="宋体" w:cs="宋体"/>
          <w:sz w:val="24"/>
        </w:rPr>
        <w:t>名称：桂林市人民医院</w:t>
      </w:r>
    </w:p>
    <w:p w14:paraId="4370E1F6">
      <w:pPr>
        <w:spacing w:line="400" w:lineRule="exact"/>
        <w:ind w:firstLine="480" w:firstLineChars="200"/>
        <w:rPr>
          <w:rFonts w:hint="eastAsia" w:ascii="宋体" w:hAnsi="宋体" w:cs="宋体"/>
          <w:sz w:val="24"/>
        </w:rPr>
      </w:pPr>
      <w:r>
        <w:rPr>
          <w:rFonts w:hint="eastAsia" w:ascii="宋体" w:hAnsi="宋体" w:cs="宋体"/>
          <w:sz w:val="24"/>
        </w:rPr>
        <w:t>信用代码：12450300498668197M</w:t>
      </w:r>
    </w:p>
    <w:p w14:paraId="4687BC88">
      <w:pPr>
        <w:spacing w:line="400" w:lineRule="exact"/>
        <w:ind w:firstLine="480" w:firstLineChars="200"/>
        <w:rPr>
          <w:rFonts w:hint="eastAsia" w:ascii="宋体" w:hAnsi="宋体" w:cs="宋体"/>
          <w:sz w:val="24"/>
        </w:rPr>
      </w:pPr>
      <w:r>
        <w:rPr>
          <w:rFonts w:hint="eastAsia" w:ascii="宋体" w:hAnsi="宋体" w:cs="宋体"/>
          <w:sz w:val="24"/>
        </w:rPr>
        <w:t>地址 ：广西桂林市文明路12号</w:t>
      </w:r>
    </w:p>
    <w:p w14:paraId="2C5EA9F4">
      <w:pPr>
        <w:spacing w:line="400" w:lineRule="exact"/>
        <w:ind w:firstLine="480" w:firstLineChars="200"/>
        <w:rPr>
          <w:rFonts w:hint="eastAsia" w:ascii="宋体" w:hAnsi="宋体" w:cs="宋体"/>
          <w:sz w:val="24"/>
        </w:rPr>
      </w:pPr>
      <w:r>
        <w:rPr>
          <w:rFonts w:hint="eastAsia" w:ascii="宋体" w:hAnsi="宋体" w:cs="宋体"/>
          <w:sz w:val="24"/>
        </w:rPr>
        <w:t>开户行：桂林银行文明路支行</w:t>
      </w:r>
    </w:p>
    <w:p w14:paraId="685BEF5D">
      <w:pPr>
        <w:spacing w:line="400" w:lineRule="exact"/>
        <w:ind w:firstLine="480" w:firstLineChars="200"/>
        <w:rPr>
          <w:rFonts w:hint="eastAsia" w:ascii="宋体" w:hAnsi="宋体" w:cs="宋体"/>
          <w:sz w:val="24"/>
        </w:rPr>
      </w:pPr>
      <w:r>
        <w:rPr>
          <w:rFonts w:hint="eastAsia" w:ascii="宋体" w:hAnsi="宋体" w:cs="宋体"/>
          <w:sz w:val="24"/>
        </w:rPr>
        <w:t>帐号：660012017474300020</w:t>
      </w:r>
    </w:p>
    <w:p w14:paraId="0DCB00CB">
      <w:pPr>
        <w:spacing w:line="400" w:lineRule="exact"/>
        <w:ind w:firstLine="482" w:firstLineChars="200"/>
        <w:rPr>
          <w:rFonts w:hint="eastAsia" w:ascii="宋体" w:hAnsi="宋体" w:cs="宋体"/>
          <w:sz w:val="24"/>
        </w:rPr>
      </w:pPr>
      <w:r>
        <w:rPr>
          <w:rFonts w:hint="eastAsia" w:ascii="宋体" w:hAnsi="宋体" w:cs="宋体"/>
          <w:b/>
          <w:bCs/>
          <w:sz w:val="24"/>
        </w:rPr>
        <w:t>第八条</w:t>
      </w:r>
      <w:r>
        <w:rPr>
          <w:rFonts w:hint="eastAsia" w:ascii="宋体" w:hAnsi="宋体" w:cs="宋体"/>
          <w:b/>
          <w:bCs/>
          <w:sz w:val="24"/>
          <w:lang w:val="en-US" w:eastAsia="zh-CN"/>
        </w:rPr>
        <w:t xml:space="preserve">  </w:t>
      </w:r>
      <w:r>
        <w:rPr>
          <w:rFonts w:hint="eastAsia" w:ascii="宋体" w:hAnsi="宋体" w:cs="宋体"/>
          <w:b/>
          <w:bCs/>
          <w:sz w:val="24"/>
        </w:rPr>
        <w:t>售后服务</w:t>
      </w:r>
    </w:p>
    <w:p w14:paraId="06E9F501">
      <w:pPr>
        <w:spacing w:line="40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乙方承诺对甲方提供电话技术支持及远程维护服务</w:t>
      </w:r>
      <w:r>
        <w:rPr>
          <w:rFonts w:hint="eastAsia" w:ascii="宋体" w:hAnsi="宋体" w:cs="宋体"/>
          <w:sz w:val="24"/>
          <w:u w:val="single"/>
        </w:rPr>
        <w:t xml:space="preserve">    </w:t>
      </w:r>
      <w:r>
        <w:rPr>
          <w:rFonts w:hint="eastAsia" w:ascii="宋体" w:hAnsi="宋体" w:cs="宋体"/>
          <w:sz w:val="24"/>
        </w:rPr>
        <w:t>人员驻场技术支持服务。</w:t>
      </w:r>
    </w:p>
    <w:p w14:paraId="6198012F">
      <w:pPr>
        <w:spacing w:line="40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如乙方提供电话技术支持及远程维护服务的，每年应提供</w:t>
      </w:r>
      <w:r>
        <w:rPr>
          <w:rFonts w:hint="eastAsia" w:ascii="宋体" w:hAnsi="宋体" w:cs="宋体"/>
          <w:sz w:val="24"/>
          <w:u w:val="single"/>
        </w:rPr>
        <w:t xml:space="preserve">    </w:t>
      </w:r>
      <w:r>
        <w:rPr>
          <w:rFonts w:hint="eastAsia" w:ascii="宋体" w:hAnsi="宋体" w:cs="宋体"/>
          <w:sz w:val="24"/>
        </w:rPr>
        <w:t>次现场巡检服务，并出具巡检报告。当出现短时间不能解决的系统重大事故时，乙方相应技术支持人员应当在24小时内进行现场处理。</w:t>
      </w:r>
    </w:p>
    <w:p w14:paraId="52839491">
      <w:pPr>
        <w:spacing w:line="40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乙方承诺在项目维护期间，故障问题响应时间不超过</w:t>
      </w:r>
      <w:r>
        <w:rPr>
          <w:rFonts w:hint="eastAsia" w:ascii="宋体" w:hAnsi="宋体" w:cs="宋体"/>
          <w:sz w:val="24"/>
          <w:u w:val="single"/>
        </w:rPr>
        <w:t xml:space="preserve">    </w:t>
      </w:r>
      <w:r>
        <w:rPr>
          <w:rFonts w:hint="eastAsia" w:ascii="宋体" w:hAnsi="宋体" w:cs="宋体"/>
          <w:sz w:val="24"/>
        </w:rPr>
        <w:t>分钟/小时，一般软件问题处理时长不超过</w:t>
      </w:r>
      <w:r>
        <w:rPr>
          <w:rFonts w:hint="eastAsia" w:ascii="宋体" w:hAnsi="宋体" w:cs="宋体"/>
          <w:sz w:val="24"/>
          <w:u w:val="single"/>
        </w:rPr>
        <w:t xml:space="preserve">    </w:t>
      </w:r>
      <w:r>
        <w:rPr>
          <w:rFonts w:hint="eastAsia" w:ascii="宋体" w:hAnsi="宋体" w:cs="宋体"/>
          <w:sz w:val="24"/>
        </w:rPr>
        <w:t>小时/工作日，重大故障问题处理时长不超过</w:t>
      </w:r>
      <w:r>
        <w:rPr>
          <w:rFonts w:hint="eastAsia" w:ascii="宋体" w:hAnsi="宋体" w:cs="宋体"/>
          <w:sz w:val="24"/>
          <w:u w:val="single"/>
        </w:rPr>
        <w:t xml:space="preserve">    </w:t>
      </w:r>
      <w:r>
        <w:rPr>
          <w:rFonts w:hint="eastAsia" w:ascii="宋体" w:hAnsi="宋体" w:cs="宋体"/>
          <w:sz w:val="24"/>
        </w:rPr>
        <w:t>小时。</w:t>
      </w:r>
    </w:p>
    <w:p w14:paraId="1653C26F">
      <w:pPr>
        <w:spacing w:line="40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对于甲方在使用乙方相关软件产品过程中产生的个性化需求及由此产生的定制化开发要求，甲方应向乙方售后服务机构提出，乙方应及时给以评估和答复，必要时另行立项开发并签署相关协议。</w:t>
      </w:r>
    </w:p>
    <w:p w14:paraId="4C0E7CC9">
      <w:pPr>
        <w:spacing w:line="40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w:t>
      </w:r>
      <w:r>
        <w:rPr>
          <w:rFonts w:hint="eastAsia" w:ascii="宋体" w:hAnsi="宋体" w:cs="宋体"/>
          <w:sz w:val="24"/>
        </w:rPr>
        <w:t>从合同涉及的软件产品投入使用之日起，因甲方自身原因造成系统不能正常运行，要求乙方提供服务，乙方所产生的费用由甲方承担。</w:t>
      </w:r>
    </w:p>
    <w:p w14:paraId="744442AE">
      <w:pPr>
        <w:spacing w:line="400" w:lineRule="exact"/>
        <w:ind w:firstLine="480" w:firstLineChars="200"/>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w:t>
      </w:r>
      <w:r>
        <w:rPr>
          <w:rFonts w:hint="eastAsia" w:ascii="宋体" w:hAnsi="宋体" w:cs="宋体"/>
          <w:sz w:val="24"/>
        </w:rPr>
        <w:t>非乙方产品和服务本身引发的产品问题不在本合同的售后服务范围之内，包括但不限于：①甲方未按使用规范使用乙方产品（包括操作失误、恶意删改数据等）；②未经乙方同意，甲方或者第三方对乙方产品进行了任何方式的修改，或者与第三方软件产品合并使用；③由于甲方原因（包括操作失误）或第三方产品的瑕疵或故障、甲方使用的硬件或网络出错或遭遇计算机病毒侵犯而导致系统瘫痪等。</w:t>
      </w:r>
    </w:p>
    <w:p w14:paraId="40D9C335">
      <w:pPr>
        <w:spacing w:line="400" w:lineRule="exact"/>
        <w:ind w:firstLine="482" w:firstLineChars="200"/>
        <w:rPr>
          <w:rFonts w:hint="eastAsia" w:ascii="宋体" w:hAnsi="宋体" w:cs="宋体"/>
          <w:b/>
          <w:bCs/>
          <w:sz w:val="24"/>
        </w:rPr>
      </w:pPr>
      <w:r>
        <w:rPr>
          <w:rFonts w:hint="eastAsia" w:ascii="宋体" w:hAnsi="宋体" w:cs="宋体"/>
          <w:b/>
          <w:bCs/>
          <w:sz w:val="24"/>
        </w:rPr>
        <w:t>第九条</w:t>
      </w:r>
      <w:r>
        <w:rPr>
          <w:rFonts w:hint="eastAsia" w:ascii="宋体" w:hAnsi="宋体" w:cs="宋体"/>
          <w:b/>
          <w:bCs/>
          <w:sz w:val="24"/>
          <w:lang w:val="en-US" w:eastAsia="zh-CN"/>
        </w:rPr>
        <w:t xml:space="preserve">  </w:t>
      </w:r>
      <w:r>
        <w:rPr>
          <w:rFonts w:hint="eastAsia" w:ascii="宋体" w:hAnsi="宋体" w:cs="宋体"/>
          <w:b/>
          <w:bCs/>
          <w:sz w:val="24"/>
        </w:rPr>
        <w:t>知识产权</w:t>
      </w:r>
    </w:p>
    <w:p w14:paraId="28C62D69">
      <w:pPr>
        <w:spacing w:line="400" w:lineRule="exact"/>
        <w:ind w:firstLine="480" w:firstLineChars="200"/>
        <w:rPr>
          <w:rFonts w:hint="eastAsia" w:ascii="宋体" w:hAnsi="宋体" w:cs="宋体"/>
          <w:sz w:val="24"/>
        </w:rPr>
      </w:pPr>
      <w:r>
        <w:rPr>
          <w:rFonts w:hint="eastAsia" w:ascii="宋体" w:hAnsi="宋体" w:cs="宋体"/>
          <w:sz w:val="24"/>
        </w:rPr>
        <w:t>1乙方承诺拥有本合同第一条所述的软件产品的完整的知识产权或合法的转售权。对于由乙方提供的计算机软件和程序，甲方被授予不可转让的、非独家的使用权。</w:t>
      </w:r>
    </w:p>
    <w:p w14:paraId="17F32957">
      <w:pPr>
        <w:spacing w:line="400" w:lineRule="exact"/>
        <w:ind w:firstLine="480" w:firstLineChars="200"/>
        <w:rPr>
          <w:rFonts w:hint="eastAsia" w:ascii="宋体" w:hAnsi="宋体" w:cs="宋体"/>
          <w:sz w:val="24"/>
        </w:rPr>
      </w:pPr>
      <w:r>
        <w:rPr>
          <w:rFonts w:hint="eastAsia" w:ascii="宋体" w:hAnsi="宋体" w:cs="宋体"/>
          <w:sz w:val="24"/>
        </w:rPr>
        <w:t>2对乙方提供的技术资料，甲方应负责保密并保证以本合同约定的方式使用，甲方的此项责任并不因本合同的终止及无效而解除。</w:t>
      </w:r>
    </w:p>
    <w:p w14:paraId="49C83FD8">
      <w:pPr>
        <w:spacing w:line="400" w:lineRule="exact"/>
        <w:ind w:firstLine="480" w:firstLineChars="200"/>
        <w:rPr>
          <w:rFonts w:hint="eastAsia" w:ascii="宋体" w:hAnsi="宋体" w:cs="宋体"/>
          <w:sz w:val="24"/>
        </w:rPr>
      </w:pPr>
      <w:r>
        <w:rPr>
          <w:rFonts w:hint="eastAsia" w:ascii="宋体" w:hAnsi="宋体" w:cs="宋体"/>
          <w:sz w:val="24"/>
        </w:rPr>
        <w:t>3乙方对合同涉及的软件产品及相关文档拥有独立版权。甲方不得许可第三方使用或作他用，并不得向第三方公开及转让。</w:t>
      </w:r>
    </w:p>
    <w:p w14:paraId="6E06C37A">
      <w:pPr>
        <w:spacing w:line="400" w:lineRule="exact"/>
        <w:ind w:firstLine="480" w:firstLineChars="200"/>
        <w:rPr>
          <w:rFonts w:hint="eastAsia" w:ascii="宋体" w:hAnsi="宋体" w:cs="宋体"/>
          <w:sz w:val="24"/>
        </w:rPr>
      </w:pPr>
      <w:r>
        <w:rPr>
          <w:rFonts w:hint="eastAsia" w:ascii="宋体" w:hAnsi="宋体" w:cs="宋体"/>
          <w:sz w:val="24"/>
        </w:rPr>
        <w:t>4甲方不得自行复制、仿制相关软件产品，并不得使用于本合同未涉及的其它地点。</w:t>
      </w:r>
    </w:p>
    <w:p w14:paraId="13DCC589">
      <w:pPr>
        <w:spacing w:line="400" w:lineRule="exact"/>
        <w:ind w:firstLine="480" w:firstLineChars="200"/>
        <w:rPr>
          <w:rFonts w:hint="eastAsia" w:ascii="宋体" w:hAnsi="宋体" w:cs="宋体"/>
          <w:sz w:val="24"/>
        </w:rPr>
      </w:pPr>
      <w:r>
        <w:rPr>
          <w:rFonts w:hint="eastAsia" w:ascii="宋体" w:hAnsi="宋体" w:cs="宋体"/>
          <w:sz w:val="24"/>
        </w:rPr>
        <w:t>5甲方不得对软件自行修改，对修改后软件的使用效果乙方不作质量保证，并且甲方亦不得向任何第三方提供修改后的版本。</w:t>
      </w:r>
    </w:p>
    <w:p w14:paraId="34971110">
      <w:pPr>
        <w:spacing w:line="400" w:lineRule="exact"/>
        <w:ind w:firstLine="482" w:firstLineChars="200"/>
        <w:rPr>
          <w:rFonts w:hint="eastAsia" w:ascii="宋体" w:hAnsi="宋体" w:cs="宋体"/>
          <w:sz w:val="24"/>
        </w:rPr>
      </w:pPr>
      <w:r>
        <w:rPr>
          <w:rFonts w:hint="eastAsia" w:ascii="宋体" w:hAnsi="宋体" w:cs="宋体"/>
          <w:b/>
          <w:bCs/>
          <w:sz w:val="24"/>
        </w:rPr>
        <w:t>第十条</w:t>
      </w:r>
      <w:r>
        <w:rPr>
          <w:rFonts w:hint="eastAsia" w:ascii="宋体" w:hAnsi="宋体" w:cs="宋体"/>
          <w:b/>
          <w:bCs/>
          <w:sz w:val="24"/>
          <w:lang w:val="en-US" w:eastAsia="zh-CN"/>
        </w:rPr>
        <w:t xml:space="preserve">  </w:t>
      </w:r>
      <w:r>
        <w:rPr>
          <w:rFonts w:hint="eastAsia" w:ascii="宋体" w:hAnsi="宋体" w:cs="宋体"/>
          <w:b/>
          <w:bCs/>
          <w:sz w:val="24"/>
        </w:rPr>
        <w:t>违约责任</w:t>
      </w:r>
    </w:p>
    <w:p w14:paraId="27686E7A">
      <w:pPr>
        <w:spacing w:line="40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甲方逾期付款，每逾期一日应支付乙方逾期总额2‰（千分之二）的违约金，违约金总额不超过合同总额的30%（百分之三十）。</w:t>
      </w:r>
    </w:p>
    <w:p w14:paraId="2198FFA6">
      <w:pPr>
        <w:spacing w:line="40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乙方逾期交付产品，每逾期一日应支付甲方合同总额2‰（千分之二）的违约金，违约金总额不超过合同总额的30%（百分之三十）。逾期20天乙方仍未交货，甲方有权单方面取消合同。</w:t>
      </w:r>
    </w:p>
    <w:p w14:paraId="02E0E851">
      <w:pPr>
        <w:spacing w:line="40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本合同软件产品实现的功能及性能以附件所载功能为准。对甲方不按技术规范操作、甲方软硬件问题、第三方软件问题等非本合同软件产品的原因而造成的甲方损失，乙方不承担任何违约责任和赔偿责任。</w:t>
      </w:r>
    </w:p>
    <w:p w14:paraId="15ECD0BC">
      <w:pPr>
        <w:spacing w:line="40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因乙方产品质量问题造成的甲方损失，由乙方承担违约责任，每次应支付甲方合同应付金额的2%（百分之二）的违约金，违约金总额不超过合同总额的10%（百分之十）。如对甲方造成损失，乙方负责赔偿。</w:t>
      </w:r>
    </w:p>
    <w:p w14:paraId="71C8D399">
      <w:pPr>
        <w:spacing w:line="40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w:t>
      </w:r>
      <w:r>
        <w:rPr>
          <w:rFonts w:hint="eastAsia" w:ascii="宋体" w:hAnsi="宋体" w:cs="宋体"/>
          <w:sz w:val="24"/>
        </w:rPr>
        <w:t>甲方违反本协议关于版权保护的条款，对乙方提供的软件产品进行的任何的侵害性的行为给乙方造成损失的，乙方有权就损失部分要求甲方赔偿。</w:t>
      </w:r>
    </w:p>
    <w:p w14:paraId="37160614">
      <w:pPr>
        <w:spacing w:line="400" w:lineRule="exact"/>
        <w:ind w:firstLine="480" w:firstLineChars="200"/>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w:t>
      </w:r>
      <w:r>
        <w:rPr>
          <w:rFonts w:hint="eastAsia" w:ascii="宋体" w:hAnsi="宋体" w:cs="宋体"/>
          <w:sz w:val="24"/>
        </w:rPr>
        <w:t>乙方没有按约定派驻人员，每人次支付合同总额2‰（千分之二）的违约金。</w:t>
      </w:r>
    </w:p>
    <w:p w14:paraId="2D08A7DC">
      <w:pPr>
        <w:spacing w:line="400" w:lineRule="exact"/>
        <w:ind w:firstLine="480" w:firstLineChars="200"/>
        <w:rPr>
          <w:rFonts w:hint="eastAsia" w:ascii="宋体" w:hAnsi="宋体" w:cs="宋体"/>
          <w:sz w:val="24"/>
          <w:lang w:eastAsia="zh-CN"/>
        </w:rPr>
      </w:pPr>
      <w:r>
        <w:rPr>
          <w:rFonts w:hint="eastAsia" w:ascii="宋体" w:hAnsi="宋体" w:cs="宋体"/>
          <w:sz w:val="24"/>
        </w:rPr>
        <w:t>7</w:t>
      </w:r>
      <w:r>
        <w:rPr>
          <w:rFonts w:hint="eastAsia" w:ascii="宋体" w:hAnsi="宋体" w:cs="宋体"/>
          <w:sz w:val="24"/>
          <w:lang w:val="en-US" w:eastAsia="zh-CN"/>
        </w:rPr>
        <w:t>.</w:t>
      </w:r>
      <w:r>
        <w:rPr>
          <w:rFonts w:hint="eastAsia" w:ascii="宋体" w:hAnsi="宋体" w:cs="宋体"/>
          <w:sz w:val="24"/>
        </w:rPr>
        <w:t>乙方不按售后服务条款执行，每次扣除质保金的30%</w:t>
      </w:r>
      <w:r>
        <w:rPr>
          <w:rFonts w:hint="eastAsia" w:ascii="宋体" w:hAnsi="宋体" w:cs="宋体"/>
          <w:sz w:val="24"/>
          <w:lang w:eastAsia="zh-CN"/>
        </w:rPr>
        <w:t>。</w:t>
      </w:r>
    </w:p>
    <w:p w14:paraId="016E8749">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8.乙方应该开具真实、有效的税务发票，一旦查出乙方提供的发票作假，甲方有权解除协议并且甲方有权利不支付该笔发票款项。</w:t>
      </w:r>
    </w:p>
    <w:p w14:paraId="08E5E34F">
      <w:pPr>
        <w:spacing w:line="400" w:lineRule="exact"/>
        <w:ind w:firstLine="482" w:firstLineChars="200"/>
        <w:rPr>
          <w:rFonts w:hint="eastAsia" w:ascii="宋体" w:hAnsi="宋体" w:cs="宋体"/>
          <w:b/>
          <w:bCs/>
          <w:sz w:val="24"/>
        </w:rPr>
      </w:pPr>
      <w:r>
        <w:rPr>
          <w:rFonts w:hint="eastAsia" w:ascii="宋体" w:hAnsi="宋体" w:cs="宋体"/>
          <w:b/>
          <w:bCs/>
          <w:sz w:val="24"/>
        </w:rPr>
        <w:t>第十一条</w:t>
      </w:r>
      <w:r>
        <w:rPr>
          <w:rFonts w:hint="eastAsia" w:ascii="宋体" w:hAnsi="宋体" w:cs="宋体"/>
          <w:b/>
          <w:bCs/>
          <w:sz w:val="24"/>
          <w:lang w:val="en-US" w:eastAsia="zh-CN"/>
        </w:rPr>
        <w:t xml:space="preserve">  </w:t>
      </w:r>
      <w:r>
        <w:rPr>
          <w:rFonts w:hint="eastAsia" w:ascii="宋体" w:hAnsi="宋体" w:cs="宋体"/>
          <w:b/>
          <w:bCs/>
          <w:sz w:val="24"/>
        </w:rPr>
        <w:t>保密</w:t>
      </w:r>
    </w:p>
    <w:p w14:paraId="104C532D">
      <w:pPr>
        <w:spacing w:line="400" w:lineRule="exact"/>
        <w:ind w:firstLine="480" w:firstLineChars="200"/>
        <w:rPr>
          <w:rFonts w:hint="eastAsia" w:ascii="宋体" w:hAnsi="宋体" w:cs="宋体"/>
          <w:sz w:val="24"/>
        </w:rPr>
      </w:pPr>
      <w:r>
        <w:rPr>
          <w:rFonts w:hint="eastAsia" w:ascii="宋体" w:hAnsi="宋体" w:cs="宋体"/>
          <w:sz w:val="24"/>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永久。</w:t>
      </w:r>
    </w:p>
    <w:p w14:paraId="51B6BEAD">
      <w:pPr>
        <w:spacing w:line="400" w:lineRule="exact"/>
        <w:ind w:firstLine="482" w:firstLineChars="200"/>
        <w:rPr>
          <w:rFonts w:hint="eastAsia" w:ascii="宋体" w:hAnsi="宋体" w:cs="宋体"/>
          <w:sz w:val="24"/>
        </w:rPr>
      </w:pPr>
      <w:r>
        <w:rPr>
          <w:rFonts w:hint="eastAsia" w:ascii="宋体" w:hAnsi="宋体" w:cs="宋体"/>
          <w:b/>
          <w:bCs/>
          <w:sz w:val="24"/>
        </w:rPr>
        <w:t>第十二条</w:t>
      </w:r>
      <w:r>
        <w:rPr>
          <w:rFonts w:hint="eastAsia" w:ascii="宋体" w:hAnsi="宋体" w:cs="宋体"/>
          <w:b/>
          <w:bCs/>
          <w:sz w:val="24"/>
          <w:lang w:val="en-US" w:eastAsia="zh-CN"/>
        </w:rPr>
        <w:t xml:space="preserve">  </w:t>
      </w:r>
      <w:r>
        <w:rPr>
          <w:rFonts w:hint="eastAsia" w:ascii="宋体" w:hAnsi="宋体" w:cs="宋体"/>
          <w:b/>
          <w:bCs/>
          <w:sz w:val="24"/>
        </w:rPr>
        <w:t>联系</w:t>
      </w:r>
    </w:p>
    <w:p w14:paraId="3BD6DD78">
      <w:pPr>
        <w:spacing w:line="40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根据本合同需要一方向另一方发出的全部通知以及双方的文件往来及与本合同有关的通知和要求等，必须用书面形式（含电子邮件），书面方式无法送达的，方可采取公告送达的方式。</w:t>
      </w:r>
    </w:p>
    <w:p w14:paraId="085794A7">
      <w:pPr>
        <w:spacing w:line="40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一方变更本合同所载联系信息地址，应自变更之日起</w:t>
      </w:r>
      <w:r>
        <w:rPr>
          <w:rFonts w:hint="eastAsia" w:ascii="宋体" w:hAnsi="宋体" w:cs="宋体"/>
          <w:sz w:val="24"/>
          <w:u w:val="single"/>
        </w:rPr>
        <w:t xml:space="preserve">   7   </w:t>
      </w:r>
      <w:r>
        <w:rPr>
          <w:rFonts w:hint="eastAsia" w:ascii="宋体" w:hAnsi="宋体" w:cs="宋体"/>
          <w:sz w:val="24"/>
        </w:rPr>
        <w:t>日内，以书面形式通知对方；否则，由未通知方承担由此而引起的相关责任。</w:t>
      </w:r>
    </w:p>
    <w:p w14:paraId="545838B1">
      <w:pPr>
        <w:spacing w:line="400" w:lineRule="exact"/>
        <w:ind w:firstLine="482" w:firstLineChars="200"/>
        <w:rPr>
          <w:rFonts w:hint="eastAsia" w:ascii="宋体" w:hAnsi="宋体" w:cs="宋体"/>
          <w:b/>
          <w:bCs/>
          <w:sz w:val="24"/>
        </w:rPr>
      </w:pPr>
      <w:r>
        <w:rPr>
          <w:rFonts w:hint="eastAsia" w:ascii="宋体" w:hAnsi="宋体" w:cs="宋体"/>
          <w:b/>
          <w:bCs/>
          <w:sz w:val="24"/>
        </w:rPr>
        <w:t>第十三条</w:t>
      </w:r>
      <w:r>
        <w:rPr>
          <w:rFonts w:hint="eastAsia" w:ascii="宋体" w:hAnsi="宋体" w:cs="宋体"/>
          <w:b/>
          <w:bCs/>
          <w:sz w:val="24"/>
          <w:lang w:val="en-US" w:eastAsia="zh-CN"/>
        </w:rPr>
        <w:t xml:space="preserve">  </w:t>
      </w:r>
      <w:r>
        <w:rPr>
          <w:rFonts w:hint="eastAsia" w:ascii="宋体" w:hAnsi="宋体" w:cs="宋体"/>
          <w:b/>
          <w:bCs/>
          <w:sz w:val="24"/>
        </w:rPr>
        <w:t>争议的处理方式</w:t>
      </w:r>
    </w:p>
    <w:p w14:paraId="1473EB5F">
      <w:pPr>
        <w:spacing w:line="400" w:lineRule="exact"/>
        <w:ind w:firstLine="480" w:firstLineChars="200"/>
        <w:rPr>
          <w:rFonts w:hint="eastAsia" w:ascii="宋体" w:hAnsi="宋体" w:cs="宋体"/>
          <w:sz w:val="24"/>
        </w:rPr>
      </w:pPr>
      <w:r>
        <w:rPr>
          <w:rFonts w:hint="eastAsia" w:ascii="宋体" w:hAnsi="宋体" w:cs="宋体"/>
          <w:sz w:val="24"/>
        </w:rPr>
        <w:t>对于因本合同的解释及执行而产生之争议，应首先由双方通过友好协商或经由中立之第三方调解来解决。如争议未能于前述方式在开始协商后30日内解决，则任何一方可向甲方所在地人民法院提起诉讼。</w:t>
      </w:r>
    </w:p>
    <w:p w14:paraId="7E2423F3">
      <w:pPr>
        <w:spacing w:line="400" w:lineRule="exact"/>
        <w:ind w:firstLine="482" w:firstLineChars="200"/>
        <w:rPr>
          <w:rFonts w:hint="eastAsia" w:ascii="宋体" w:hAnsi="宋体" w:cs="宋体"/>
          <w:b/>
          <w:bCs/>
          <w:sz w:val="24"/>
        </w:rPr>
      </w:pPr>
      <w:r>
        <w:rPr>
          <w:rFonts w:hint="eastAsia" w:ascii="宋体" w:hAnsi="宋体" w:cs="宋体"/>
          <w:b/>
          <w:bCs/>
          <w:sz w:val="24"/>
        </w:rPr>
        <w:t>第十四条</w:t>
      </w:r>
      <w:r>
        <w:rPr>
          <w:rFonts w:hint="eastAsia" w:ascii="宋体" w:hAnsi="宋体" w:cs="宋体"/>
          <w:b/>
          <w:bCs/>
          <w:sz w:val="24"/>
          <w:lang w:val="en-US" w:eastAsia="zh-CN"/>
        </w:rPr>
        <w:t xml:space="preserve">   </w:t>
      </w:r>
      <w:r>
        <w:rPr>
          <w:rFonts w:hint="eastAsia" w:ascii="宋体" w:hAnsi="宋体" w:cs="宋体"/>
          <w:b/>
          <w:bCs/>
          <w:sz w:val="24"/>
        </w:rPr>
        <w:t>其他</w:t>
      </w:r>
    </w:p>
    <w:p w14:paraId="4A39B9C6">
      <w:pPr>
        <w:spacing w:line="40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本合同未尽事宜，依照有关法律、法规执行，法律、法规未作规定的，甲乙双方可以达成书面补充合同。本合同的附件和补充合同均为本合同不可分割的组成部分，与本合同具有同等的法律效力。</w:t>
      </w:r>
    </w:p>
    <w:p w14:paraId="7FB3164A">
      <w:pPr>
        <w:spacing w:line="40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本合同履行期间，发生特殊情况时，甲、乙任何一方需变更本合同的，双方需签订书面变更协议，该协议将成为合同不可分割的部分。未经双方签署书面文件，任何一方无权变更本合同，否则，由此造成对方的经济损失，由责任方承担。</w:t>
      </w:r>
    </w:p>
    <w:p w14:paraId="310A355F">
      <w:pPr>
        <w:spacing w:line="40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本合同自双方签字、盖章之日起生效。</w:t>
      </w:r>
    </w:p>
    <w:p w14:paraId="4D009184">
      <w:pPr>
        <w:spacing w:line="40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本协议壹式伍份，甲方执叁份，乙方执贰份，具有同等法律效力。</w:t>
      </w:r>
    </w:p>
    <w:p w14:paraId="665FAD7F">
      <w:pPr>
        <w:spacing w:line="40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w:t>
      </w:r>
      <w:r>
        <w:rPr>
          <w:rFonts w:hint="eastAsia" w:ascii="宋体" w:hAnsi="宋体" w:cs="宋体"/>
          <w:sz w:val="24"/>
        </w:rPr>
        <w:t>本合同的附件一软件产品功能列表清单、附件二软件验收满意度调查表，为本合同不可分割的组成部分，与本合同具有同等的法律效力。</w:t>
      </w:r>
    </w:p>
    <w:p w14:paraId="6B5E2F59">
      <w:pPr>
        <w:spacing w:line="400" w:lineRule="exact"/>
        <w:ind w:firstLine="480" w:firstLineChars="200"/>
        <w:rPr>
          <w:rFonts w:hint="eastAsia" w:ascii="宋体" w:hAnsi="宋体" w:cs="宋体"/>
          <w:sz w:val="24"/>
        </w:rPr>
      </w:pPr>
    </w:p>
    <w:p w14:paraId="6295EF31">
      <w:pPr>
        <w:adjustRightInd w:val="0"/>
        <w:snapToGrid w:val="0"/>
        <w:spacing w:before="156" w:beforeLines="50" w:after="156" w:afterLines="50" w:line="380" w:lineRule="exact"/>
        <w:jc w:val="center"/>
        <w:rPr>
          <w:rFonts w:hint="eastAsia" w:ascii="宋体" w:hAnsi="宋体"/>
          <w:sz w:val="24"/>
          <w:szCs w:val="24"/>
        </w:rPr>
      </w:pPr>
    </w:p>
    <w:p w14:paraId="77E60B91">
      <w:pPr>
        <w:adjustRightInd w:val="0"/>
        <w:snapToGrid w:val="0"/>
        <w:spacing w:before="156" w:beforeLines="50" w:after="156" w:afterLines="50" w:line="380" w:lineRule="exact"/>
        <w:jc w:val="center"/>
        <w:rPr>
          <w:rFonts w:ascii="宋体"/>
          <w:sz w:val="24"/>
          <w:szCs w:val="24"/>
        </w:rPr>
      </w:pPr>
      <w:r>
        <w:rPr>
          <w:rFonts w:hint="eastAsia" w:ascii="宋体" w:hAnsi="宋体"/>
          <w:sz w:val="24"/>
          <w:szCs w:val="24"/>
        </w:rPr>
        <w:t>【以下无正文】</w:t>
      </w:r>
    </w:p>
    <w:p w14:paraId="7B84C598">
      <w:pPr>
        <w:spacing w:line="400" w:lineRule="exact"/>
        <w:rPr>
          <w:rFonts w:hint="eastAsia" w:ascii="宋体" w:hAnsi="宋体" w:cs="宋体"/>
          <w:sz w:val="24"/>
        </w:rPr>
      </w:pPr>
    </w:p>
    <w:p w14:paraId="6D546C34">
      <w:pPr>
        <w:spacing w:line="400" w:lineRule="exact"/>
        <w:ind w:firstLine="480" w:firstLineChars="200"/>
        <w:rPr>
          <w:rFonts w:hint="eastAsia" w:ascii="宋体" w:hAnsi="宋体" w:cs="宋体"/>
          <w:sz w:val="24"/>
        </w:rPr>
      </w:pPr>
      <w:r>
        <w:rPr>
          <w:rFonts w:hint="eastAsia" w:ascii="宋体" w:hAnsi="宋体" w:cs="宋体"/>
          <w:sz w:val="24"/>
        </w:rPr>
        <w:t xml:space="preserve">甲方（盖章）：桂林市人民医院        乙方（盖章）： </w:t>
      </w:r>
    </w:p>
    <w:p w14:paraId="2ADB7B7D">
      <w:pPr>
        <w:spacing w:line="400" w:lineRule="exact"/>
        <w:ind w:firstLine="480" w:firstLineChars="200"/>
        <w:rPr>
          <w:rFonts w:hint="eastAsia" w:ascii="宋体" w:hAnsi="宋体" w:cs="宋体"/>
          <w:sz w:val="24"/>
        </w:rPr>
      </w:pPr>
    </w:p>
    <w:p w14:paraId="7B9F8B84">
      <w:pPr>
        <w:spacing w:line="400" w:lineRule="exact"/>
        <w:ind w:firstLine="480" w:firstLineChars="200"/>
        <w:rPr>
          <w:rFonts w:hint="eastAsia" w:ascii="宋体" w:hAnsi="宋体" w:cs="宋体"/>
          <w:sz w:val="24"/>
        </w:rPr>
      </w:pPr>
      <w:r>
        <w:rPr>
          <w:rFonts w:hint="eastAsia" w:ascii="宋体" w:hAnsi="宋体" w:cs="宋体"/>
          <w:sz w:val="24"/>
        </w:rPr>
        <w:t>法定代表人或授权代表（签字）：      法定代表人或授权代表（签字）：　</w:t>
      </w:r>
    </w:p>
    <w:p w14:paraId="6324A6BA">
      <w:pPr>
        <w:spacing w:line="400" w:lineRule="exact"/>
        <w:ind w:firstLine="480" w:firstLineChars="200"/>
        <w:rPr>
          <w:rFonts w:hint="eastAsia" w:ascii="宋体" w:hAnsi="宋体" w:cs="宋体"/>
          <w:sz w:val="24"/>
        </w:rPr>
      </w:pPr>
    </w:p>
    <w:p w14:paraId="3B6B813C">
      <w:pPr>
        <w:spacing w:line="400" w:lineRule="exact"/>
        <w:ind w:firstLine="480" w:firstLineChars="200"/>
        <w:rPr>
          <w:rFonts w:hint="eastAsia" w:ascii="宋体" w:hAnsi="宋体" w:cs="宋体"/>
          <w:sz w:val="24"/>
        </w:rPr>
      </w:pPr>
    </w:p>
    <w:p w14:paraId="2F0A5EB9">
      <w:pPr>
        <w:spacing w:line="400" w:lineRule="exact"/>
        <w:ind w:firstLine="480" w:firstLineChars="200"/>
        <w:rPr>
          <w:rFonts w:hint="eastAsia" w:ascii="宋体" w:hAnsi="宋体" w:cs="宋体"/>
          <w:sz w:val="24"/>
        </w:rPr>
      </w:pPr>
      <w:r>
        <w:rPr>
          <w:rFonts w:hint="eastAsia" w:ascii="宋体" w:hAnsi="宋体" w:cs="宋体"/>
          <w:sz w:val="24"/>
        </w:rPr>
        <w:t>日期：    年    月    日            日期：    年    月    日</w:t>
      </w:r>
    </w:p>
    <w:p w14:paraId="01AB993C">
      <w:pPr>
        <w:pStyle w:val="6"/>
        <w:rPr>
          <w:rFonts w:hint="eastAsia"/>
        </w:rPr>
      </w:pPr>
    </w:p>
    <w:p w14:paraId="17728D43">
      <w:pPr>
        <w:pStyle w:val="2"/>
        <w:spacing w:line="400" w:lineRule="exact"/>
        <w:ind w:left="0" w:firstLine="3148" w:firstLineChars="1100"/>
        <w:rPr>
          <w:rFonts w:hint="eastAsia"/>
          <w:w w:val="95"/>
          <w:sz w:val="30"/>
          <w:szCs w:val="30"/>
        </w:rPr>
      </w:pPr>
    </w:p>
    <w:p w14:paraId="20B263C4">
      <w:pPr>
        <w:pStyle w:val="2"/>
        <w:spacing w:line="400" w:lineRule="exact"/>
        <w:ind w:left="0" w:firstLine="3148" w:firstLineChars="1100"/>
        <w:rPr>
          <w:rFonts w:hint="eastAsia"/>
          <w:w w:val="95"/>
          <w:sz w:val="30"/>
          <w:szCs w:val="30"/>
        </w:rPr>
      </w:pPr>
    </w:p>
    <w:p w14:paraId="4B307292">
      <w:pPr>
        <w:pStyle w:val="2"/>
        <w:spacing w:line="400" w:lineRule="exact"/>
        <w:ind w:left="0" w:firstLine="3148" w:firstLineChars="1100"/>
        <w:rPr>
          <w:rFonts w:hint="eastAsia"/>
          <w:w w:val="95"/>
          <w:sz w:val="30"/>
          <w:szCs w:val="30"/>
        </w:rPr>
      </w:pPr>
    </w:p>
    <w:p w14:paraId="7901CB12">
      <w:pPr>
        <w:pStyle w:val="2"/>
        <w:spacing w:line="400" w:lineRule="exact"/>
        <w:ind w:left="0" w:firstLine="3148" w:firstLineChars="1100"/>
        <w:rPr>
          <w:rFonts w:hint="eastAsia"/>
          <w:w w:val="95"/>
          <w:sz w:val="30"/>
          <w:szCs w:val="30"/>
        </w:rPr>
      </w:pPr>
    </w:p>
    <w:p w14:paraId="4034D765">
      <w:pPr>
        <w:pStyle w:val="2"/>
        <w:spacing w:line="400" w:lineRule="exact"/>
        <w:ind w:left="0" w:firstLine="3148" w:firstLineChars="1100"/>
        <w:rPr>
          <w:rFonts w:hint="eastAsia"/>
          <w:w w:val="95"/>
          <w:sz w:val="30"/>
          <w:szCs w:val="30"/>
        </w:rPr>
      </w:pPr>
    </w:p>
    <w:p w14:paraId="64EBC814">
      <w:pPr>
        <w:pStyle w:val="2"/>
        <w:spacing w:line="400" w:lineRule="exact"/>
        <w:ind w:left="0" w:firstLine="3148" w:firstLineChars="1100"/>
        <w:rPr>
          <w:rFonts w:hint="eastAsia"/>
          <w:w w:val="95"/>
          <w:sz w:val="30"/>
          <w:szCs w:val="30"/>
        </w:rPr>
      </w:pPr>
    </w:p>
    <w:p w14:paraId="7ABA04EB">
      <w:pPr>
        <w:pStyle w:val="2"/>
        <w:spacing w:line="400" w:lineRule="exact"/>
        <w:ind w:left="0" w:firstLine="3148" w:firstLineChars="1100"/>
        <w:rPr>
          <w:rFonts w:hint="eastAsia"/>
          <w:w w:val="95"/>
          <w:sz w:val="30"/>
          <w:szCs w:val="30"/>
        </w:rPr>
      </w:pPr>
    </w:p>
    <w:p w14:paraId="001F4206">
      <w:pPr>
        <w:pStyle w:val="2"/>
        <w:spacing w:line="400" w:lineRule="exact"/>
        <w:ind w:left="0" w:firstLine="3148" w:firstLineChars="1100"/>
        <w:rPr>
          <w:rFonts w:hint="eastAsia"/>
          <w:w w:val="95"/>
          <w:sz w:val="30"/>
          <w:szCs w:val="30"/>
        </w:rPr>
      </w:pPr>
    </w:p>
    <w:p w14:paraId="3574A3D8">
      <w:pPr>
        <w:pStyle w:val="2"/>
        <w:spacing w:line="400" w:lineRule="exact"/>
        <w:ind w:left="0" w:firstLine="3148" w:firstLineChars="1100"/>
        <w:rPr>
          <w:rFonts w:hint="eastAsia"/>
          <w:w w:val="95"/>
          <w:sz w:val="30"/>
          <w:szCs w:val="30"/>
        </w:rPr>
      </w:pPr>
    </w:p>
    <w:p w14:paraId="10725440">
      <w:pPr>
        <w:pStyle w:val="2"/>
        <w:spacing w:line="400" w:lineRule="exact"/>
        <w:ind w:left="0" w:firstLine="3148" w:firstLineChars="1100"/>
        <w:rPr>
          <w:rFonts w:hint="eastAsia"/>
          <w:w w:val="95"/>
          <w:sz w:val="30"/>
          <w:szCs w:val="30"/>
        </w:rPr>
      </w:pPr>
    </w:p>
    <w:p w14:paraId="3693CC5B">
      <w:pPr>
        <w:pStyle w:val="2"/>
        <w:spacing w:line="400" w:lineRule="exact"/>
        <w:ind w:left="0" w:firstLine="3148" w:firstLineChars="1100"/>
        <w:rPr>
          <w:rFonts w:hint="eastAsia"/>
          <w:w w:val="95"/>
          <w:sz w:val="30"/>
          <w:szCs w:val="30"/>
        </w:rPr>
      </w:pPr>
    </w:p>
    <w:p w14:paraId="79BCABA5">
      <w:pPr>
        <w:pStyle w:val="2"/>
        <w:spacing w:line="400" w:lineRule="exact"/>
        <w:ind w:left="0" w:firstLine="3148" w:firstLineChars="1100"/>
        <w:rPr>
          <w:rFonts w:hint="eastAsia"/>
          <w:w w:val="95"/>
          <w:sz w:val="30"/>
          <w:szCs w:val="30"/>
        </w:rPr>
      </w:pPr>
    </w:p>
    <w:p w14:paraId="53694FE0">
      <w:pPr>
        <w:pStyle w:val="2"/>
        <w:spacing w:line="400" w:lineRule="exact"/>
        <w:ind w:left="0" w:firstLine="3148" w:firstLineChars="1100"/>
        <w:rPr>
          <w:rFonts w:hint="eastAsia"/>
          <w:w w:val="95"/>
          <w:sz w:val="30"/>
          <w:szCs w:val="30"/>
        </w:rPr>
      </w:pPr>
    </w:p>
    <w:p w14:paraId="27A1D960">
      <w:pPr>
        <w:pStyle w:val="2"/>
        <w:spacing w:line="400" w:lineRule="exact"/>
        <w:ind w:left="0" w:firstLine="3148" w:firstLineChars="1100"/>
        <w:rPr>
          <w:rFonts w:hint="eastAsia"/>
          <w:w w:val="95"/>
          <w:sz w:val="30"/>
          <w:szCs w:val="30"/>
        </w:rPr>
      </w:pPr>
    </w:p>
    <w:p w14:paraId="1F24AB2B">
      <w:pPr>
        <w:pStyle w:val="2"/>
        <w:spacing w:line="400" w:lineRule="exact"/>
        <w:ind w:left="0" w:firstLine="3148" w:firstLineChars="1100"/>
        <w:rPr>
          <w:rFonts w:hint="eastAsia"/>
          <w:w w:val="95"/>
          <w:sz w:val="30"/>
          <w:szCs w:val="30"/>
        </w:rPr>
      </w:pPr>
    </w:p>
    <w:p w14:paraId="451F6A12">
      <w:pPr>
        <w:pStyle w:val="2"/>
        <w:spacing w:line="400" w:lineRule="exact"/>
        <w:ind w:left="0" w:firstLine="3148" w:firstLineChars="1100"/>
        <w:rPr>
          <w:rFonts w:hint="eastAsia"/>
          <w:w w:val="95"/>
          <w:sz w:val="30"/>
          <w:szCs w:val="30"/>
        </w:rPr>
      </w:pPr>
    </w:p>
    <w:p w14:paraId="3B05CE43">
      <w:pPr>
        <w:pStyle w:val="2"/>
        <w:spacing w:line="400" w:lineRule="exact"/>
        <w:ind w:left="0" w:firstLine="3148" w:firstLineChars="1100"/>
        <w:rPr>
          <w:rFonts w:hint="eastAsia"/>
          <w:w w:val="95"/>
          <w:sz w:val="30"/>
          <w:szCs w:val="30"/>
        </w:rPr>
      </w:pPr>
    </w:p>
    <w:p w14:paraId="09C68D0C">
      <w:pPr>
        <w:rPr>
          <w:rFonts w:hint="eastAsia"/>
          <w:w w:val="95"/>
          <w:sz w:val="30"/>
          <w:szCs w:val="30"/>
        </w:rPr>
      </w:pPr>
    </w:p>
    <w:p w14:paraId="5ACAF858">
      <w:pPr>
        <w:rPr>
          <w:rFonts w:hint="eastAsia"/>
          <w:w w:val="95"/>
          <w:sz w:val="30"/>
          <w:szCs w:val="30"/>
        </w:rPr>
      </w:pPr>
    </w:p>
    <w:p w14:paraId="7D2C5A07">
      <w:pPr>
        <w:rPr>
          <w:rFonts w:hint="eastAsia"/>
        </w:rPr>
      </w:pPr>
    </w:p>
    <w:p w14:paraId="555DD8BD">
      <w:pPr>
        <w:pStyle w:val="2"/>
        <w:spacing w:line="400" w:lineRule="exact"/>
        <w:ind w:left="0" w:firstLine="3148" w:firstLineChars="1100"/>
      </w:pPr>
      <w:r>
        <w:rPr>
          <w:rFonts w:hint="eastAsia"/>
          <w:w w:val="95"/>
          <w:sz w:val="30"/>
          <w:szCs w:val="30"/>
        </w:rPr>
        <w:t>第三章  评标办法</w:t>
      </w:r>
    </w:p>
    <w:p w14:paraId="3FBCA036">
      <w:pPr>
        <w:keepNext w:val="0"/>
        <w:keepLines w:val="0"/>
        <w:pageBreakBefore w:val="0"/>
        <w:kinsoku/>
        <w:wordWrap/>
        <w:overflowPunct/>
        <w:topLinePunct w:val="0"/>
        <w:bidi w:val="0"/>
        <w:adjustRightInd/>
        <w:snapToGrid w:val="0"/>
        <w:spacing w:line="360" w:lineRule="exact"/>
        <w:ind w:firstLine="420" w:firstLineChars="200"/>
        <w:textAlignment w:val="auto"/>
        <w:rPr>
          <w:rFonts w:hint="eastAsia" w:ascii="宋体" w:hAnsi="宋体" w:eastAsia="宋体" w:cs="宋体"/>
          <w:sz w:val="21"/>
          <w:szCs w:val="21"/>
        </w:rPr>
      </w:pPr>
    </w:p>
    <w:p w14:paraId="0300534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次招标采用“综合评分法”，只有通过符合性审查的投标文件才能进入综合打分排序，即是指在最大限度地满足招标文件实质性要求前提下，按照招标文件中规定的各项因素进行综合评审后，以评标总得分最高的投标人作为拟中标供应商。具体评分标准如下：</w:t>
      </w:r>
    </w:p>
    <w:tbl>
      <w:tblPr>
        <w:tblStyle w:val="20"/>
        <w:tblW w:w="4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990"/>
        <w:gridCol w:w="7026"/>
      </w:tblGrid>
      <w:tr w14:paraId="66EE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center"/>
          </w:tcPr>
          <w:p w14:paraId="05627F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990" w:type="dxa"/>
            <w:vAlign w:val="center"/>
          </w:tcPr>
          <w:p w14:paraId="6621BE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评分项</w:t>
            </w:r>
          </w:p>
        </w:tc>
        <w:tc>
          <w:tcPr>
            <w:tcW w:w="7026" w:type="dxa"/>
            <w:vAlign w:val="center"/>
          </w:tcPr>
          <w:p w14:paraId="3B1FFC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评分标准</w:t>
            </w:r>
          </w:p>
        </w:tc>
      </w:tr>
      <w:tr w14:paraId="2A5C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870" w:type="dxa"/>
            <w:vAlign w:val="center"/>
          </w:tcPr>
          <w:p w14:paraId="6EFFAF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p>
        </w:tc>
        <w:tc>
          <w:tcPr>
            <w:tcW w:w="990" w:type="dxa"/>
            <w:vAlign w:val="center"/>
          </w:tcPr>
          <w:p w14:paraId="076D31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价格分</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45分）</w:t>
            </w:r>
          </w:p>
        </w:tc>
        <w:tc>
          <w:tcPr>
            <w:tcW w:w="7026" w:type="dxa"/>
            <w:vAlign w:val="center"/>
          </w:tcPr>
          <w:p w14:paraId="63EF4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采用低价优先法计算，即满足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文件要求且最低报价为评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基准价，其价格分为满分。其他</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的报价分数统一按照下列公式计算：报价得分=(评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基准价／</w:t>
            </w:r>
            <w:r>
              <w:rPr>
                <w:rFonts w:hint="eastAsia" w:ascii="宋体" w:hAnsi="宋体" w:eastAsia="宋体" w:cs="宋体"/>
                <w:color w:val="auto"/>
                <w:sz w:val="21"/>
                <w:szCs w:val="21"/>
                <w:highlight w:val="none"/>
                <w:lang w:val="en-US" w:eastAsia="zh-CN"/>
              </w:rPr>
              <w:t>报价人</w:t>
            </w:r>
            <w:r>
              <w:rPr>
                <w:rFonts w:hint="eastAsia" w:ascii="宋体" w:hAnsi="宋体" w:eastAsia="宋体" w:cs="宋体"/>
                <w:color w:val="auto"/>
                <w:sz w:val="21"/>
                <w:szCs w:val="21"/>
                <w:highlight w:val="none"/>
              </w:rPr>
              <w:t>报价)×</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w:t>
            </w:r>
          </w:p>
          <w:p w14:paraId="498358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color w:val="000000"/>
                <w:sz w:val="21"/>
                <w:szCs w:val="21"/>
                <w:lang w:bidi="ar"/>
              </w:rPr>
            </w:pPr>
            <w:r>
              <w:rPr>
                <w:rFonts w:hint="eastAsia" w:ascii="宋体" w:hAnsi="宋体" w:eastAsia="宋体" w:cs="宋体"/>
                <w:color w:val="auto"/>
                <w:sz w:val="21"/>
                <w:szCs w:val="21"/>
                <w:highlight w:val="none"/>
              </w:rPr>
              <w:t>注：（1）</w:t>
            </w:r>
            <w:r>
              <w:rPr>
                <w:rFonts w:hint="eastAsia" w:ascii="宋体" w:hAnsi="宋体" w:eastAsia="宋体" w:cs="宋体"/>
                <w:spacing w:val="-2"/>
                <w:sz w:val="21"/>
                <w:szCs w:val="21"/>
              </w:rPr>
              <w:t>供应商报价超出参考</w:t>
            </w:r>
            <w:r>
              <w:rPr>
                <w:rFonts w:hint="eastAsia" w:ascii="宋体" w:hAnsi="宋体" w:cs="宋体"/>
                <w:spacing w:val="-2"/>
                <w:sz w:val="21"/>
                <w:szCs w:val="21"/>
                <w:lang w:val="en-US" w:eastAsia="zh-CN"/>
              </w:rPr>
              <w:t>控制价</w:t>
            </w:r>
            <w:r>
              <w:rPr>
                <w:rFonts w:hint="eastAsia" w:ascii="宋体" w:hAnsi="宋体" w:eastAsia="宋体" w:cs="宋体"/>
                <w:spacing w:val="-2"/>
                <w:sz w:val="21"/>
                <w:szCs w:val="21"/>
              </w:rPr>
              <w:t>的</w:t>
            </w:r>
            <w:r>
              <w:rPr>
                <w:rFonts w:hint="eastAsia" w:ascii="宋体" w:hAnsi="宋体" w:eastAsia="宋体" w:cs="宋体"/>
                <w:color w:val="auto"/>
                <w:sz w:val="21"/>
                <w:szCs w:val="21"/>
                <w:highlight w:val="none"/>
              </w:rPr>
              <w:t>为无效报价；（2）为了遏制恶意竞标，确保采购需求和科学择优，依据财政部令第87号文件第六十条规定，评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委员会认为</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人的报价明显低于其他通过符合性审查</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人的报价，有可能影响产品质量或者不能诚信履约的，必须在评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现场合理的时间内提供成本构成说明、相关证明材料原件、保证按</w:t>
            </w:r>
            <w:r>
              <w:rPr>
                <w:rFonts w:hint="eastAsia" w:ascii="宋体" w:hAnsi="宋体" w:eastAsia="宋体" w:cs="宋体"/>
                <w:color w:val="auto"/>
                <w:sz w:val="21"/>
                <w:szCs w:val="21"/>
                <w:highlight w:val="none"/>
                <w:lang w:val="en-US" w:eastAsia="zh-CN"/>
              </w:rPr>
              <w:t>议价</w:t>
            </w:r>
            <w:r>
              <w:rPr>
                <w:rFonts w:hint="eastAsia" w:ascii="宋体" w:hAnsi="宋体" w:eastAsia="宋体" w:cs="宋体"/>
                <w:color w:val="auto"/>
                <w:sz w:val="21"/>
                <w:szCs w:val="21"/>
                <w:highlight w:val="none"/>
              </w:rPr>
              <w:t>文件服务内容及要求提供服务的承诺书。否则按无效</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处理。</w:t>
            </w:r>
          </w:p>
        </w:tc>
      </w:tr>
      <w:tr w14:paraId="25B7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0" w:hRule="atLeast"/>
          <w:jc w:val="center"/>
        </w:trPr>
        <w:tc>
          <w:tcPr>
            <w:tcW w:w="870" w:type="dxa"/>
            <w:vAlign w:val="center"/>
          </w:tcPr>
          <w:p w14:paraId="58F63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w:t>
            </w:r>
          </w:p>
        </w:tc>
        <w:tc>
          <w:tcPr>
            <w:tcW w:w="990" w:type="dxa"/>
            <w:vAlign w:val="center"/>
          </w:tcPr>
          <w:p w14:paraId="4661AE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b/>
                <w:bCs/>
              </w:rPr>
              <w:t>技术参数</w:t>
            </w:r>
            <w:r>
              <w:rPr>
                <w:rFonts w:hint="eastAsia"/>
                <w:b/>
                <w:bCs/>
                <w:lang w:eastAsia="zh-CN"/>
              </w:rPr>
              <w:t>（</w:t>
            </w:r>
            <w:r>
              <w:rPr>
                <w:rFonts w:hint="eastAsia"/>
                <w:b/>
                <w:bCs/>
                <w:lang w:val="en-US" w:eastAsia="zh-CN"/>
              </w:rPr>
              <w:t>30分）</w:t>
            </w:r>
          </w:p>
        </w:tc>
        <w:tc>
          <w:tcPr>
            <w:tcW w:w="7026" w:type="dxa"/>
            <w:vAlign w:val="center"/>
          </w:tcPr>
          <w:p w14:paraId="197C1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投标产品的技术参数全部满足招标文件中技术参数要求的得满分30分，投标产品中每出现一项加★参数不满足招标文件中参数要求要求的扣3分，扣完为止。</w:t>
            </w:r>
          </w:p>
          <w:p w14:paraId="0DCD8E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注：各投标人必须对招标文件中的技术参数及要求作出全面、真实的反映，投标人除如实填写技术规格偏离表外，</w:t>
            </w:r>
            <w:bookmarkStart w:id="2" w:name="_GoBack"/>
            <w:r>
              <w:rPr>
                <w:rFonts w:hint="eastAsia" w:ascii="宋体" w:hAnsi="宋体" w:eastAsia="宋体" w:cs="宋体"/>
                <w:color w:val="auto"/>
                <w:sz w:val="21"/>
                <w:szCs w:val="21"/>
                <w:highlight w:val="none"/>
              </w:rPr>
              <w:t>投标文件中标★参数必须提供制造厂商出具的满足产品需求的技术证明材料(包括但不限于产品彩页或白皮书)(加盖厂家公章)、说明书以及配置清单等资料以证明其产品的技术指标参数和具体配置情况的真实性，采购人也可根据设备制造厂商官方网站资料以证明投标人产品的技术指标参数和具体配置情况的真实性。若投标文件中最新技术支持资料参数与技术规格偏离表应答不符或无技术资料应答，而投标人又未在投标文件中作出说明和解释的，视为不响应该条技术参数要求。</w:t>
            </w:r>
            <w:bookmarkEnd w:id="2"/>
          </w:p>
        </w:tc>
      </w:tr>
      <w:tr w14:paraId="5963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70" w:type="dxa"/>
            <w:vMerge w:val="restart"/>
            <w:vAlign w:val="center"/>
          </w:tcPr>
          <w:p w14:paraId="759BAC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3</w:t>
            </w:r>
          </w:p>
        </w:tc>
        <w:tc>
          <w:tcPr>
            <w:tcW w:w="990" w:type="dxa"/>
            <w:vMerge w:val="restart"/>
            <w:vAlign w:val="center"/>
          </w:tcPr>
          <w:p w14:paraId="33DB62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b/>
                <w:bCs/>
              </w:rPr>
              <w:t>售后服务方案</w:t>
            </w:r>
            <w:r>
              <w:rPr>
                <w:rFonts w:hint="eastAsia"/>
                <w:b/>
                <w:bCs/>
                <w:lang w:eastAsia="zh-CN"/>
              </w:rPr>
              <w:t>（</w:t>
            </w:r>
            <w:r>
              <w:rPr>
                <w:rFonts w:hint="eastAsia"/>
                <w:b/>
                <w:bCs/>
                <w:lang w:val="en-US" w:eastAsia="zh-CN"/>
              </w:rPr>
              <w:t>12分）</w:t>
            </w:r>
          </w:p>
        </w:tc>
        <w:tc>
          <w:tcPr>
            <w:tcW w:w="7026" w:type="dxa"/>
            <w:vAlign w:val="center"/>
          </w:tcPr>
          <w:p w14:paraId="4C40B8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一档</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12分）</w:t>
            </w:r>
            <w:r>
              <w:rPr>
                <w:rFonts w:hint="eastAsia" w:ascii="宋体" w:hAnsi="宋体" w:eastAsia="宋体" w:cs="宋体"/>
                <w:color w:val="auto"/>
                <w:sz w:val="21"/>
                <w:szCs w:val="21"/>
                <w:highlight w:val="none"/>
              </w:rPr>
              <w:t>：售后服务能力强，售后服务体系完整度高，保障性强，售后服务方案、承诺及保证完善具体，针对性强，有相应惩罚措施</w:t>
            </w:r>
            <w:r>
              <w:rPr>
                <w:rFonts w:hint="eastAsia" w:ascii="宋体" w:hAnsi="宋体" w:cs="宋体"/>
                <w:color w:val="auto"/>
                <w:sz w:val="21"/>
                <w:szCs w:val="21"/>
                <w:highlight w:val="none"/>
                <w:lang w:eastAsia="zh-CN"/>
              </w:rPr>
              <w:t>。</w:t>
            </w:r>
          </w:p>
        </w:tc>
      </w:tr>
      <w:tr w14:paraId="2866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70" w:type="dxa"/>
            <w:vMerge w:val="continue"/>
            <w:vAlign w:val="center"/>
          </w:tcPr>
          <w:p w14:paraId="0E1852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sz w:val="21"/>
                <w:szCs w:val="21"/>
                <w:highlight w:val="none"/>
              </w:rPr>
            </w:pPr>
          </w:p>
        </w:tc>
        <w:tc>
          <w:tcPr>
            <w:tcW w:w="990" w:type="dxa"/>
            <w:vMerge w:val="continue"/>
            <w:vAlign w:val="center"/>
          </w:tcPr>
          <w:p w14:paraId="1E8E40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宋体" w:hAnsi="宋体" w:eastAsia="宋体" w:cs="宋体"/>
                <w:b/>
                <w:bCs/>
                <w:sz w:val="21"/>
                <w:szCs w:val="21"/>
                <w:highlight w:val="none"/>
              </w:rPr>
            </w:pPr>
          </w:p>
        </w:tc>
        <w:tc>
          <w:tcPr>
            <w:tcW w:w="7026" w:type="dxa"/>
            <w:vAlign w:val="center"/>
          </w:tcPr>
          <w:p w14:paraId="548ED0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二档（8分）</w:t>
            </w:r>
            <w:r>
              <w:rPr>
                <w:rFonts w:hint="eastAsia" w:ascii="宋体" w:hAnsi="宋体" w:eastAsia="宋体" w:cs="宋体"/>
                <w:color w:val="auto"/>
                <w:sz w:val="21"/>
                <w:szCs w:val="21"/>
                <w:highlight w:val="none"/>
                <w:lang w:val="en-US" w:eastAsia="zh-CN" w:bidi="ar-SA"/>
              </w:rPr>
              <w:t>：售后服务能力较强，售后服务体系完整度及保障性较好，售后服务方案、承诺及保证具体可行，有针对性，有相应惩罚措施</w:t>
            </w:r>
            <w:r>
              <w:rPr>
                <w:rFonts w:hint="eastAsia" w:ascii="宋体" w:hAnsi="宋体" w:cs="宋体"/>
                <w:color w:val="auto"/>
                <w:sz w:val="21"/>
                <w:szCs w:val="21"/>
                <w:highlight w:val="none"/>
                <w:lang w:val="en-US" w:eastAsia="zh-CN" w:bidi="ar-SA"/>
              </w:rPr>
              <w:t>。</w:t>
            </w:r>
          </w:p>
        </w:tc>
      </w:tr>
      <w:tr w14:paraId="787F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70" w:type="dxa"/>
            <w:vMerge w:val="continue"/>
            <w:vAlign w:val="center"/>
          </w:tcPr>
          <w:p w14:paraId="57155A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sz w:val="21"/>
                <w:szCs w:val="21"/>
                <w:highlight w:val="none"/>
              </w:rPr>
            </w:pPr>
          </w:p>
        </w:tc>
        <w:tc>
          <w:tcPr>
            <w:tcW w:w="990" w:type="dxa"/>
            <w:vMerge w:val="continue"/>
            <w:vAlign w:val="center"/>
          </w:tcPr>
          <w:p w14:paraId="1610ED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宋体" w:hAnsi="宋体" w:eastAsia="宋体" w:cs="宋体"/>
                <w:b/>
                <w:bCs/>
                <w:sz w:val="21"/>
                <w:szCs w:val="21"/>
                <w:highlight w:val="none"/>
              </w:rPr>
            </w:pPr>
          </w:p>
        </w:tc>
        <w:tc>
          <w:tcPr>
            <w:tcW w:w="7026" w:type="dxa"/>
            <w:vAlign w:val="center"/>
          </w:tcPr>
          <w:p w14:paraId="3B21C9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三档（4分）</w:t>
            </w:r>
            <w:r>
              <w:rPr>
                <w:rFonts w:hint="eastAsia" w:ascii="宋体" w:hAnsi="宋体" w:eastAsia="宋体" w:cs="宋体"/>
                <w:color w:val="auto"/>
                <w:sz w:val="21"/>
                <w:szCs w:val="21"/>
                <w:highlight w:val="none"/>
                <w:lang w:val="en-US" w:eastAsia="zh-CN" w:bidi="ar-SA"/>
              </w:rPr>
              <w:t>：售后服务能力欠佳，售后服务体系完整度及保障性描述简单，售后服务方案、承诺及保证可行，有一定针对性</w:t>
            </w:r>
            <w:r>
              <w:rPr>
                <w:rFonts w:hint="eastAsia" w:ascii="宋体" w:hAnsi="宋体" w:cs="宋体"/>
                <w:color w:val="auto"/>
                <w:sz w:val="21"/>
                <w:szCs w:val="21"/>
                <w:highlight w:val="none"/>
                <w:lang w:val="en-US" w:eastAsia="zh-CN" w:bidi="ar-SA"/>
              </w:rPr>
              <w:t>。</w:t>
            </w:r>
          </w:p>
        </w:tc>
      </w:tr>
      <w:tr w14:paraId="02CF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70" w:type="dxa"/>
            <w:vMerge w:val="continue"/>
            <w:vAlign w:val="center"/>
          </w:tcPr>
          <w:p w14:paraId="107010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sz w:val="21"/>
                <w:szCs w:val="21"/>
                <w:highlight w:val="none"/>
              </w:rPr>
            </w:pPr>
          </w:p>
        </w:tc>
        <w:tc>
          <w:tcPr>
            <w:tcW w:w="990" w:type="dxa"/>
            <w:vMerge w:val="continue"/>
            <w:vAlign w:val="center"/>
          </w:tcPr>
          <w:p w14:paraId="2820FC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宋体" w:hAnsi="宋体" w:eastAsia="宋体" w:cs="宋体"/>
                <w:b/>
                <w:bCs/>
                <w:sz w:val="21"/>
                <w:szCs w:val="21"/>
                <w:highlight w:val="none"/>
              </w:rPr>
            </w:pPr>
          </w:p>
        </w:tc>
        <w:tc>
          <w:tcPr>
            <w:tcW w:w="7026" w:type="dxa"/>
            <w:vAlign w:val="center"/>
          </w:tcPr>
          <w:p w14:paraId="037CAB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bidi="ar-SA"/>
              </w:rPr>
            </w:pPr>
            <w:r>
              <w:rPr>
                <w:rFonts w:hint="eastAsia" w:cs="宋体"/>
                <w:lang w:val="en-US" w:eastAsia="zh-CN"/>
              </w:rPr>
              <w:t>四档（1分）：</w:t>
            </w:r>
            <w:r>
              <w:rPr>
                <w:rFonts w:hint="eastAsia" w:cs="宋体"/>
              </w:rPr>
              <w:t>售后服务方案不完整、几乎没有保障性。</w:t>
            </w:r>
          </w:p>
        </w:tc>
      </w:tr>
      <w:tr w14:paraId="59B9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70" w:type="dxa"/>
            <w:vMerge w:val="restart"/>
            <w:vAlign w:val="center"/>
          </w:tcPr>
          <w:p w14:paraId="0568BC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4</w:t>
            </w:r>
          </w:p>
        </w:tc>
        <w:tc>
          <w:tcPr>
            <w:tcW w:w="990" w:type="dxa"/>
            <w:vMerge w:val="restart"/>
            <w:vAlign w:val="center"/>
          </w:tcPr>
          <w:p w14:paraId="30FB47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default" w:ascii="宋体" w:hAnsi="宋体" w:eastAsia="宋体" w:cs="宋体"/>
                <w:b/>
                <w:bCs/>
                <w:sz w:val="21"/>
                <w:szCs w:val="21"/>
                <w:highlight w:val="none"/>
                <w:lang w:val="en-US" w:eastAsia="zh-CN"/>
              </w:rPr>
            </w:pPr>
            <w:r>
              <w:rPr>
                <w:rFonts w:hint="eastAsia"/>
                <w:b/>
                <w:bCs/>
                <w:lang w:val="en-US" w:eastAsia="zh-CN"/>
              </w:rPr>
              <w:t>交付</w:t>
            </w:r>
            <w:r>
              <w:rPr>
                <w:rFonts w:hint="eastAsia"/>
                <w:b/>
                <w:bCs/>
              </w:rPr>
              <w:t>方案及时间进度计划安排</w:t>
            </w:r>
            <w:r>
              <w:rPr>
                <w:rFonts w:hint="eastAsia"/>
                <w:b/>
                <w:bCs/>
                <w:lang w:eastAsia="zh-CN"/>
              </w:rPr>
              <w:t>（</w:t>
            </w:r>
            <w:r>
              <w:rPr>
                <w:rFonts w:hint="eastAsia"/>
                <w:b/>
                <w:bCs/>
                <w:lang w:val="en-US" w:eastAsia="zh-CN"/>
              </w:rPr>
              <w:t>10分）</w:t>
            </w:r>
          </w:p>
        </w:tc>
        <w:tc>
          <w:tcPr>
            <w:tcW w:w="7026" w:type="dxa"/>
            <w:vAlign w:val="center"/>
          </w:tcPr>
          <w:p w14:paraId="5F3372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s="宋体"/>
                <w:lang w:val="en-US" w:eastAsia="zh-CN"/>
              </w:rPr>
            </w:pPr>
            <w:r>
              <w:rPr>
                <w:rFonts w:hint="eastAsia" w:cs="宋体"/>
                <w:lang w:val="en-US" w:eastAsia="zh-CN"/>
              </w:rPr>
              <w:t>一档（10分）：软件（系统）交付方案及时间进度安排具体、切实可行、科学规范、针对性强；</w:t>
            </w:r>
          </w:p>
        </w:tc>
      </w:tr>
      <w:tr w14:paraId="7863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70" w:type="dxa"/>
            <w:vMerge w:val="continue"/>
            <w:vAlign w:val="center"/>
          </w:tcPr>
          <w:p w14:paraId="5030F0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cs="宋体"/>
                <w:b/>
                <w:bCs/>
                <w:sz w:val="21"/>
                <w:szCs w:val="21"/>
                <w:highlight w:val="none"/>
                <w:lang w:val="en-US" w:eastAsia="zh-CN"/>
              </w:rPr>
            </w:pPr>
          </w:p>
        </w:tc>
        <w:tc>
          <w:tcPr>
            <w:tcW w:w="990" w:type="dxa"/>
            <w:vMerge w:val="continue"/>
            <w:vAlign w:val="center"/>
          </w:tcPr>
          <w:p w14:paraId="5962E6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b/>
                <w:bCs/>
              </w:rPr>
            </w:pPr>
          </w:p>
        </w:tc>
        <w:tc>
          <w:tcPr>
            <w:tcW w:w="7026" w:type="dxa"/>
            <w:vAlign w:val="center"/>
          </w:tcPr>
          <w:p w14:paraId="7F30F0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s="宋体"/>
                <w:lang w:val="en-US" w:eastAsia="zh-CN"/>
              </w:rPr>
            </w:pPr>
            <w:r>
              <w:rPr>
                <w:rFonts w:hint="eastAsia" w:cs="宋体"/>
                <w:lang w:val="en-US" w:eastAsia="zh-CN"/>
              </w:rPr>
              <w:t>二档（6分）：软件（系统）交付方案及时间进度安排内容完整、交付安排较合理、切实可行、科学规范、有针对性；</w:t>
            </w:r>
          </w:p>
        </w:tc>
      </w:tr>
      <w:tr w14:paraId="07DA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70" w:type="dxa"/>
            <w:vMerge w:val="continue"/>
            <w:vAlign w:val="center"/>
          </w:tcPr>
          <w:p w14:paraId="46ACE7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cs="宋体"/>
                <w:b/>
                <w:bCs/>
                <w:sz w:val="21"/>
                <w:szCs w:val="21"/>
                <w:highlight w:val="none"/>
                <w:lang w:val="en-US" w:eastAsia="zh-CN"/>
              </w:rPr>
            </w:pPr>
          </w:p>
        </w:tc>
        <w:tc>
          <w:tcPr>
            <w:tcW w:w="990" w:type="dxa"/>
            <w:vMerge w:val="continue"/>
            <w:vAlign w:val="center"/>
          </w:tcPr>
          <w:p w14:paraId="2C4AA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b/>
                <w:bCs/>
              </w:rPr>
            </w:pPr>
          </w:p>
        </w:tc>
        <w:tc>
          <w:tcPr>
            <w:tcW w:w="7026" w:type="dxa"/>
            <w:vAlign w:val="center"/>
          </w:tcPr>
          <w:p w14:paraId="3DC1A0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s="宋体"/>
                <w:lang w:val="en-US" w:eastAsia="zh-CN"/>
              </w:rPr>
            </w:pPr>
            <w:r>
              <w:rPr>
                <w:rFonts w:hint="eastAsia" w:cs="宋体"/>
                <w:lang w:val="en-US" w:eastAsia="zh-CN"/>
              </w:rPr>
              <w:t>三档（3分）：软件（系统）交付方案及时间进度安排合理、有针对性；</w:t>
            </w:r>
          </w:p>
        </w:tc>
      </w:tr>
      <w:tr w14:paraId="3969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70" w:type="dxa"/>
            <w:vMerge w:val="continue"/>
            <w:vAlign w:val="center"/>
          </w:tcPr>
          <w:p w14:paraId="7E3447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cs="宋体"/>
                <w:b/>
                <w:bCs/>
                <w:sz w:val="21"/>
                <w:szCs w:val="21"/>
                <w:highlight w:val="none"/>
                <w:lang w:val="en-US" w:eastAsia="zh-CN"/>
              </w:rPr>
            </w:pPr>
          </w:p>
        </w:tc>
        <w:tc>
          <w:tcPr>
            <w:tcW w:w="990" w:type="dxa"/>
            <w:vMerge w:val="continue"/>
            <w:vAlign w:val="center"/>
          </w:tcPr>
          <w:p w14:paraId="3E4BE5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b/>
                <w:bCs/>
              </w:rPr>
            </w:pPr>
          </w:p>
        </w:tc>
        <w:tc>
          <w:tcPr>
            <w:tcW w:w="7026" w:type="dxa"/>
            <w:vAlign w:val="center"/>
          </w:tcPr>
          <w:p w14:paraId="600D24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s="宋体"/>
                <w:lang w:val="en-US" w:eastAsia="zh-CN"/>
              </w:rPr>
            </w:pPr>
            <w:r>
              <w:rPr>
                <w:rFonts w:hint="eastAsia" w:cs="宋体"/>
                <w:lang w:val="en-US" w:eastAsia="zh-CN"/>
              </w:rPr>
              <w:t>四档（1分）：软件（系统）交付方案及时间进度安排不合理，内容简单。</w:t>
            </w:r>
          </w:p>
        </w:tc>
      </w:tr>
      <w:tr w14:paraId="7F94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70" w:type="dxa"/>
            <w:vAlign w:val="center"/>
          </w:tcPr>
          <w:p w14:paraId="3AD13F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5</w:t>
            </w:r>
          </w:p>
        </w:tc>
        <w:tc>
          <w:tcPr>
            <w:tcW w:w="990" w:type="dxa"/>
            <w:vAlign w:val="center"/>
          </w:tcPr>
          <w:p w14:paraId="3AD957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default" w:eastAsia="宋体"/>
                <w:b/>
                <w:bCs/>
                <w:lang w:val="en-US" w:eastAsia="zh-CN"/>
              </w:rPr>
            </w:pPr>
            <w:r>
              <w:rPr>
                <w:rFonts w:hint="eastAsia"/>
                <w:b/>
                <w:bCs/>
              </w:rPr>
              <w:t>类似业绩</w:t>
            </w:r>
            <w:r>
              <w:rPr>
                <w:rFonts w:hint="eastAsia"/>
                <w:b/>
                <w:bCs/>
                <w:lang w:eastAsia="zh-CN"/>
              </w:rPr>
              <w:t>（</w:t>
            </w:r>
            <w:r>
              <w:rPr>
                <w:rFonts w:hint="eastAsia"/>
                <w:b/>
                <w:bCs/>
                <w:lang w:val="en-US" w:eastAsia="zh-CN"/>
              </w:rPr>
              <w:t>3分）</w:t>
            </w:r>
          </w:p>
        </w:tc>
        <w:tc>
          <w:tcPr>
            <w:tcW w:w="7026" w:type="dxa"/>
            <w:vAlign w:val="center"/>
          </w:tcPr>
          <w:p w14:paraId="306222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s="宋体"/>
                <w:lang w:val="en-US" w:eastAsia="zh-CN"/>
              </w:rPr>
            </w:pPr>
            <w:r>
              <w:rPr>
                <w:rFonts w:hint="eastAsia" w:cs="宋体"/>
                <w:lang w:val="en-US" w:eastAsia="zh-CN"/>
              </w:rPr>
              <w:t>投标人自2023年1月1日以来每承担过1个类似业绩的，得1分，满分3分（提供中标（成交）通知书或合同协议书的复印件作为证明材料）。</w:t>
            </w:r>
          </w:p>
        </w:tc>
      </w:tr>
      <w:tr w14:paraId="3CF5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60" w:type="dxa"/>
            <w:gridSpan w:val="2"/>
            <w:vAlign w:val="center"/>
          </w:tcPr>
          <w:p w14:paraId="24D20D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总分</w:t>
            </w:r>
          </w:p>
        </w:tc>
        <w:tc>
          <w:tcPr>
            <w:tcW w:w="7026" w:type="dxa"/>
            <w:vAlign w:val="center"/>
          </w:tcPr>
          <w:p w14:paraId="246997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100分</w:t>
            </w:r>
          </w:p>
        </w:tc>
      </w:tr>
    </w:tbl>
    <w:p w14:paraId="0D0322EB">
      <w:pPr>
        <w:pStyle w:val="2"/>
        <w:spacing w:line="400" w:lineRule="exact"/>
        <w:jc w:val="center"/>
        <w:rPr>
          <w:rFonts w:hint="eastAsia"/>
          <w:sz w:val="30"/>
          <w:szCs w:val="30"/>
        </w:rPr>
      </w:pPr>
    </w:p>
    <w:p w14:paraId="5033F1AA">
      <w:pPr>
        <w:pStyle w:val="2"/>
        <w:spacing w:line="400" w:lineRule="exact"/>
        <w:jc w:val="center"/>
        <w:rPr>
          <w:rFonts w:hint="eastAsia"/>
          <w:sz w:val="30"/>
          <w:szCs w:val="30"/>
        </w:rPr>
      </w:pPr>
    </w:p>
    <w:p w14:paraId="01DE3EC3">
      <w:pPr>
        <w:pStyle w:val="2"/>
        <w:spacing w:line="400" w:lineRule="exact"/>
        <w:jc w:val="center"/>
        <w:rPr>
          <w:rFonts w:hint="eastAsia"/>
          <w:sz w:val="30"/>
          <w:szCs w:val="30"/>
        </w:rPr>
      </w:pPr>
    </w:p>
    <w:p w14:paraId="6D6BFA44">
      <w:pPr>
        <w:pStyle w:val="2"/>
        <w:spacing w:line="400" w:lineRule="exact"/>
        <w:jc w:val="center"/>
        <w:rPr>
          <w:rFonts w:hint="eastAsia"/>
          <w:sz w:val="30"/>
          <w:szCs w:val="30"/>
        </w:rPr>
      </w:pPr>
    </w:p>
    <w:p w14:paraId="5EC80884">
      <w:pPr>
        <w:pStyle w:val="2"/>
        <w:spacing w:line="400" w:lineRule="exact"/>
        <w:jc w:val="center"/>
        <w:rPr>
          <w:rFonts w:hint="eastAsia"/>
          <w:sz w:val="30"/>
          <w:szCs w:val="30"/>
        </w:rPr>
      </w:pPr>
    </w:p>
    <w:p w14:paraId="6EA0FDCD">
      <w:pPr>
        <w:pStyle w:val="2"/>
        <w:spacing w:line="400" w:lineRule="exact"/>
        <w:jc w:val="center"/>
        <w:rPr>
          <w:rFonts w:hint="eastAsia"/>
          <w:sz w:val="30"/>
          <w:szCs w:val="30"/>
        </w:rPr>
      </w:pPr>
    </w:p>
    <w:p w14:paraId="59D1C89E">
      <w:pPr>
        <w:pStyle w:val="2"/>
        <w:spacing w:line="400" w:lineRule="exact"/>
        <w:jc w:val="center"/>
        <w:rPr>
          <w:rFonts w:hint="eastAsia"/>
          <w:sz w:val="30"/>
          <w:szCs w:val="30"/>
        </w:rPr>
      </w:pPr>
    </w:p>
    <w:p w14:paraId="0544EE1D">
      <w:pPr>
        <w:pStyle w:val="2"/>
        <w:spacing w:line="400" w:lineRule="exact"/>
        <w:jc w:val="center"/>
        <w:rPr>
          <w:rFonts w:hint="eastAsia"/>
          <w:sz w:val="30"/>
          <w:szCs w:val="30"/>
        </w:rPr>
      </w:pPr>
    </w:p>
    <w:p w14:paraId="3615AE6A">
      <w:pPr>
        <w:pStyle w:val="2"/>
        <w:spacing w:line="400" w:lineRule="exact"/>
        <w:jc w:val="center"/>
        <w:rPr>
          <w:rFonts w:hint="eastAsia"/>
          <w:sz w:val="30"/>
          <w:szCs w:val="30"/>
        </w:rPr>
      </w:pPr>
    </w:p>
    <w:p w14:paraId="34B4FCBD">
      <w:pPr>
        <w:pStyle w:val="2"/>
        <w:spacing w:line="400" w:lineRule="exact"/>
        <w:jc w:val="center"/>
        <w:rPr>
          <w:rFonts w:hint="eastAsia"/>
          <w:sz w:val="30"/>
          <w:szCs w:val="30"/>
        </w:rPr>
      </w:pPr>
    </w:p>
    <w:p w14:paraId="16A5EA6C">
      <w:pPr>
        <w:pStyle w:val="2"/>
        <w:spacing w:line="400" w:lineRule="exact"/>
        <w:jc w:val="center"/>
        <w:rPr>
          <w:rFonts w:hint="eastAsia"/>
          <w:sz w:val="30"/>
          <w:szCs w:val="30"/>
        </w:rPr>
      </w:pPr>
    </w:p>
    <w:p w14:paraId="07E11F6B">
      <w:pPr>
        <w:pStyle w:val="2"/>
        <w:spacing w:line="400" w:lineRule="exact"/>
        <w:jc w:val="center"/>
        <w:rPr>
          <w:rFonts w:hint="eastAsia"/>
          <w:sz w:val="30"/>
          <w:szCs w:val="30"/>
        </w:rPr>
      </w:pPr>
    </w:p>
    <w:p w14:paraId="5130E205">
      <w:pPr>
        <w:rPr>
          <w:rFonts w:hint="eastAsia"/>
          <w:sz w:val="30"/>
          <w:szCs w:val="30"/>
        </w:rPr>
      </w:pPr>
    </w:p>
    <w:p w14:paraId="45D7732F">
      <w:pPr>
        <w:pStyle w:val="17"/>
        <w:rPr>
          <w:rFonts w:hint="eastAsia"/>
        </w:rPr>
      </w:pPr>
    </w:p>
    <w:p w14:paraId="3C235E08">
      <w:pPr>
        <w:pStyle w:val="2"/>
        <w:spacing w:line="400" w:lineRule="exact"/>
        <w:jc w:val="center"/>
        <w:rPr>
          <w:rFonts w:hint="eastAsia"/>
          <w:sz w:val="30"/>
          <w:szCs w:val="30"/>
        </w:rPr>
      </w:pPr>
    </w:p>
    <w:p w14:paraId="3400B984">
      <w:pPr>
        <w:pStyle w:val="2"/>
        <w:spacing w:line="400" w:lineRule="exact"/>
        <w:jc w:val="center"/>
        <w:rPr>
          <w:rFonts w:hint="eastAsia"/>
          <w:sz w:val="30"/>
          <w:szCs w:val="30"/>
        </w:rPr>
      </w:pPr>
    </w:p>
    <w:p w14:paraId="4FC14E21">
      <w:pPr>
        <w:pStyle w:val="2"/>
        <w:spacing w:line="400" w:lineRule="exact"/>
        <w:jc w:val="center"/>
        <w:rPr>
          <w:rFonts w:hint="eastAsia"/>
          <w:sz w:val="30"/>
          <w:szCs w:val="30"/>
        </w:rPr>
      </w:pPr>
    </w:p>
    <w:p w14:paraId="31C5C9B0">
      <w:pPr>
        <w:rPr>
          <w:rFonts w:hint="eastAsia"/>
        </w:rPr>
      </w:pPr>
    </w:p>
    <w:p w14:paraId="429C66F8">
      <w:pPr>
        <w:pStyle w:val="2"/>
        <w:spacing w:line="400" w:lineRule="exact"/>
        <w:jc w:val="center"/>
        <w:rPr>
          <w:sz w:val="30"/>
          <w:szCs w:val="30"/>
        </w:rPr>
      </w:pPr>
      <w:r>
        <w:rPr>
          <w:rFonts w:hint="eastAsia"/>
          <w:sz w:val="30"/>
          <w:szCs w:val="30"/>
        </w:rPr>
        <w:t>第四章  投标文件格式</w:t>
      </w:r>
    </w:p>
    <w:p w14:paraId="052715D5">
      <w:pPr>
        <w:spacing w:line="400" w:lineRule="exact"/>
        <w:jc w:val="center"/>
        <w:rPr>
          <w:rFonts w:ascii="宋体" w:hAnsi="宋体" w:cs="宋体"/>
          <w:b/>
          <w:sz w:val="30"/>
          <w:szCs w:val="30"/>
        </w:rPr>
      </w:pPr>
      <w:r>
        <w:rPr>
          <w:rFonts w:hint="eastAsia" w:ascii="宋体" w:hAnsi="宋体" w:cs="宋体"/>
          <w:b/>
          <w:sz w:val="30"/>
          <w:szCs w:val="30"/>
        </w:rPr>
        <w:t>投  标  函 （格式）</w:t>
      </w:r>
    </w:p>
    <w:p w14:paraId="477D48C5">
      <w:pPr>
        <w:spacing w:line="400" w:lineRule="exact"/>
        <w:ind w:firstLine="480" w:firstLineChars="200"/>
        <w:jc w:val="lef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：桂林市人民医院   </w:t>
      </w:r>
    </w:p>
    <w:p w14:paraId="2C5D96D8">
      <w:pPr>
        <w:pStyle w:val="11"/>
        <w:spacing w:line="400" w:lineRule="exact"/>
        <w:ind w:firstLine="420"/>
        <w:rPr>
          <w:rFonts w:hAnsi="宋体"/>
          <w:sz w:val="24"/>
          <w:szCs w:val="24"/>
        </w:rPr>
      </w:pPr>
      <w:r>
        <w:rPr>
          <w:rFonts w:hint="eastAsia" w:hAnsi="宋体"/>
          <w:sz w:val="24"/>
          <w:szCs w:val="24"/>
        </w:rPr>
        <w:t>根据贵方</w:t>
      </w:r>
      <w:r>
        <w:rPr>
          <w:rFonts w:hint="eastAsia" w:hAnsi="宋体"/>
          <w:sz w:val="24"/>
          <w:szCs w:val="24"/>
          <w:u w:val="single"/>
        </w:rPr>
        <w:t xml:space="preserve">           </w:t>
      </w:r>
      <w:r>
        <w:rPr>
          <w:rFonts w:hint="eastAsia" w:hAnsi="宋体"/>
          <w:sz w:val="24"/>
          <w:szCs w:val="24"/>
        </w:rPr>
        <w:t>项目招标文件，项目编号</w:t>
      </w:r>
      <w:r>
        <w:rPr>
          <w:rFonts w:hint="eastAsia" w:hAnsi="宋体"/>
          <w:sz w:val="24"/>
          <w:szCs w:val="24"/>
          <w:u w:val="single"/>
        </w:rPr>
        <w:t xml:space="preserve">            </w:t>
      </w:r>
      <w:r>
        <w:rPr>
          <w:rFonts w:hint="eastAsia" w:hAnsi="宋体"/>
          <w:sz w:val="24"/>
          <w:szCs w:val="24"/>
        </w:rPr>
        <w:t>，签字代表</w:t>
      </w:r>
      <w:r>
        <w:rPr>
          <w:rFonts w:hint="eastAsia" w:hAnsi="宋体"/>
          <w:sz w:val="24"/>
          <w:szCs w:val="24"/>
          <w:u w:val="single"/>
        </w:rPr>
        <w:t xml:space="preserve">         </w:t>
      </w:r>
      <w:r>
        <w:rPr>
          <w:rFonts w:hint="eastAsia" w:hAnsi="宋体"/>
          <w:sz w:val="24"/>
          <w:szCs w:val="24"/>
        </w:rPr>
        <w:t xml:space="preserve">（姓名）经正式授权并代表投标人 </w:t>
      </w:r>
      <w:r>
        <w:rPr>
          <w:rFonts w:hint="eastAsia" w:hAnsi="宋体"/>
          <w:sz w:val="24"/>
          <w:szCs w:val="24"/>
          <w:u w:val="single"/>
        </w:rPr>
        <w:t xml:space="preserve">                                   （</w:t>
      </w:r>
      <w:r>
        <w:rPr>
          <w:rFonts w:hint="eastAsia" w:hAnsi="宋体"/>
          <w:sz w:val="24"/>
          <w:szCs w:val="24"/>
        </w:rPr>
        <w:t>投标单位名称），提交投标文件</w:t>
      </w:r>
      <w:r>
        <w:rPr>
          <w:rFonts w:hint="eastAsia" w:hAnsi="宋体" w:cs="宋体"/>
          <w:sz w:val="24"/>
          <w:szCs w:val="24"/>
        </w:rPr>
        <w:t>正本一份，副本六份。</w:t>
      </w:r>
    </w:p>
    <w:p w14:paraId="1D7097D0">
      <w:pPr>
        <w:pStyle w:val="11"/>
        <w:spacing w:line="400" w:lineRule="exact"/>
        <w:ind w:firstLine="420"/>
        <w:rPr>
          <w:rFonts w:hAnsi="宋体"/>
          <w:sz w:val="24"/>
          <w:szCs w:val="24"/>
        </w:rPr>
      </w:pPr>
      <w:r>
        <w:rPr>
          <w:rFonts w:hint="eastAsia" w:hAnsi="宋体"/>
          <w:sz w:val="24"/>
          <w:szCs w:val="24"/>
        </w:rPr>
        <w:t>据此函，签字代表宣布同意如下：</w:t>
      </w:r>
    </w:p>
    <w:p w14:paraId="037CDB03">
      <w:pPr>
        <w:widowControl/>
        <w:numPr>
          <w:ilvl w:val="0"/>
          <w:numId w:val="1"/>
        </w:numPr>
        <w:spacing w:line="400" w:lineRule="exact"/>
        <w:jc w:val="left"/>
        <w:rPr>
          <w:rFonts w:ascii="宋体" w:hAnsi="宋体" w:cs="宋体"/>
          <w:szCs w:val="21"/>
        </w:rPr>
      </w:pPr>
      <w:r>
        <w:rPr>
          <w:rFonts w:hint="eastAsia" w:ascii="宋体" w:hAnsi="宋体" w:cs="宋体"/>
          <w:kern w:val="0"/>
          <w:sz w:val="24"/>
        </w:rPr>
        <w:t>一、</w:t>
      </w:r>
      <w:r>
        <w:rPr>
          <w:rFonts w:hint="eastAsia" w:hAnsi="宋体"/>
          <w:szCs w:val="21"/>
        </w:rPr>
        <w:t>报价表</w:t>
      </w:r>
      <w:r>
        <w:rPr>
          <w:rFonts w:hint="eastAsia" w:ascii="宋体" w:hAnsi="宋体" w:cs="宋体"/>
          <w:szCs w:val="21"/>
        </w:rPr>
        <w:t>（单位：人民币  元）</w:t>
      </w:r>
    </w:p>
    <w:tbl>
      <w:tblPr>
        <w:tblStyle w:val="20"/>
        <w:tblW w:w="99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1"/>
        <w:gridCol w:w="4245"/>
        <w:gridCol w:w="1095"/>
        <w:gridCol w:w="915"/>
        <w:gridCol w:w="1740"/>
        <w:gridCol w:w="1287"/>
      </w:tblGrid>
      <w:tr w14:paraId="502CC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25A2D9A3">
            <w:pPr>
              <w:spacing w:line="440" w:lineRule="exact"/>
              <w:jc w:val="center"/>
              <w:rPr>
                <w:rFonts w:ascii="宋体" w:hAnsi="宋体"/>
              </w:rPr>
            </w:pPr>
            <w:r>
              <w:rPr>
                <w:rFonts w:hint="eastAsia" w:ascii="宋体" w:hAnsi="宋体"/>
              </w:rPr>
              <w:t>项号</w:t>
            </w:r>
          </w:p>
        </w:tc>
        <w:tc>
          <w:tcPr>
            <w:tcW w:w="4245" w:type="dxa"/>
            <w:tcBorders>
              <w:top w:val="single" w:color="auto" w:sz="4" w:space="0"/>
              <w:left w:val="single" w:color="auto" w:sz="4" w:space="0"/>
              <w:bottom w:val="single" w:color="auto" w:sz="4" w:space="0"/>
              <w:right w:val="single" w:color="auto" w:sz="4" w:space="0"/>
            </w:tcBorders>
            <w:vAlign w:val="center"/>
          </w:tcPr>
          <w:p w14:paraId="24862D8B">
            <w:pPr>
              <w:spacing w:line="440" w:lineRule="exact"/>
              <w:jc w:val="center"/>
              <w:rPr>
                <w:rFonts w:ascii="宋体" w:hAnsi="宋体"/>
              </w:rPr>
            </w:pPr>
            <w:r>
              <w:rPr>
                <w:rFonts w:hint="eastAsia" w:ascii="宋体" w:hAnsi="宋体"/>
              </w:rPr>
              <w:t>项目名称</w:t>
            </w:r>
          </w:p>
        </w:tc>
        <w:tc>
          <w:tcPr>
            <w:tcW w:w="1095" w:type="dxa"/>
            <w:tcBorders>
              <w:top w:val="single" w:color="auto" w:sz="4" w:space="0"/>
              <w:left w:val="single" w:color="auto" w:sz="4" w:space="0"/>
              <w:bottom w:val="single" w:color="auto" w:sz="4" w:space="0"/>
              <w:right w:val="single" w:color="auto" w:sz="4" w:space="0"/>
            </w:tcBorders>
            <w:vAlign w:val="center"/>
          </w:tcPr>
          <w:p w14:paraId="5BA05DEE">
            <w:pPr>
              <w:spacing w:line="440" w:lineRule="exact"/>
              <w:jc w:val="center"/>
              <w:rPr>
                <w:rFonts w:ascii="宋体" w:hAnsi="宋体"/>
              </w:rPr>
            </w:pPr>
            <w:r>
              <w:rPr>
                <w:rFonts w:hint="eastAsia" w:ascii="宋体" w:hAnsi="宋体"/>
              </w:rPr>
              <w:t>数量</w:t>
            </w:r>
          </w:p>
        </w:tc>
        <w:tc>
          <w:tcPr>
            <w:tcW w:w="915" w:type="dxa"/>
            <w:tcBorders>
              <w:top w:val="single" w:color="auto" w:sz="4" w:space="0"/>
              <w:left w:val="single" w:color="auto" w:sz="4" w:space="0"/>
              <w:bottom w:val="single" w:color="auto" w:sz="4" w:space="0"/>
              <w:right w:val="single" w:color="auto" w:sz="4" w:space="0"/>
            </w:tcBorders>
            <w:vAlign w:val="center"/>
          </w:tcPr>
          <w:p w14:paraId="4D67F88D">
            <w:pPr>
              <w:spacing w:line="440" w:lineRule="exact"/>
              <w:jc w:val="center"/>
              <w:rPr>
                <w:rFonts w:ascii="宋体" w:hAnsi="宋体"/>
              </w:rPr>
            </w:pPr>
            <w:r>
              <w:rPr>
                <w:rFonts w:hint="eastAsia" w:ascii="宋体" w:hAnsi="宋体"/>
              </w:rPr>
              <w:t>单位</w:t>
            </w:r>
          </w:p>
        </w:tc>
        <w:tc>
          <w:tcPr>
            <w:tcW w:w="1740" w:type="dxa"/>
            <w:tcBorders>
              <w:top w:val="single" w:color="auto" w:sz="4" w:space="0"/>
              <w:left w:val="single" w:color="auto" w:sz="4" w:space="0"/>
              <w:bottom w:val="single" w:color="auto" w:sz="4" w:space="0"/>
            </w:tcBorders>
            <w:vAlign w:val="center"/>
          </w:tcPr>
          <w:p w14:paraId="2D913216">
            <w:pPr>
              <w:spacing w:line="440" w:lineRule="exact"/>
              <w:jc w:val="center"/>
              <w:rPr>
                <w:rFonts w:hint="eastAsia" w:ascii="宋体" w:hAnsi="宋体" w:eastAsia="宋体"/>
                <w:lang w:val="en-US" w:eastAsia="zh-CN"/>
              </w:rPr>
            </w:pPr>
            <w:r>
              <w:rPr>
                <w:rFonts w:hint="eastAsia" w:ascii="宋体" w:hAnsi="宋体"/>
                <w:lang w:val="en-US" w:eastAsia="zh-CN"/>
              </w:rPr>
              <w:t>金额（元）</w:t>
            </w:r>
          </w:p>
        </w:tc>
        <w:tc>
          <w:tcPr>
            <w:tcW w:w="1287" w:type="dxa"/>
            <w:tcBorders>
              <w:top w:val="single" w:color="auto" w:sz="4" w:space="0"/>
              <w:left w:val="single" w:color="auto" w:sz="4" w:space="0"/>
              <w:bottom w:val="single" w:color="auto" w:sz="4" w:space="0"/>
            </w:tcBorders>
          </w:tcPr>
          <w:p w14:paraId="5E18E249">
            <w:pPr>
              <w:spacing w:line="440" w:lineRule="exact"/>
              <w:jc w:val="center"/>
              <w:rPr>
                <w:rFonts w:ascii="宋体" w:hAnsi="宋体"/>
              </w:rPr>
            </w:pPr>
            <w:r>
              <w:rPr>
                <w:rFonts w:hint="eastAsia" w:ascii="宋体" w:hAnsi="宋体"/>
              </w:rPr>
              <w:t>备注</w:t>
            </w:r>
          </w:p>
        </w:tc>
      </w:tr>
      <w:tr w14:paraId="37604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4772F5A1">
            <w:pPr>
              <w:spacing w:line="440" w:lineRule="exact"/>
              <w:jc w:val="center"/>
              <w:rPr>
                <w:rFonts w:ascii="宋体" w:hAnsi="宋体" w:cs="宋体"/>
                <w:szCs w:val="21"/>
              </w:rPr>
            </w:pPr>
            <w:r>
              <w:rPr>
                <w:rFonts w:hint="eastAsia" w:ascii="宋体" w:hAnsi="宋体" w:cs="宋体"/>
                <w:szCs w:val="21"/>
              </w:rPr>
              <w:t>1</w:t>
            </w:r>
          </w:p>
        </w:tc>
        <w:tc>
          <w:tcPr>
            <w:tcW w:w="4245" w:type="dxa"/>
            <w:tcBorders>
              <w:top w:val="single" w:color="auto" w:sz="4" w:space="0"/>
              <w:left w:val="single" w:color="auto" w:sz="4" w:space="0"/>
              <w:bottom w:val="single" w:color="auto" w:sz="4" w:space="0"/>
              <w:right w:val="single" w:color="auto" w:sz="4" w:space="0"/>
            </w:tcBorders>
            <w:vAlign w:val="center"/>
          </w:tcPr>
          <w:p w14:paraId="55DA3129">
            <w:pPr>
              <w:spacing w:line="440" w:lineRule="exact"/>
              <w:jc w:val="center"/>
              <w:rPr>
                <w:rFonts w:ascii="宋体" w:hAnsi="宋体"/>
              </w:rPr>
            </w:pPr>
            <w:r>
              <w:rPr>
                <w:rFonts w:hint="eastAsia" w:ascii="宋体" w:hAnsi="宋体" w:cs="宋体"/>
                <w:bCs/>
                <w:kern w:val="0"/>
                <w:szCs w:val="21"/>
              </w:rPr>
              <w:t>注意力评估系统</w:t>
            </w:r>
          </w:p>
        </w:tc>
        <w:tc>
          <w:tcPr>
            <w:tcW w:w="1095" w:type="dxa"/>
            <w:tcBorders>
              <w:top w:val="single" w:color="auto" w:sz="4" w:space="0"/>
              <w:left w:val="single" w:color="auto" w:sz="4" w:space="0"/>
              <w:bottom w:val="single" w:color="auto" w:sz="4" w:space="0"/>
              <w:right w:val="single" w:color="auto" w:sz="4" w:space="0"/>
            </w:tcBorders>
            <w:vAlign w:val="center"/>
          </w:tcPr>
          <w:p w14:paraId="78BBB74F">
            <w:pPr>
              <w:spacing w:line="440" w:lineRule="exact"/>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915" w:type="dxa"/>
            <w:tcBorders>
              <w:top w:val="single" w:color="auto" w:sz="4" w:space="0"/>
              <w:left w:val="single" w:color="auto" w:sz="4" w:space="0"/>
              <w:bottom w:val="single" w:color="auto" w:sz="4" w:space="0"/>
              <w:right w:val="single" w:color="auto" w:sz="4" w:space="0"/>
            </w:tcBorders>
            <w:vAlign w:val="center"/>
          </w:tcPr>
          <w:p w14:paraId="5FAB2689">
            <w:pPr>
              <w:spacing w:line="440" w:lineRule="exact"/>
              <w:jc w:val="center"/>
              <w:rPr>
                <w:rFonts w:hint="eastAsia" w:ascii="宋体" w:hAnsi="宋体" w:eastAsia="宋体" w:cs="宋体"/>
                <w:szCs w:val="21"/>
                <w:lang w:val="en-US" w:eastAsia="zh-CN"/>
              </w:rPr>
            </w:pPr>
            <w:r>
              <w:rPr>
                <w:rFonts w:hint="eastAsia" w:ascii="宋体" w:hAnsi="宋体" w:cs="宋体"/>
                <w:szCs w:val="21"/>
                <w:lang w:val="en-US" w:eastAsia="zh-CN"/>
              </w:rPr>
              <w:t>套</w:t>
            </w:r>
          </w:p>
        </w:tc>
        <w:tc>
          <w:tcPr>
            <w:tcW w:w="1740" w:type="dxa"/>
            <w:tcBorders>
              <w:top w:val="single" w:color="auto" w:sz="4" w:space="0"/>
              <w:left w:val="single" w:color="auto" w:sz="4" w:space="0"/>
              <w:bottom w:val="single" w:color="auto" w:sz="4" w:space="0"/>
            </w:tcBorders>
            <w:vAlign w:val="center"/>
          </w:tcPr>
          <w:p w14:paraId="06A776B4">
            <w:pPr>
              <w:spacing w:line="440" w:lineRule="exact"/>
              <w:jc w:val="center"/>
              <w:rPr>
                <w:rFonts w:ascii="宋体" w:hAnsi="宋体"/>
                <w:b/>
                <w:bCs/>
              </w:rPr>
            </w:pPr>
          </w:p>
        </w:tc>
        <w:tc>
          <w:tcPr>
            <w:tcW w:w="1287" w:type="dxa"/>
            <w:tcBorders>
              <w:top w:val="single" w:color="auto" w:sz="4" w:space="0"/>
              <w:left w:val="single" w:color="auto" w:sz="4" w:space="0"/>
              <w:bottom w:val="single" w:color="auto" w:sz="4" w:space="0"/>
            </w:tcBorders>
          </w:tcPr>
          <w:p w14:paraId="701A0011">
            <w:pPr>
              <w:spacing w:line="440" w:lineRule="exact"/>
              <w:jc w:val="center"/>
              <w:rPr>
                <w:rFonts w:ascii="宋体" w:hAnsi="宋体"/>
                <w:b/>
                <w:bCs/>
              </w:rPr>
            </w:pPr>
          </w:p>
        </w:tc>
      </w:tr>
      <w:tr w14:paraId="344F2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3322E0C0">
            <w:pPr>
              <w:spacing w:line="440" w:lineRule="exact"/>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4245" w:type="dxa"/>
            <w:tcBorders>
              <w:top w:val="single" w:color="auto" w:sz="4" w:space="0"/>
              <w:left w:val="single" w:color="auto" w:sz="4" w:space="0"/>
              <w:bottom w:val="single" w:color="auto" w:sz="4" w:space="0"/>
              <w:right w:val="single" w:color="auto" w:sz="4" w:space="0"/>
            </w:tcBorders>
            <w:vAlign w:val="center"/>
          </w:tcPr>
          <w:p w14:paraId="6828AEE6">
            <w:pPr>
              <w:spacing w:line="440" w:lineRule="exact"/>
              <w:jc w:val="center"/>
              <w:rPr>
                <w:rFonts w:ascii="宋体" w:hAnsi="宋体"/>
              </w:rPr>
            </w:pPr>
            <w:r>
              <w:rPr>
                <w:rFonts w:hint="eastAsia"/>
              </w:rPr>
              <w:t>注意力认知训练系统</w:t>
            </w:r>
          </w:p>
        </w:tc>
        <w:tc>
          <w:tcPr>
            <w:tcW w:w="1095" w:type="dxa"/>
            <w:tcBorders>
              <w:top w:val="single" w:color="auto" w:sz="4" w:space="0"/>
              <w:left w:val="single" w:color="auto" w:sz="4" w:space="0"/>
              <w:bottom w:val="single" w:color="auto" w:sz="4" w:space="0"/>
              <w:right w:val="single" w:color="auto" w:sz="4" w:space="0"/>
            </w:tcBorders>
            <w:vAlign w:val="center"/>
          </w:tcPr>
          <w:p w14:paraId="1930DE6B">
            <w:pPr>
              <w:spacing w:line="440" w:lineRule="exact"/>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915" w:type="dxa"/>
            <w:tcBorders>
              <w:top w:val="single" w:color="auto" w:sz="4" w:space="0"/>
              <w:left w:val="single" w:color="auto" w:sz="4" w:space="0"/>
              <w:bottom w:val="single" w:color="auto" w:sz="4" w:space="0"/>
              <w:right w:val="single" w:color="auto" w:sz="4" w:space="0"/>
            </w:tcBorders>
            <w:vAlign w:val="center"/>
          </w:tcPr>
          <w:p w14:paraId="09AC49F1">
            <w:pPr>
              <w:spacing w:line="440" w:lineRule="exact"/>
              <w:jc w:val="center"/>
              <w:rPr>
                <w:rFonts w:hint="eastAsia" w:ascii="宋体" w:hAnsi="宋体" w:eastAsia="宋体" w:cs="宋体"/>
                <w:szCs w:val="21"/>
                <w:lang w:val="en-US" w:eastAsia="zh-CN"/>
              </w:rPr>
            </w:pPr>
            <w:r>
              <w:rPr>
                <w:rFonts w:hint="eastAsia" w:ascii="宋体" w:hAnsi="宋体" w:cs="宋体"/>
                <w:szCs w:val="21"/>
                <w:lang w:val="en-US" w:eastAsia="zh-CN"/>
              </w:rPr>
              <w:t>套</w:t>
            </w:r>
          </w:p>
        </w:tc>
        <w:tc>
          <w:tcPr>
            <w:tcW w:w="1740" w:type="dxa"/>
            <w:tcBorders>
              <w:top w:val="single" w:color="auto" w:sz="4" w:space="0"/>
              <w:left w:val="single" w:color="auto" w:sz="4" w:space="0"/>
              <w:bottom w:val="single" w:color="auto" w:sz="4" w:space="0"/>
            </w:tcBorders>
            <w:vAlign w:val="center"/>
          </w:tcPr>
          <w:p w14:paraId="3251670B">
            <w:pPr>
              <w:spacing w:line="440" w:lineRule="exact"/>
              <w:jc w:val="center"/>
              <w:rPr>
                <w:rFonts w:ascii="宋体" w:hAnsi="宋体"/>
                <w:b/>
                <w:bCs/>
              </w:rPr>
            </w:pPr>
          </w:p>
        </w:tc>
        <w:tc>
          <w:tcPr>
            <w:tcW w:w="1287" w:type="dxa"/>
            <w:tcBorders>
              <w:top w:val="single" w:color="auto" w:sz="4" w:space="0"/>
              <w:left w:val="single" w:color="auto" w:sz="4" w:space="0"/>
              <w:bottom w:val="single" w:color="auto" w:sz="4" w:space="0"/>
            </w:tcBorders>
          </w:tcPr>
          <w:p w14:paraId="659734DD">
            <w:pPr>
              <w:spacing w:line="440" w:lineRule="exact"/>
              <w:jc w:val="center"/>
              <w:rPr>
                <w:rFonts w:ascii="宋体" w:hAnsi="宋体"/>
                <w:b/>
                <w:bCs/>
              </w:rPr>
            </w:pPr>
          </w:p>
        </w:tc>
      </w:tr>
      <w:tr w14:paraId="14FBC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1C58B476">
            <w:pPr>
              <w:spacing w:line="440" w:lineRule="exact"/>
              <w:jc w:val="center"/>
              <w:rPr>
                <w:rFonts w:hint="default" w:ascii="宋体" w:hAnsi="宋体" w:cs="宋体"/>
                <w:szCs w:val="21"/>
                <w:lang w:val="en-US" w:eastAsia="zh-CN"/>
              </w:rPr>
            </w:pPr>
            <w:r>
              <w:rPr>
                <w:rFonts w:hint="eastAsia" w:ascii="宋体" w:hAnsi="宋体" w:cs="宋体"/>
                <w:szCs w:val="21"/>
                <w:lang w:val="en-US" w:eastAsia="zh-CN"/>
              </w:rPr>
              <w:t>合计</w:t>
            </w:r>
          </w:p>
        </w:tc>
        <w:tc>
          <w:tcPr>
            <w:tcW w:w="4245" w:type="dxa"/>
            <w:tcBorders>
              <w:top w:val="single" w:color="auto" w:sz="4" w:space="0"/>
              <w:left w:val="single" w:color="auto" w:sz="4" w:space="0"/>
              <w:bottom w:val="single" w:color="auto" w:sz="4" w:space="0"/>
              <w:right w:val="single" w:color="auto" w:sz="4" w:space="0"/>
            </w:tcBorders>
            <w:vAlign w:val="center"/>
          </w:tcPr>
          <w:p w14:paraId="6A4F4B13">
            <w:pPr>
              <w:spacing w:line="440" w:lineRule="exact"/>
              <w:jc w:val="center"/>
              <w:rPr>
                <w:rFonts w:hint="eastAsia"/>
              </w:rPr>
            </w:pPr>
          </w:p>
        </w:tc>
        <w:tc>
          <w:tcPr>
            <w:tcW w:w="1095" w:type="dxa"/>
            <w:tcBorders>
              <w:top w:val="single" w:color="auto" w:sz="4" w:space="0"/>
              <w:left w:val="single" w:color="auto" w:sz="4" w:space="0"/>
              <w:bottom w:val="single" w:color="auto" w:sz="4" w:space="0"/>
              <w:right w:val="single" w:color="auto" w:sz="4" w:space="0"/>
            </w:tcBorders>
            <w:vAlign w:val="center"/>
          </w:tcPr>
          <w:p w14:paraId="1B6D523B">
            <w:pPr>
              <w:spacing w:line="440" w:lineRule="exact"/>
              <w:jc w:val="center"/>
              <w:rPr>
                <w:rFonts w:hint="eastAsia" w:ascii="宋体" w:hAnsi="宋体" w:cs="宋体"/>
                <w:szCs w:val="21"/>
                <w:lang w:val="en-US" w:eastAsia="zh-CN"/>
              </w:rPr>
            </w:pPr>
          </w:p>
        </w:tc>
        <w:tc>
          <w:tcPr>
            <w:tcW w:w="915" w:type="dxa"/>
            <w:tcBorders>
              <w:top w:val="single" w:color="auto" w:sz="4" w:space="0"/>
              <w:left w:val="single" w:color="auto" w:sz="4" w:space="0"/>
              <w:bottom w:val="single" w:color="auto" w:sz="4" w:space="0"/>
              <w:right w:val="single" w:color="auto" w:sz="4" w:space="0"/>
            </w:tcBorders>
            <w:vAlign w:val="center"/>
          </w:tcPr>
          <w:p w14:paraId="613A1BD7">
            <w:pPr>
              <w:spacing w:line="440" w:lineRule="exact"/>
              <w:jc w:val="center"/>
              <w:rPr>
                <w:rFonts w:hint="eastAsia" w:ascii="宋体" w:hAnsi="宋体" w:cs="宋体"/>
                <w:szCs w:val="21"/>
                <w:lang w:val="en-US" w:eastAsia="zh-CN"/>
              </w:rPr>
            </w:pPr>
          </w:p>
        </w:tc>
        <w:tc>
          <w:tcPr>
            <w:tcW w:w="1740" w:type="dxa"/>
            <w:tcBorders>
              <w:top w:val="single" w:color="auto" w:sz="4" w:space="0"/>
              <w:left w:val="single" w:color="auto" w:sz="4" w:space="0"/>
              <w:bottom w:val="single" w:color="auto" w:sz="4" w:space="0"/>
            </w:tcBorders>
            <w:vAlign w:val="center"/>
          </w:tcPr>
          <w:p w14:paraId="46819883">
            <w:pPr>
              <w:spacing w:line="440" w:lineRule="exact"/>
              <w:jc w:val="center"/>
              <w:rPr>
                <w:rFonts w:ascii="宋体" w:hAnsi="宋体"/>
                <w:b/>
                <w:bCs/>
              </w:rPr>
            </w:pPr>
          </w:p>
        </w:tc>
        <w:tc>
          <w:tcPr>
            <w:tcW w:w="1287" w:type="dxa"/>
            <w:tcBorders>
              <w:top w:val="single" w:color="auto" w:sz="4" w:space="0"/>
              <w:left w:val="single" w:color="auto" w:sz="4" w:space="0"/>
              <w:bottom w:val="single" w:color="auto" w:sz="4" w:space="0"/>
            </w:tcBorders>
          </w:tcPr>
          <w:p w14:paraId="2895A9D9">
            <w:pPr>
              <w:spacing w:line="440" w:lineRule="exact"/>
              <w:jc w:val="center"/>
              <w:rPr>
                <w:rFonts w:ascii="宋体" w:hAnsi="宋体"/>
                <w:b/>
                <w:bCs/>
              </w:rPr>
            </w:pPr>
          </w:p>
        </w:tc>
      </w:tr>
      <w:tr w14:paraId="1177C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0" w:hRule="atLeast"/>
          <w:jc w:val="center"/>
        </w:trPr>
        <w:tc>
          <w:tcPr>
            <w:tcW w:w="9923" w:type="dxa"/>
            <w:gridSpan w:val="6"/>
            <w:tcBorders>
              <w:top w:val="single" w:color="auto" w:sz="4" w:space="0"/>
              <w:left w:val="single" w:color="auto" w:sz="4" w:space="0"/>
              <w:bottom w:val="single" w:color="auto" w:sz="4" w:space="0"/>
            </w:tcBorders>
            <w:vAlign w:val="center"/>
          </w:tcPr>
          <w:p w14:paraId="5B9DA7E9">
            <w:pPr>
              <w:spacing w:line="440" w:lineRule="exact"/>
              <w:rPr>
                <w:rFonts w:ascii="宋体" w:hAnsi="宋体"/>
                <w:spacing w:val="-6"/>
              </w:rPr>
            </w:pPr>
            <w:r>
              <w:rPr>
                <w:rFonts w:hint="eastAsia" w:ascii="宋体" w:hAnsi="宋体"/>
                <w:spacing w:val="-6"/>
              </w:rPr>
              <w:t>投标</w:t>
            </w:r>
            <w:r>
              <w:rPr>
                <w:rFonts w:ascii="宋体" w:hAnsi="宋体"/>
                <w:spacing w:val="-6"/>
              </w:rPr>
              <w:t>报价（大写）：人民币</w:t>
            </w:r>
            <w:r>
              <w:rPr>
                <w:rFonts w:ascii="宋体" w:hAnsi="宋体"/>
                <w:spacing w:val="-6"/>
                <w:u w:val="single"/>
              </w:rPr>
              <w:t xml:space="preserve">                                 </w:t>
            </w:r>
            <w:r>
              <w:rPr>
                <w:rFonts w:hint="eastAsia" w:ascii="宋体" w:hAnsi="宋体"/>
                <w:spacing w:val="-6"/>
                <w:u w:val="single"/>
              </w:rPr>
              <w:t xml:space="preserve">        </w:t>
            </w:r>
            <w:r>
              <w:rPr>
                <w:rFonts w:hint="eastAsia" w:ascii="宋体" w:hAnsi="宋体"/>
                <w:spacing w:val="-6"/>
              </w:rPr>
              <w:t xml:space="preserve"> </w:t>
            </w:r>
            <w:r>
              <w:rPr>
                <w:rFonts w:ascii="宋体" w:hAnsi="宋体"/>
                <w:spacing w:val="-6"/>
              </w:rPr>
              <w:t xml:space="preserve">  </w:t>
            </w:r>
            <w:r>
              <w:rPr>
                <w:rFonts w:hint="eastAsia" w:ascii="宋体" w:hAnsi="宋体"/>
                <w:spacing w:val="-6"/>
              </w:rPr>
              <w:t>元</w:t>
            </w:r>
            <w:r>
              <w:rPr>
                <w:rFonts w:ascii="宋体" w:hAnsi="宋体"/>
                <w:spacing w:val="-6"/>
              </w:rPr>
              <w:t xml:space="preserve">（¥ </w:t>
            </w:r>
            <w:r>
              <w:rPr>
                <w:rFonts w:ascii="宋体" w:hAnsi="宋体"/>
                <w:spacing w:val="-6"/>
                <w:u w:val="single"/>
              </w:rPr>
              <w:t xml:space="preserve">                     </w:t>
            </w:r>
            <w:r>
              <w:rPr>
                <w:rFonts w:ascii="宋体" w:hAnsi="宋体"/>
                <w:spacing w:val="-6"/>
              </w:rPr>
              <w:t>）</w:t>
            </w:r>
          </w:p>
        </w:tc>
      </w:tr>
      <w:tr w14:paraId="61F2A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0" w:hRule="atLeast"/>
          <w:jc w:val="center"/>
        </w:trPr>
        <w:tc>
          <w:tcPr>
            <w:tcW w:w="9923" w:type="dxa"/>
            <w:gridSpan w:val="6"/>
            <w:tcBorders>
              <w:top w:val="single" w:color="auto" w:sz="4" w:space="0"/>
              <w:left w:val="single" w:color="auto" w:sz="4" w:space="0"/>
              <w:bottom w:val="single" w:color="auto" w:sz="4" w:space="0"/>
            </w:tcBorders>
            <w:shd w:val="clear" w:color="auto" w:fill="auto"/>
            <w:vAlign w:val="center"/>
          </w:tcPr>
          <w:p w14:paraId="41A03E99">
            <w:pPr>
              <w:spacing w:line="300" w:lineRule="exact"/>
              <w:rPr>
                <w:rFonts w:hint="eastAsia" w:ascii="宋体" w:hAnsi="宋体" w:eastAsia="宋体" w:cs="Times New Roman"/>
                <w:spacing w:val="-6"/>
                <w:kern w:val="2"/>
                <w:sz w:val="21"/>
                <w:szCs w:val="24"/>
                <w:lang w:val="en-US" w:eastAsia="zh-CN" w:bidi="ar-SA"/>
              </w:rPr>
            </w:pPr>
            <w:r>
              <w:rPr>
                <w:rFonts w:hint="eastAsia" w:ascii="宋体" w:hAnsi="宋体"/>
                <w:spacing w:val="-6"/>
              </w:rPr>
              <w:t>交付使用期:</w:t>
            </w:r>
          </w:p>
        </w:tc>
      </w:tr>
      <w:tr w14:paraId="1C13D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0" w:hRule="atLeast"/>
          <w:jc w:val="center"/>
        </w:trPr>
        <w:tc>
          <w:tcPr>
            <w:tcW w:w="9923" w:type="dxa"/>
            <w:gridSpan w:val="6"/>
            <w:tcBorders>
              <w:top w:val="single" w:color="auto" w:sz="4" w:space="0"/>
              <w:left w:val="single" w:color="auto" w:sz="4" w:space="0"/>
              <w:bottom w:val="single" w:color="auto" w:sz="4" w:space="0"/>
            </w:tcBorders>
            <w:shd w:val="clear" w:color="auto" w:fill="auto"/>
            <w:vAlign w:val="center"/>
          </w:tcPr>
          <w:p w14:paraId="7CD7DCFF">
            <w:pPr>
              <w:spacing w:line="300" w:lineRule="exact"/>
              <w:rPr>
                <w:rFonts w:hint="eastAsia" w:ascii="宋体" w:hAnsi="宋体" w:eastAsia="宋体" w:cs="Times New Roman"/>
                <w:spacing w:val="-6"/>
                <w:kern w:val="2"/>
                <w:sz w:val="21"/>
                <w:szCs w:val="24"/>
                <w:lang w:val="en-US" w:eastAsia="zh-CN" w:bidi="ar-SA"/>
              </w:rPr>
            </w:pPr>
            <w:r>
              <w:rPr>
                <w:rFonts w:hint="eastAsia" w:ascii="宋体" w:hAnsi="宋体"/>
                <w:spacing w:val="-6"/>
              </w:rPr>
              <w:t>免费保修期:</w:t>
            </w:r>
          </w:p>
        </w:tc>
      </w:tr>
      <w:tr w14:paraId="5E7EA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0" w:hRule="atLeast"/>
          <w:jc w:val="center"/>
        </w:trPr>
        <w:tc>
          <w:tcPr>
            <w:tcW w:w="9923" w:type="dxa"/>
            <w:gridSpan w:val="6"/>
            <w:tcBorders>
              <w:top w:val="single" w:color="auto" w:sz="4" w:space="0"/>
              <w:left w:val="single" w:color="auto" w:sz="4" w:space="0"/>
              <w:bottom w:val="single" w:color="auto" w:sz="4" w:space="0"/>
            </w:tcBorders>
            <w:shd w:val="clear" w:color="auto" w:fill="auto"/>
            <w:vAlign w:val="center"/>
          </w:tcPr>
          <w:p w14:paraId="704AAAB2">
            <w:pPr>
              <w:spacing w:line="300" w:lineRule="exact"/>
              <w:ind w:firstLine="480" w:firstLineChars="200"/>
              <w:rPr>
                <w:rFonts w:hint="eastAsia" w:ascii="宋体" w:hAnsi="宋体"/>
                <w:spacing w:val="-6"/>
                <w:sz w:val="24"/>
                <w:szCs w:val="24"/>
              </w:rPr>
            </w:pPr>
            <w:r>
              <w:rPr>
                <w:rFonts w:hint="eastAsia" w:ascii="宋体" w:hAnsi="宋体" w:cs="宋体"/>
                <w:color w:val="auto"/>
                <w:kern w:val="0"/>
                <w:sz w:val="24"/>
                <w:szCs w:val="24"/>
              </w:rPr>
              <w:t>说明：投标报价指本次招标采购范围内货物价款、货物随配标准附件、包装、运输、装卸、保险、税金、货到位以及安装、安装所需辅材、调试、检验、售后服务、培训、保修及其他所有成本费用的总和；投标人综合考虑在报价中。</w:t>
            </w:r>
          </w:p>
        </w:tc>
      </w:tr>
    </w:tbl>
    <w:p w14:paraId="2C33053C">
      <w:pPr>
        <w:keepNext w:val="0"/>
        <w:keepLines w:val="0"/>
        <w:pageBreakBefore w:val="0"/>
        <w:widowControl w:val="0"/>
        <w:numPr>
          <w:ilvl w:val="255"/>
          <w:numId w:val="0"/>
        </w:numPr>
        <w:kinsoku/>
        <w:wordWrap/>
        <w:overflowPunct/>
        <w:topLinePunct w:val="0"/>
        <w:autoSpaceDE/>
        <w:autoSpaceDN/>
        <w:bidi w:val="0"/>
        <w:adjustRightInd/>
        <w:snapToGrid/>
        <w:spacing w:line="360" w:lineRule="exact"/>
        <w:ind w:firstLine="480" w:firstLineChars="200"/>
        <w:jc w:val="left"/>
        <w:textAlignment w:val="auto"/>
        <w:rPr>
          <w:rFonts w:ascii="宋体" w:hAnsi="宋体" w:cs="宋体"/>
          <w:sz w:val="24"/>
          <w:szCs w:val="24"/>
        </w:rPr>
      </w:pPr>
      <w:r>
        <w:rPr>
          <w:rFonts w:ascii="宋体" w:hAnsi="宋体" w:cs="宋体"/>
          <w:sz w:val="24"/>
          <w:szCs w:val="24"/>
        </w:rPr>
        <w:t>1.投标人必须就“</w:t>
      </w:r>
      <w:r>
        <w:rPr>
          <w:rFonts w:hint="eastAsia" w:ascii="宋体" w:hAnsi="宋体" w:cs="宋体"/>
          <w:sz w:val="24"/>
          <w:szCs w:val="24"/>
        </w:rPr>
        <w:t>项目需求和说明</w:t>
      </w:r>
      <w:r>
        <w:rPr>
          <w:rFonts w:ascii="宋体" w:hAnsi="宋体" w:cs="宋体"/>
          <w:sz w:val="24"/>
          <w:szCs w:val="24"/>
        </w:rPr>
        <w:t>”中的所有内容作完整唯一报价，否则，其投标文件按无效处理。</w:t>
      </w:r>
    </w:p>
    <w:p w14:paraId="3C5C9D79">
      <w:pPr>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auto"/>
        <w:rPr>
          <w:rFonts w:ascii="宋体" w:hAnsi="宋体" w:cs="宋体"/>
          <w:sz w:val="24"/>
          <w:szCs w:val="24"/>
        </w:rPr>
      </w:pPr>
      <w:r>
        <w:rPr>
          <w:rFonts w:ascii="宋体" w:hAnsi="宋体" w:cs="宋体"/>
          <w:sz w:val="24"/>
          <w:szCs w:val="24"/>
        </w:rPr>
        <w:t>2.投标人应根据所提供的</w:t>
      </w:r>
      <w:r>
        <w:rPr>
          <w:rFonts w:hint="eastAsia" w:ascii="宋体" w:hAnsi="宋体" w:cs="宋体"/>
          <w:sz w:val="24"/>
          <w:szCs w:val="24"/>
        </w:rPr>
        <w:t>货物及</w:t>
      </w:r>
      <w:r>
        <w:rPr>
          <w:rFonts w:ascii="宋体" w:hAnsi="宋体" w:cs="宋体"/>
          <w:sz w:val="24"/>
          <w:szCs w:val="24"/>
        </w:rPr>
        <w:t>服务如实填写报价表的各项内容。</w:t>
      </w:r>
    </w:p>
    <w:p w14:paraId="4811FA28">
      <w:pPr>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auto"/>
        <w:rPr>
          <w:rFonts w:hAnsi="宋体"/>
          <w:sz w:val="24"/>
          <w:szCs w:val="24"/>
        </w:rPr>
      </w:pPr>
      <w:r>
        <w:rPr>
          <w:rFonts w:ascii="宋体" w:hAnsi="宋体" w:cs="宋体"/>
          <w:sz w:val="24"/>
          <w:szCs w:val="24"/>
        </w:rPr>
        <w:t>3.报价表须由法定代表人、负责人或相应的委托代理人签字或盖章</w:t>
      </w:r>
      <w:r>
        <w:rPr>
          <w:rFonts w:hint="eastAsia" w:ascii="宋体" w:hAnsi="宋体" w:cs="宋体"/>
          <w:sz w:val="24"/>
          <w:szCs w:val="24"/>
        </w:rPr>
        <w:t>，</w:t>
      </w:r>
      <w:r>
        <w:rPr>
          <w:rFonts w:ascii="宋体" w:hAnsi="宋体" w:cs="宋体"/>
          <w:sz w:val="24"/>
          <w:szCs w:val="24"/>
        </w:rPr>
        <w:t>并加盖投标人公章。当本表由多页构成时，需逐页加盖投标人公章。</w:t>
      </w:r>
    </w:p>
    <w:p w14:paraId="74B6AA25">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sz w:val="24"/>
          <w:szCs w:val="24"/>
        </w:rPr>
      </w:pPr>
      <w:r>
        <w:rPr>
          <w:rFonts w:hint="eastAsia" w:hAnsi="宋体"/>
          <w:sz w:val="24"/>
          <w:szCs w:val="24"/>
        </w:rPr>
        <w:t>二、我方承诺已具备</w:t>
      </w:r>
      <w:r>
        <w:rPr>
          <w:rFonts w:hint="eastAsia" w:hAnsi="宋体" w:cs="宋体"/>
          <w:sz w:val="24"/>
          <w:szCs w:val="24"/>
        </w:rPr>
        <w:t>招标</w:t>
      </w:r>
      <w:r>
        <w:rPr>
          <w:rFonts w:hint="eastAsia" w:hAnsi="宋体"/>
          <w:sz w:val="24"/>
          <w:szCs w:val="24"/>
        </w:rPr>
        <w:t>文件规定的投标人资格条件。</w:t>
      </w:r>
    </w:p>
    <w:p w14:paraId="1EAA3093">
      <w:pPr>
        <w:pStyle w:val="6"/>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s="宋体"/>
          <w:sz w:val="24"/>
        </w:rPr>
      </w:pPr>
      <w:r>
        <w:rPr>
          <w:rFonts w:hint="eastAsia"/>
          <w:sz w:val="24"/>
          <w:szCs w:val="24"/>
        </w:rPr>
        <w:t>三、</w:t>
      </w:r>
      <w:r>
        <w:rPr>
          <w:rFonts w:hint="eastAsia" w:ascii="宋体" w:hAnsi="宋体" w:cs="宋体"/>
          <w:sz w:val="24"/>
          <w:szCs w:val="24"/>
        </w:rPr>
        <w:t>我方已详细了解本项目，将自行承担因对本项目理解不正确或误解而产生的相应后果。</w:t>
      </w:r>
    </w:p>
    <w:p w14:paraId="021636DF">
      <w:pPr>
        <w:pStyle w:val="6"/>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s="宋体"/>
          <w:sz w:val="24"/>
        </w:rPr>
      </w:pPr>
      <w:r>
        <w:rPr>
          <w:rFonts w:hint="eastAsia" w:ascii="宋体" w:hAnsi="宋体" w:cs="宋体"/>
          <w:sz w:val="24"/>
        </w:rPr>
        <w:t>与本项目有关的正式通讯地址为：</w:t>
      </w:r>
    </w:p>
    <w:p w14:paraId="2943B6B8">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地址：</w:t>
      </w:r>
      <w:r>
        <w:rPr>
          <w:rFonts w:hAnsi="宋体" w:cs="宋体"/>
          <w:sz w:val="24"/>
          <w:szCs w:val="24"/>
        </w:rPr>
        <w:t xml:space="preserve">   </w:t>
      </w:r>
    </w:p>
    <w:p w14:paraId="25C5830B">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邮编：</w:t>
      </w:r>
      <w:r>
        <w:rPr>
          <w:rFonts w:hAnsi="宋体" w:cs="宋体"/>
          <w:sz w:val="24"/>
          <w:szCs w:val="24"/>
        </w:rPr>
        <w:t xml:space="preserve">               </w:t>
      </w:r>
      <w:r>
        <w:rPr>
          <w:rFonts w:hint="eastAsia" w:hAnsi="宋体" w:cs="宋体"/>
          <w:sz w:val="24"/>
          <w:szCs w:val="24"/>
        </w:rPr>
        <w:t>邮箱：</w:t>
      </w:r>
    </w:p>
    <w:p w14:paraId="25411171">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u w:val="single"/>
        </w:rPr>
      </w:pPr>
      <w:r>
        <w:rPr>
          <w:rFonts w:hint="eastAsia" w:hAnsi="宋体" w:cs="宋体"/>
          <w:sz w:val="24"/>
          <w:szCs w:val="24"/>
        </w:rPr>
        <w:t>办公电话：</w:t>
      </w:r>
      <w:r>
        <w:rPr>
          <w:rFonts w:hAnsi="宋体" w:cs="宋体"/>
          <w:sz w:val="24"/>
          <w:szCs w:val="24"/>
        </w:rPr>
        <w:t xml:space="preserve">           </w:t>
      </w:r>
      <w:r>
        <w:rPr>
          <w:rFonts w:hint="eastAsia" w:hAnsi="宋体" w:cs="宋体"/>
          <w:sz w:val="24"/>
          <w:szCs w:val="24"/>
        </w:rPr>
        <w:t>传真：</w:t>
      </w:r>
    </w:p>
    <w:p w14:paraId="4C46EABA">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u w:val="single"/>
        </w:rPr>
      </w:pPr>
      <w:r>
        <w:rPr>
          <w:rFonts w:hint="eastAsia" w:hAnsi="宋体" w:cs="宋体"/>
          <w:sz w:val="24"/>
          <w:szCs w:val="24"/>
        </w:rPr>
        <w:t>委托代理人联系电话：</w:t>
      </w:r>
    </w:p>
    <w:p w14:paraId="57A7B0C5">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投标人（公章）：</w:t>
      </w:r>
    </w:p>
    <w:p w14:paraId="57354F2E">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法定代表人（负责人）或相应的委托代理人签字：</w:t>
      </w:r>
    </w:p>
    <w:p w14:paraId="26146FDC">
      <w:pPr>
        <w:pStyle w:val="11"/>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auto"/>
        <w:rPr>
          <w:rFonts w:hAnsi="宋体" w:cs="宋体"/>
          <w:b/>
          <w:sz w:val="30"/>
          <w:szCs w:val="30"/>
        </w:rPr>
      </w:pPr>
      <w:r>
        <w:rPr>
          <w:rFonts w:hint="eastAsia" w:hAnsi="宋体" w:cs="宋体"/>
          <w:sz w:val="24"/>
          <w:szCs w:val="24"/>
        </w:rPr>
        <w:t xml:space="preserve">日期：             </w:t>
      </w:r>
      <w:r>
        <w:rPr>
          <w:rFonts w:hAnsi="宋体" w:cs="宋体"/>
          <w:sz w:val="24"/>
          <w:szCs w:val="24"/>
        </w:rPr>
        <w:br w:type="page"/>
      </w:r>
    </w:p>
    <w:p w14:paraId="79141805">
      <w:pPr>
        <w:pStyle w:val="11"/>
        <w:spacing w:line="400" w:lineRule="exact"/>
        <w:ind w:firstLine="590" w:firstLineChars="196"/>
        <w:jc w:val="center"/>
        <w:rPr>
          <w:rFonts w:hAnsi="宋体" w:cs="宋体"/>
          <w:b/>
          <w:sz w:val="30"/>
          <w:szCs w:val="30"/>
        </w:rPr>
      </w:pPr>
      <w:r>
        <w:rPr>
          <w:rFonts w:hint="eastAsia" w:hAnsi="宋体" w:cs="宋体"/>
          <w:b/>
          <w:sz w:val="30"/>
          <w:szCs w:val="30"/>
        </w:rPr>
        <w:t>法人授权委托书（格式）</w:t>
      </w:r>
    </w:p>
    <w:p w14:paraId="12EA7480">
      <w:pPr>
        <w:spacing w:line="400" w:lineRule="exact"/>
        <w:jc w:val="left"/>
        <w:rPr>
          <w:rFonts w:ascii="宋体" w:hAnsi="宋体" w:cs="宋体"/>
          <w:sz w:val="24"/>
        </w:rPr>
      </w:pPr>
    </w:p>
    <w:p w14:paraId="47840F91">
      <w:pPr>
        <w:spacing w:line="400" w:lineRule="exact"/>
        <w:jc w:val="left"/>
        <w:rPr>
          <w:rFonts w:ascii="宋体" w:hAnsi="宋体" w:cs="宋体"/>
          <w:sz w:val="24"/>
        </w:rPr>
      </w:pPr>
      <w:r>
        <w:rPr>
          <w:rFonts w:hint="eastAsia" w:ascii="宋体" w:hAnsi="宋体" w:cs="宋体"/>
          <w:sz w:val="24"/>
        </w:rPr>
        <w:t>致：</w:t>
      </w:r>
      <w:r>
        <w:rPr>
          <w:rFonts w:hint="eastAsia" w:ascii="宋体" w:hAnsi="宋体" w:cs="宋体"/>
          <w:sz w:val="24"/>
          <w:u w:val="single"/>
        </w:rPr>
        <w:t>桂林市人民医院</w:t>
      </w:r>
    </w:p>
    <w:p w14:paraId="305608F1">
      <w:pPr>
        <w:spacing w:line="400" w:lineRule="exact"/>
        <w:ind w:firstLine="420"/>
        <w:jc w:val="left"/>
        <w:rPr>
          <w:rFonts w:ascii="宋体" w:hAnsi="宋体" w:cs="宋体"/>
          <w:sz w:val="24"/>
        </w:rPr>
      </w:pPr>
      <w:r>
        <w:rPr>
          <w:rFonts w:hint="eastAsia" w:ascii="宋体" w:hAnsi="宋体" w:cs="宋体"/>
          <w:sz w:val="24"/>
        </w:rPr>
        <w:t>我（姓名）系（投标人名称）的法定代表人（负责人），现授权委托本单位在职职工（姓名）以我方名义参加</w:t>
      </w:r>
      <w:r>
        <w:rPr>
          <w:rFonts w:ascii="宋体" w:hAnsi="宋体" w:cs="宋体"/>
          <w:sz w:val="24"/>
          <w:u w:val="single"/>
        </w:rPr>
        <w:t xml:space="preserve">      （项目名称及项目编号）        </w:t>
      </w:r>
      <w:r>
        <w:rPr>
          <w:rFonts w:hint="eastAsia" w:ascii="宋体" w:hAnsi="宋体" w:cs="宋体"/>
          <w:sz w:val="24"/>
        </w:rPr>
        <w:t>项目的招标活动，并代表我方全权办理针对上述项目的具体事务和签署相关文件。</w:t>
      </w:r>
    </w:p>
    <w:p w14:paraId="6FA1C22A">
      <w:pPr>
        <w:spacing w:line="400" w:lineRule="exact"/>
        <w:ind w:firstLine="420"/>
        <w:jc w:val="left"/>
        <w:rPr>
          <w:rFonts w:ascii="宋体" w:hAnsi="宋体" w:cs="宋体"/>
          <w:sz w:val="24"/>
        </w:rPr>
      </w:pPr>
      <w:r>
        <w:rPr>
          <w:rFonts w:hint="eastAsia" w:ascii="宋体" w:hAnsi="宋体" w:cs="宋体"/>
          <w:sz w:val="24"/>
        </w:rPr>
        <w:t>我方对被授权人的签字事项负全部责任。</w:t>
      </w:r>
    </w:p>
    <w:p w14:paraId="2BA2C370">
      <w:pPr>
        <w:spacing w:line="400" w:lineRule="exact"/>
        <w:ind w:firstLine="420"/>
        <w:jc w:val="left"/>
        <w:rPr>
          <w:rFonts w:ascii="宋体" w:hAnsi="宋体" w:cs="宋体"/>
          <w:sz w:val="24"/>
          <w:u w:val="single"/>
        </w:rPr>
      </w:pPr>
      <w:r>
        <w:rPr>
          <w:rFonts w:hint="eastAsia" w:ascii="宋体" w:hAnsi="宋体" w:cs="宋体"/>
          <w:sz w:val="24"/>
        </w:rPr>
        <w:t>授权委托代理期限：从</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日起至</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日止。</w:t>
      </w:r>
    </w:p>
    <w:p w14:paraId="1E307509">
      <w:pPr>
        <w:spacing w:line="400" w:lineRule="exact"/>
        <w:jc w:val="left"/>
        <w:rPr>
          <w:rFonts w:ascii="宋体" w:hAnsi="宋体" w:cs="宋体"/>
          <w:sz w:val="24"/>
          <w:u w:val="single"/>
        </w:rPr>
      </w:pPr>
    </w:p>
    <w:p w14:paraId="44068979">
      <w:pPr>
        <w:spacing w:line="400" w:lineRule="exact"/>
        <w:ind w:firstLine="420"/>
        <w:jc w:val="left"/>
        <w:rPr>
          <w:rFonts w:ascii="宋体" w:hAnsi="宋体" w:cs="宋体"/>
          <w:sz w:val="24"/>
        </w:rPr>
      </w:pPr>
      <w:r>
        <w:rPr>
          <w:rFonts w:hint="eastAsia" w:ascii="宋体" w:hAnsi="宋体" w:cs="宋体"/>
          <w:sz w:val="24"/>
        </w:rPr>
        <w:t>代理人无转委托权</w:t>
      </w:r>
      <w:r>
        <w:rPr>
          <w:rFonts w:ascii="宋体" w:hAnsi="宋体" w:cs="宋体"/>
          <w:sz w:val="24"/>
        </w:rPr>
        <w:t xml:space="preserve">,特此委托。 </w:t>
      </w:r>
    </w:p>
    <w:p w14:paraId="49D4D16E">
      <w:pPr>
        <w:snapToGrid w:val="0"/>
        <w:spacing w:line="400" w:lineRule="exact"/>
        <w:ind w:firstLine="525"/>
        <w:jc w:val="left"/>
        <w:rPr>
          <w:rFonts w:ascii="宋体" w:hAnsi="宋体" w:cs="宋体"/>
          <w:sz w:val="24"/>
        </w:rPr>
      </w:pPr>
    </w:p>
    <w:p w14:paraId="04734713">
      <w:pPr>
        <w:snapToGrid w:val="0"/>
        <w:spacing w:line="400" w:lineRule="exact"/>
        <w:ind w:firstLine="420"/>
        <w:jc w:val="left"/>
        <w:rPr>
          <w:rFonts w:ascii="宋体" w:hAnsi="宋体" w:cs="宋体"/>
          <w:sz w:val="24"/>
        </w:rPr>
      </w:pPr>
      <w:r>
        <w:rPr>
          <w:rFonts w:hint="eastAsia" w:ascii="宋体" w:hAnsi="宋体" w:cs="宋体"/>
          <w:sz w:val="24"/>
        </w:rPr>
        <w:t>我已在下面签字，以资证明。</w:t>
      </w:r>
    </w:p>
    <w:p w14:paraId="557A5CC6">
      <w:pPr>
        <w:snapToGrid w:val="0"/>
        <w:spacing w:line="400" w:lineRule="exact"/>
        <w:ind w:firstLine="420"/>
        <w:jc w:val="left"/>
        <w:rPr>
          <w:rFonts w:ascii="宋体" w:hAnsi="宋体" w:cs="宋体"/>
          <w:sz w:val="24"/>
        </w:rPr>
      </w:pPr>
    </w:p>
    <w:p w14:paraId="5245EC99">
      <w:pPr>
        <w:snapToGrid w:val="0"/>
        <w:spacing w:line="400" w:lineRule="exact"/>
        <w:ind w:firstLine="420"/>
        <w:jc w:val="left"/>
        <w:rPr>
          <w:rFonts w:ascii="宋体" w:hAnsi="宋体" w:cs="宋体"/>
          <w:sz w:val="24"/>
        </w:rPr>
      </w:pPr>
    </w:p>
    <w:p w14:paraId="5F928D29">
      <w:pPr>
        <w:snapToGrid w:val="0"/>
        <w:spacing w:line="400" w:lineRule="exact"/>
        <w:ind w:firstLine="420"/>
        <w:jc w:val="left"/>
        <w:rPr>
          <w:rFonts w:ascii="宋体" w:hAnsi="宋体" w:cs="宋体"/>
          <w:sz w:val="24"/>
          <w:u w:val="single"/>
        </w:rPr>
      </w:pPr>
      <w:r>
        <w:rPr>
          <w:rFonts w:hint="eastAsia" w:ascii="宋体" w:hAnsi="宋体" w:cs="宋体"/>
          <w:sz w:val="24"/>
        </w:rPr>
        <w:t>投标人（公章）：</w:t>
      </w:r>
    </w:p>
    <w:p w14:paraId="143E4719">
      <w:pPr>
        <w:snapToGrid w:val="0"/>
        <w:spacing w:line="400" w:lineRule="exact"/>
        <w:ind w:firstLine="420"/>
        <w:jc w:val="left"/>
        <w:rPr>
          <w:rFonts w:ascii="宋体" w:hAnsi="宋体" w:cs="宋体"/>
          <w:sz w:val="24"/>
        </w:rPr>
      </w:pPr>
    </w:p>
    <w:p w14:paraId="343A3E75">
      <w:pPr>
        <w:snapToGrid w:val="0"/>
        <w:spacing w:line="400" w:lineRule="exact"/>
        <w:ind w:firstLine="420"/>
        <w:jc w:val="left"/>
        <w:rPr>
          <w:rFonts w:ascii="宋体" w:hAnsi="宋体" w:cs="宋体"/>
          <w:sz w:val="24"/>
        </w:rPr>
      </w:pPr>
      <w:r>
        <w:rPr>
          <w:rFonts w:hint="eastAsia" w:ascii="宋体" w:hAnsi="宋体" w:cs="宋体"/>
          <w:sz w:val="24"/>
        </w:rPr>
        <w:t>法定代表人（负责人）签字或盖章：</w:t>
      </w:r>
      <w:r>
        <w:rPr>
          <w:rFonts w:ascii="宋体" w:hAnsi="宋体" w:cs="宋体"/>
          <w:sz w:val="24"/>
        </w:rPr>
        <w:t xml:space="preserve">  </w:t>
      </w:r>
    </w:p>
    <w:p w14:paraId="397AE712">
      <w:pPr>
        <w:snapToGrid w:val="0"/>
        <w:spacing w:line="400" w:lineRule="exact"/>
        <w:ind w:firstLine="720" w:firstLineChars="300"/>
        <w:jc w:val="left"/>
        <w:rPr>
          <w:rFonts w:ascii="宋体" w:hAnsi="宋体" w:cs="宋体"/>
          <w:sz w:val="24"/>
        </w:rPr>
      </w:pPr>
    </w:p>
    <w:p w14:paraId="3AFF6BD7">
      <w:pPr>
        <w:snapToGrid w:val="0"/>
        <w:spacing w:line="400" w:lineRule="exact"/>
        <w:ind w:firstLine="480" w:firstLineChars="200"/>
        <w:jc w:val="left"/>
        <w:rPr>
          <w:rFonts w:ascii="宋体" w:hAns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14:paraId="73D8E9D3">
      <w:pPr>
        <w:spacing w:line="400" w:lineRule="exact"/>
        <w:rPr>
          <w:rFonts w:ascii="宋体" w:hAnsi="宋体" w:cs="宋体"/>
          <w:b/>
          <w:sz w:val="30"/>
          <w:szCs w:val="30"/>
        </w:rPr>
      </w:pPr>
      <w:r>
        <w:rPr>
          <w:rFonts w:hint="eastAsia" w:ascii="宋体" w:hAnsi="宋体" w:cs="宋体"/>
          <w:b/>
          <w:bCs/>
          <w:sz w:val="24"/>
        </w:rPr>
        <w:br w:type="page"/>
      </w:r>
    </w:p>
    <w:p w14:paraId="074CAFDC">
      <w:pPr>
        <w:spacing w:line="400" w:lineRule="exact"/>
        <w:jc w:val="center"/>
        <w:rPr>
          <w:rFonts w:hint="eastAsia" w:ascii="宋体" w:hAnsi="宋体" w:cs="宋体"/>
          <w:b/>
          <w:kern w:val="0"/>
          <w:sz w:val="32"/>
          <w:szCs w:val="32"/>
        </w:rPr>
      </w:pPr>
      <w:r>
        <w:rPr>
          <w:rFonts w:hint="eastAsia" w:ascii="宋体" w:hAnsi="宋体" w:cs="宋体"/>
          <w:b/>
          <w:kern w:val="0"/>
          <w:sz w:val="32"/>
          <w:szCs w:val="32"/>
        </w:rPr>
        <w:t>投标人参加政府采购活动前3年内在经营活动中没有重大违法记录的书面声明（格式）</w:t>
      </w:r>
    </w:p>
    <w:p w14:paraId="24033722">
      <w:pPr>
        <w:snapToGrid w:val="0"/>
        <w:spacing w:line="400" w:lineRule="exact"/>
        <w:rPr>
          <w:rFonts w:hint="eastAsia" w:ascii="宋体" w:hAnsi="宋体" w:cs="宋体"/>
          <w:kern w:val="0"/>
        </w:rPr>
      </w:pPr>
      <w:r>
        <w:rPr>
          <w:rFonts w:hint="eastAsia" w:ascii="宋体" w:hAnsi="宋体" w:cs="宋体"/>
          <w:b/>
          <w:kern w:val="0"/>
          <w:szCs w:val="21"/>
        </w:rPr>
        <w:t>致</w:t>
      </w:r>
      <w:r>
        <w:rPr>
          <w:rFonts w:hint="eastAsia" w:ascii="宋体" w:hAnsi="宋体" w:cs="宋体"/>
          <w:kern w:val="0"/>
          <w:szCs w:val="21"/>
        </w:rPr>
        <w:t>：桂林市人民医院</w:t>
      </w:r>
    </w:p>
    <w:p w14:paraId="2A66CD46">
      <w:pPr>
        <w:rPr>
          <w:rFonts w:hint="eastAsia" w:ascii="宋体" w:hAnsi="宋体" w:cs="宋体"/>
          <w:kern w:val="0"/>
        </w:rPr>
      </w:pPr>
    </w:p>
    <w:p w14:paraId="44DDB991">
      <w:pPr>
        <w:spacing w:line="400" w:lineRule="exact"/>
        <w:ind w:firstLine="420" w:firstLineChars="200"/>
        <w:rPr>
          <w:rFonts w:hint="eastAsia" w:ascii="宋体" w:hAnsi="宋体" w:cs="宋体"/>
          <w:kern w:val="0"/>
          <w:szCs w:val="20"/>
        </w:rPr>
      </w:pPr>
      <w:r>
        <w:rPr>
          <w:rFonts w:hint="eastAsia" w:ascii="宋体" w:hAnsi="宋体" w:cs="宋体"/>
          <w:kern w:val="0"/>
          <w:szCs w:val="20"/>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cs="宋体"/>
          <w:szCs w:val="21"/>
        </w:rPr>
        <w:t>重大税收违法失信主体</w:t>
      </w:r>
      <w:r>
        <w:rPr>
          <w:rFonts w:hint="eastAsia" w:ascii="宋体" w:hAnsi="宋体" w:cs="宋体"/>
          <w:kern w:val="0"/>
          <w:szCs w:val="20"/>
        </w:rPr>
        <w:t>，完全符合本项目招标文件规定的投标人资格条件，我方对此声明负全部法律责任。</w:t>
      </w:r>
    </w:p>
    <w:p w14:paraId="0924BFED">
      <w:pPr>
        <w:snapToGrid w:val="0"/>
        <w:spacing w:before="50" w:after="156" w:afterLines="50" w:line="360" w:lineRule="auto"/>
        <w:jc w:val="left"/>
        <w:rPr>
          <w:rFonts w:hint="eastAsia" w:ascii="宋体" w:hAnsi="宋体"/>
          <w:sz w:val="24"/>
        </w:rPr>
      </w:pPr>
    </w:p>
    <w:p w14:paraId="61E3AF2D">
      <w:pPr>
        <w:snapToGrid w:val="0"/>
        <w:spacing w:before="156" w:beforeLines="50"/>
        <w:ind w:left="4620" w:leftChars="2200" w:right="480"/>
        <w:rPr>
          <w:rFonts w:ascii="宋体" w:hAnsi="宋体"/>
          <w:szCs w:val="21"/>
          <w:u w:val="single"/>
        </w:rPr>
      </w:pPr>
      <w:r>
        <w:rPr>
          <w:rFonts w:hint="eastAsia" w:ascii="宋体" w:hAnsi="宋体"/>
          <w:sz w:val="24"/>
        </w:rPr>
        <w:t xml:space="preserve">                                         </w:t>
      </w:r>
      <w:r>
        <w:rPr>
          <w:rFonts w:hint="eastAsia"/>
        </w:rPr>
        <w:t>法定代表人签名</w:t>
      </w:r>
      <w:r>
        <w:rPr>
          <w:rFonts w:hint="eastAsia" w:ascii="宋体" w:hAnsi="宋体"/>
          <w:szCs w:val="21"/>
        </w:rPr>
        <w:t>：</w:t>
      </w:r>
      <w:r>
        <w:rPr>
          <w:rFonts w:hint="eastAsia" w:ascii="宋体" w:hAnsi="宋体"/>
          <w:szCs w:val="21"/>
          <w:u w:val="single"/>
        </w:rPr>
        <w:t xml:space="preserve">             </w:t>
      </w:r>
    </w:p>
    <w:p w14:paraId="76C44782">
      <w:pPr>
        <w:snapToGrid w:val="0"/>
        <w:spacing w:before="156" w:beforeLines="50"/>
        <w:ind w:left="3570" w:leftChars="1700" w:right="480" w:firstLine="1050" w:firstLineChars="500"/>
      </w:pPr>
      <w:r>
        <w:rPr>
          <w:rFonts w:hint="eastAsia"/>
        </w:rPr>
        <w:t>投标人（盖公章）：</w:t>
      </w:r>
      <w:r>
        <w:rPr>
          <w:rFonts w:hint="eastAsia"/>
          <w:u w:val="single"/>
        </w:rPr>
        <w:t xml:space="preserve">                 </w:t>
      </w:r>
    </w:p>
    <w:p w14:paraId="62F83139">
      <w:pPr>
        <w:snapToGrid w:val="0"/>
        <w:spacing w:before="156" w:beforeLines="50" w:after="50"/>
        <w:ind w:right="900" w:firstLine="4725" w:firstLineChars="22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AE09A7D">
      <w:pPr>
        <w:pStyle w:val="18"/>
        <w:snapToGrid w:val="0"/>
        <w:jc w:val="left"/>
        <w:rPr>
          <w:rFonts w:hint="eastAsia" w:ascii="宋体" w:hAnsi="宋体" w:cs="宋体"/>
          <w:sz w:val="24"/>
        </w:rPr>
      </w:pPr>
    </w:p>
    <w:p w14:paraId="494612A4">
      <w:pPr>
        <w:rPr>
          <w:rFonts w:ascii="宋体" w:hAnsi="宋体" w:cs="宋体"/>
          <w:b/>
          <w:sz w:val="30"/>
          <w:szCs w:val="30"/>
        </w:rPr>
      </w:pPr>
      <w:r>
        <w:rPr>
          <w:rFonts w:ascii="宋体" w:hAnsi="宋体" w:cs="宋体"/>
          <w:b/>
          <w:bCs/>
          <w:sz w:val="24"/>
        </w:rPr>
        <w:br w:type="page"/>
      </w:r>
    </w:p>
    <w:p w14:paraId="4F0DB675">
      <w:pPr>
        <w:spacing w:line="400" w:lineRule="exact"/>
        <w:jc w:val="both"/>
        <w:rPr>
          <w:rFonts w:hint="eastAsia" w:ascii="宋体" w:hAnsi="宋体" w:cs="宋体"/>
          <w:b/>
          <w:sz w:val="30"/>
          <w:szCs w:val="30"/>
        </w:rPr>
      </w:pPr>
    </w:p>
    <w:p w14:paraId="638F31DF">
      <w:pPr>
        <w:spacing w:line="400" w:lineRule="exact"/>
        <w:jc w:val="center"/>
        <w:rPr>
          <w:rFonts w:ascii="宋体" w:hAnsi="宋体" w:cs="宋体"/>
          <w:b/>
          <w:sz w:val="30"/>
          <w:szCs w:val="30"/>
        </w:rPr>
      </w:pPr>
      <w:r>
        <w:rPr>
          <w:rFonts w:hint="eastAsia" w:ascii="宋体" w:hAnsi="宋体" w:cs="宋体"/>
          <w:b/>
          <w:sz w:val="30"/>
          <w:szCs w:val="30"/>
        </w:rPr>
        <w:t>技术需求响应表</w:t>
      </w:r>
    </w:p>
    <w:p w14:paraId="07791959">
      <w:pPr>
        <w:spacing w:line="400" w:lineRule="exact"/>
        <w:rPr>
          <w:rFonts w:ascii="宋体" w:hAnsi="宋体" w:cs="宋体"/>
          <w:sz w:val="24"/>
        </w:rPr>
      </w:pPr>
    </w:p>
    <w:p w14:paraId="4BCE1CEF">
      <w:pPr>
        <w:spacing w:line="40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3D38E01B">
      <w:pPr>
        <w:spacing w:line="400" w:lineRule="exact"/>
        <w:rPr>
          <w:rFonts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tbl>
      <w:tblPr>
        <w:tblStyle w:val="21"/>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725"/>
        <w:gridCol w:w="2549"/>
        <w:gridCol w:w="1242"/>
      </w:tblGrid>
      <w:tr w14:paraId="6755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49FA3922">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序号</w:t>
            </w:r>
          </w:p>
        </w:tc>
        <w:tc>
          <w:tcPr>
            <w:tcW w:w="1779" w:type="dxa"/>
            <w:vAlign w:val="center"/>
          </w:tcPr>
          <w:p w14:paraId="1F6EB894">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功能需求</w:t>
            </w:r>
          </w:p>
        </w:tc>
        <w:tc>
          <w:tcPr>
            <w:tcW w:w="3725" w:type="dxa"/>
            <w:vAlign w:val="center"/>
          </w:tcPr>
          <w:p w14:paraId="75ABB677">
            <w:pPr>
              <w:widowControl/>
              <w:spacing w:line="400" w:lineRule="exact"/>
              <w:jc w:val="center"/>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需求内容</w:t>
            </w:r>
          </w:p>
        </w:tc>
        <w:tc>
          <w:tcPr>
            <w:tcW w:w="2549" w:type="dxa"/>
            <w:vAlign w:val="center"/>
          </w:tcPr>
          <w:p w14:paraId="5783F5FB">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投标文件的响应内容</w:t>
            </w:r>
          </w:p>
        </w:tc>
        <w:tc>
          <w:tcPr>
            <w:tcW w:w="1242" w:type="dxa"/>
            <w:vAlign w:val="center"/>
          </w:tcPr>
          <w:p w14:paraId="7C8076AC">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响应情况</w:t>
            </w:r>
          </w:p>
        </w:tc>
      </w:tr>
      <w:tr w14:paraId="6769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58D5C58D">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Cs/>
                <w:kern w:val="0"/>
                <w:sz w:val="24"/>
              </w:rPr>
              <w:t>1</w:t>
            </w:r>
          </w:p>
        </w:tc>
        <w:tc>
          <w:tcPr>
            <w:tcW w:w="1779" w:type="dxa"/>
            <w:vAlign w:val="center"/>
          </w:tcPr>
          <w:p w14:paraId="1C08A012">
            <w:pPr>
              <w:widowControl/>
              <w:spacing w:line="400" w:lineRule="exact"/>
              <w:jc w:val="center"/>
              <w:rPr>
                <w:rFonts w:asciiTheme="minorEastAsia" w:hAnsiTheme="minorEastAsia" w:eastAsiaTheme="minorEastAsia" w:cstheme="minorEastAsia"/>
                <w:b/>
                <w:bCs/>
                <w:spacing w:val="1"/>
                <w:sz w:val="24"/>
              </w:rPr>
            </w:pPr>
          </w:p>
        </w:tc>
        <w:tc>
          <w:tcPr>
            <w:tcW w:w="3725" w:type="dxa"/>
            <w:vAlign w:val="center"/>
          </w:tcPr>
          <w:p w14:paraId="11F190F5">
            <w:pPr>
              <w:spacing w:line="400" w:lineRule="exact"/>
              <w:rPr>
                <w:rFonts w:asciiTheme="minorEastAsia" w:hAnsiTheme="minorEastAsia" w:eastAsiaTheme="minorEastAsia" w:cstheme="minorEastAsia"/>
                <w:b/>
                <w:bCs/>
                <w:spacing w:val="1"/>
                <w:sz w:val="24"/>
              </w:rPr>
            </w:pPr>
          </w:p>
        </w:tc>
        <w:tc>
          <w:tcPr>
            <w:tcW w:w="2549" w:type="dxa"/>
            <w:vAlign w:val="center"/>
          </w:tcPr>
          <w:p w14:paraId="7B52C63D">
            <w:pPr>
              <w:spacing w:line="400" w:lineRule="exact"/>
              <w:outlineLvl w:val="0"/>
              <w:rPr>
                <w:rFonts w:asciiTheme="minorEastAsia" w:hAnsiTheme="minorEastAsia" w:eastAsiaTheme="minorEastAsia" w:cstheme="minorEastAsia"/>
                <w:b/>
                <w:bCs/>
                <w:spacing w:val="1"/>
                <w:sz w:val="24"/>
              </w:rPr>
            </w:pPr>
          </w:p>
        </w:tc>
        <w:tc>
          <w:tcPr>
            <w:tcW w:w="1242" w:type="dxa"/>
            <w:vAlign w:val="center"/>
          </w:tcPr>
          <w:p w14:paraId="318C1E0D">
            <w:pPr>
              <w:spacing w:line="400" w:lineRule="exact"/>
              <w:outlineLvl w:val="0"/>
              <w:rPr>
                <w:rFonts w:asciiTheme="minorEastAsia" w:hAnsiTheme="minorEastAsia" w:eastAsiaTheme="minorEastAsia" w:cstheme="minorEastAsia"/>
                <w:b/>
                <w:bCs/>
                <w:spacing w:val="1"/>
                <w:sz w:val="24"/>
              </w:rPr>
            </w:pPr>
          </w:p>
        </w:tc>
      </w:tr>
      <w:tr w14:paraId="703A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5DAC07B5">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2</w:t>
            </w:r>
          </w:p>
        </w:tc>
        <w:tc>
          <w:tcPr>
            <w:tcW w:w="1779" w:type="dxa"/>
            <w:vAlign w:val="center"/>
          </w:tcPr>
          <w:p w14:paraId="2BB088F1">
            <w:pPr>
              <w:widowControl/>
              <w:spacing w:line="400" w:lineRule="exact"/>
              <w:jc w:val="center"/>
              <w:rPr>
                <w:rFonts w:asciiTheme="minorEastAsia" w:hAnsiTheme="minorEastAsia" w:eastAsiaTheme="minorEastAsia" w:cstheme="minorEastAsia"/>
                <w:kern w:val="0"/>
                <w:sz w:val="24"/>
              </w:rPr>
            </w:pPr>
          </w:p>
        </w:tc>
        <w:tc>
          <w:tcPr>
            <w:tcW w:w="3725" w:type="dxa"/>
            <w:vAlign w:val="center"/>
          </w:tcPr>
          <w:p w14:paraId="2E824564">
            <w:pPr>
              <w:widowControl/>
              <w:spacing w:line="400" w:lineRule="exact"/>
              <w:jc w:val="left"/>
              <w:rPr>
                <w:rFonts w:asciiTheme="minorEastAsia" w:hAnsiTheme="minorEastAsia" w:eastAsiaTheme="minorEastAsia" w:cstheme="minorEastAsia"/>
                <w:kern w:val="0"/>
                <w:sz w:val="24"/>
              </w:rPr>
            </w:pPr>
          </w:p>
        </w:tc>
        <w:tc>
          <w:tcPr>
            <w:tcW w:w="2549" w:type="dxa"/>
          </w:tcPr>
          <w:p w14:paraId="56ACDDE0">
            <w:pPr>
              <w:pStyle w:val="28"/>
              <w:spacing w:line="400" w:lineRule="exact"/>
              <w:ind w:firstLine="0" w:firstLineChars="0"/>
              <w:jc w:val="left"/>
              <w:rPr>
                <w:rFonts w:asciiTheme="minorEastAsia" w:hAnsiTheme="minorEastAsia" w:eastAsiaTheme="minorEastAsia" w:cstheme="minorEastAsia"/>
                <w:kern w:val="0"/>
                <w:sz w:val="24"/>
                <w:szCs w:val="24"/>
              </w:rPr>
            </w:pPr>
          </w:p>
        </w:tc>
        <w:tc>
          <w:tcPr>
            <w:tcW w:w="1242" w:type="dxa"/>
          </w:tcPr>
          <w:p w14:paraId="40C8BE54">
            <w:pPr>
              <w:pStyle w:val="28"/>
              <w:spacing w:line="400" w:lineRule="exact"/>
              <w:ind w:firstLine="0" w:firstLineChars="0"/>
              <w:jc w:val="left"/>
              <w:rPr>
                <w:rFonts w:asciiTheme="minorEastAsia" w:hAnsiTheme="minorEastAsia" w:eastAsiaTheme="minorEastAsia" w:cstheme="minorEastAsia"/>
                <w:kern w:val="0"/>
                <w:sz w:val="24"/>
                <w:szCs w:val="24"/>
              </w:rPr>
            </w:pPr>
          </w:p>
        </w:tc>
      </w:tr>
      <w:tr w14:paraId="19C8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FA17E4D">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3</w:t>
            </w:r>
          </w:p>
        </w:tc>
        <w:tc>
          <w:tcPr>
            <w:tcW w:w="1779" w:type="dxa"/>
            <w:vAlign w:val="center"/>
          </w:tcPr>
          <w:p w14:paraId="4177040C">
            <w:pPr>
              <w:widowControl/>
              <w:spacing w:line="400" w:lineRule="exact"/>
              <w:jc w:val="center"/>
              <w:rPr>
                <w:rFonts w:asciiTheme="minorEastAsia" w:hAnsiTheme="minorEastAsia" w:eastAsiaTheme="minorEastAsia" w:cstheme="minorEastAsia"/>
                <w:kern w:val="0"/>
                <w:sz w:val="24"/>
              </w:rPr>
            </w:pPr>
          </w:p>
        </w:tc>
        <w:tc>
          <w:tcPr>
            <w:tcW w:w="3725" w:type="dxa"/>
            <w:vAlign w:val="center"/>
          </w:tcPr>
          <w:p w14:paraId="0DE3236B">
            <w:pPr>
              <w:spacing w:line="400" w:lineRule="exact"/>
              <w:jc w:val="left"/>
              <w:rPr>
                <w:rFonts w:asciiTheme="minorEastAsia" w:hAnsiTheme="minorEastAsia" w:eastAsiaTheme="minorEastAsia" w:cstheme="minorEastAsia"/>
                <w:kern w:val="0"/>
                <w:sz w:val="24"/>
              </w:rPr>
            </w:pPr>
          </w:p>
        </w:tc>
        <w:tc>
          <w:tcPr>
            <w:tcW w:w="2549" w:type="dxa"/>
          </w:tcPr>
          <w:p w14:paraId="5DD2784A">
            <w:pPr>
              <w:pStyle w:val="28"/>
              <w:spacing w:line="400" w:lineRule="exact"/>
              <w:ind w:firstLine="0" w:firstLineChars="0"/>
              <w:rPr>
                <w:rFonts w:asciiTheme="minorEastAsia" w:hAnsiTheme="minorEastAsia" w:eastAsiaTheme="minorEastAsia" w:cstheme="minorEastAsia"/>
                <w:kern w:val="0"/>
                <w:sz w:val="24"/>
                <w:szCs w:val="24"/>
              </w:rPr>
            </w:pPr>
          </w:p>
        </w:tc>
        <w:tc>
          <w:tcPr>
            <w:tcW w:w="1242" w:type="dxa"/>
          </w:tcPr>
          <w:p w14:paraId="6E5DA677">
            <w:pPr>
              <w:pStyle w:val="28"/>
              <w:spacing w:line="400" w:lineRule="exact"/>
              <w:ind w:firstLine="0" w:firstLineChars="0"/>
              <w:rPr>
                <w:rFonts w:asciiTheme="minorEastAsia" w:hAnsiTheme="minorEastAsia" w:eastAsiaTheme="minorEastAsia" w:cstheme="minorEastAsia"/>
                <w:kern w:val="0"/>
                <w:sz w:val="24"/>
                <w:szCs w:val="24"/>
              </w:rPr>
            </w:pPr>
          </w:p>
        </w:tc>
      </w:tr>
      <w:tr w14:paraId="7202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D6EB1CC">
            <w:pPr>
              <w:widowControl/>
              <w:spacing w:line="400" w:lineRule="exact"/>
              <w:jc w:val="center"/>
              <w:rPr>
                <w:rFonts w:asciiTheme="minorEastAsia" w:hAnsiTheme="minorEastAsia" w:cstheme="minorEastAsia"/>
                <w:kern w:val="0"/>
                <w:sz w:val="24"/>
              </w:rPr>
            </w:pPr>
            <w:r>
              <w:rPr>
                <w:rFonts w:hint="eastAsia" w:ascii="宋体" w:hAnsi="宋体" w:cs="宋体"/>
                <w:bCs/>
                <w:kern w:val="0"/>
                <w:sz w:val="24"/>
              </w:rPr>
              <w:t>...</w:t>
            </w:r>
          </w:p>
        </w:tc>
        <w:tc>
          <w:tcPr>
            <w:tcW w:w="1779" w:type="dxa"/>
            <w:vAlign w:val="center"/>
          </w:tcPr>
          <w:p w14:paraId="0AA7AF96">
            <w:pPr>
              <w:widowControl/>
              <w:spacing w:line="400" w:lineRule="exact"/>
              <w:jc w:val="center"/>
              <w:rPr>
                <w:rFonts w:asciiTheme="minorEastAsia" w:hAnsiTheme="minorEastAsia" w:eastAsiaTheme="minorEastAsia" w:cstheme="minorEastAsia"/>
                <w:kern w:val="0"/>
                <w:sz w:val="24"/>
              </w:rPr>
            </w:pPr>
          </w:p>
        </w:tc>
        <w:tc>
          <w:tcPr>
            <w:tcW w:w="3725" w:type="dxa"/>
            <w:vAlign w:val="center"/>
          </w:tcPr>
          <w:p w14:paraId="5E07C41D">
            <w:pPr>
              <w:pStyle w:val="3"/>
              <w:spacing w:line="400" w:lineRule="exact"/>
              <w:outlineLvl w:val="3"/>
              <w:rPr>
                <w:rFonts w:asciiTheme="minorEastAsia" w:hAnsiTheme="minorEastAsia" w:eastAsiaTheme="minorEastAsia" w:cstheme="minorEastAsia"/>
                <w:kern w:val="0"/>
                <w:sz w:val="24"/>
              </w:rPr>
            </w:pPr>
          </w:p>
        </w:tc>
        <w:tc>
          <w:tcPr>
            <w:tcW w:w="2549" w:type="dxa"/>
          </w:tcPr>
          <w:p w14:paraId="6AFB7655">
            <w:pPr>
              <w:pStyle w:val="28"/>
              <w:spacing w:line="400" w:lineRule="exact"/>
              <w:ind w:firstLine="0" w:firstLineChars="0"/>
              <w:rPr>
                <w:rFonts w:asciiTheme="minorEastAsia" w:hAnsiTheme="minorEastAsia" w:eastAsiaTheme="minorEastAsia" w:cstheme="minorEastAsia"/>
                <w:kern w:val="0"/>
                <w:sz w:val="24"/>
                <w:szCs w:val="24"/>
              </w:rPr>
            </w:pPr>
          </w:p>
        </w:tc>
        <w:tc>
          <w:tcPr>
            <w:tcW w:w="1242" w:type="dxa"/>
          </w:tcPr>
          <w:p w14:paraId="4BF78700">
            <w:pPr>
              <w:pStyle w:val="28"/>
              <w:spacing w:line="400" w:lineRule="exact"/>
              <w:ind w:firstLine="0" w:firstLineChars="0"/>
              <w:rPr>
                <w:rFonts w:asciiTheme="minorEastAsia" w:hAnsiTheme="minorEastAsia" w:eastAsiaTheme="minorEastAsia" w:cstheme="minorEastAsia"/>
                <w:kern w:val="0"/>
                <w:sz w:val="24"/>
                <w:szCs w:val="24"/>
              </w:rPr>
            </w:pPr>
          </w:p>
        </w:tc>
      </w:tr>
      <w:tr w14:paraId="3CEF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10075" w:type="dxa"/>
            <w:gridSpan w:val="5"/>
            <w:vAlign w:val="center"/>
          </w:tcPr>
          <w:p w14:paraId="74B2D688">
            <w:pPr>
              <w:pStyle w:val="3"/>
              <w:spacing w:line="400" w:lineRule="exact"/>
              <w:jc w:val="left"/>
              <w:outlineLvl w:val="3"/>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注：1.按“第二章  项目需求和说明”逐条响应</w:t>
            </w:r>
          </w:p>
          <w:p w14:paraId="0BDD1EB7">
            <w:pPr>
              <w:pStyle w:val="3"/>
              <w:spacing w:line="400" w:lineRule="exact"/>
              <w:ind w:firstLine="422" w:firstLineChars="200"/>
              <w:jc w:val="left"/>
              <w:outlineLvl w:val="3"/>
            </w:pPr>
          </w:p>
        </w:tc>
      </w:tr>
    </w:tbl>
    <w:p w14:paraId="5CE2738A">
      <w:pPr>
        <w:pStyle w:val="6"/>
        <w:spacing w:line="400" w:lineRule="exact"/>
      </w:pPr>
    </w:p>
    <w:p w14:paraId="7677611A">
      <w:pPr>
        <w:spacing w:line="400" w:lineRule="exact"/>
        <w:rPr>
          <w:rFonts w:ascii="宋体" w:hAnsi="宋体" w:cs="宋体"/>
          <w:b/>
          <w:sz w:val="30"/>
          <w:szCs w:val="30"/>
        </w:rPr>
      </w:pPr>
    </w:p>
    <w:p w14:paraId="5CD518D5">
      <w:pPr>
        <w:spacing w:line="400" w:lineRule="exact"/>
        <w:jc w:val="center"/>
        <w:rPr>
          <w:rFonts w:ascii="宋体" w:hAnsi="宋体" w:cs="宋体"/>
          <w:b/>
          <w:sz w:val="30"/>
          <w:szCs w:val="30"/>
        </w:rPr>
      </w:pPr>
    </w:p>
    <w:p w14:paraId="76267CEA">
      <w:pPr>
        <w:spacing w:line="400" w:lineRule="exact"/>
        <w:jc w:val="center"/>
        <w:rPr>
          <w:rFonts w:ascii="宋体" w:hAnsi="宋体" w:cs="宋体"/>
          <w:b/>
          <w:sz w:val="30"/>
          <w:szCs w:val="30"/>
        </w:rPr>
      </w:pPr>
    </w:p>
    <w:p w14:paraId="3D931F89">
      <w:pPr>
        <w:spacing w:line="400" w:lineRule="exact"/>
        <w:jc w:val="center"/>
        <w:rPr>
          <w:rFonts w:ascii="宋体" w:hAnsi="宋体" w:cs="宋体"/>
          <w:b/>
          <w:sz w:val="30"/>
          <w:szCs w:val="30"/>
        </w:rPr>
      </w:pPr>
    </w:p>
    <w:p w14:paraId="502D8E6E">
      <w:pPr>
        <w:spacing w:line="400" w:lineRule="exact"/>
        <w:jc w:val="center"/>
        <w:rPr>
          <w:rFonts w:ascii="宋体" w:hAnsi="宋体" w:cs="宋体"/>
          <w:b/>
          <w:sz w:val="30"/>
          <w:szCs w:val="30"/>
        </w:rPr>
      </w:pPr>
    </w:p>
    <w:p w14:paraId="7EBDEC9F">
      <w:pPr>
        <w:spacing w:line="400" w:lineRule="exact"/>
        <w:jc w:val="center"/>
        <w:rPr>
          <w:rFonts w:ascii="宋体" w:hAnsi="宋体" w:cs="宋体"/>
          <w:b/>
          <w:sz w:val="30"/>
          <w:szCs w:val="30"/>
        </w:rPr>
      </w:pPr>
    </w:p>
    <w:p w14:paraId="572B87B9">
      <w:pPr>
        <w:spacing w:line="400" w:lineRule="exact"/>
        <w:jc w:val="center"/>
        <w:rPr>
          <w:rFonts w:ascii="宋体" w:hAnsi="宋体" w:cs="宋体"/>
          <w:b/>
          <w:sz w:val="30"/>
          <w:szCs w:val="30"/>
        </w:rPr>
      </w:pPr>
    </w:p>
    <w:p w14:paraId="3C0296B4">
      <w:pPr>
        <w:spacing w:line="400" w:lineRule="exact"/>
        <w:jc w:val="center"/>
        <w:rPr>
          <w:rFonts w:ascii="宋体" w:hAnsi="宋体" w:cs="宋体"/>
          <w:b/>
          <w:sz w:val="30"/>
          <w:szCs w:val="30"/>
        </w:rPr>
      </w:pPr>
    </w:p>
    <w:p w14:paraId="4A5C50B4">
      <w:pPr>
        <w:spacing w:line="400" w:lineRule="exact"/>
        <w:jc w:val="center"/>
        <w:rPr>
          <w:rFonts w:ascii="宋体" w:hAnsi="宋体" w:cs="宋体"/>
          <w:b/>
          <w:sz w:val="30"/>
          <w:szCs w:val="30"/>
        </w:rPr>
      </w:pPr>
    </w:p>
    <w:p w14:paraId="5290F703">
      <w:pPr>
        <w:spacing w:line="400" w:lineRule="exact"/>
        <w:jc w:val="center"/>
        <w:rPr>
          <w:rFonts w:ascii="宋体" w:hAnsi="宋体" w:cs="宋体"/>
          <w:b/>
          <w:sz w:val="30"/>
          <w:szCs w:val="30"/>
        </w:rPr>
      </w:pPr>
    </w:p>
    <w:p w14:paraId="1E60FDF7">
      <w:pPr>
        <w:spacing w:line="400" w:lineRule="exact"/>
        <w:jc w:val="center"/>
        <w:rPr>
          <w:rFonts w:ascii="宋体" w:hAnsi="宋体" w:cs="宋体"/>
          <w:b/>
          <w:sz w:val="30"/>
          <w:szCs w:val="30"/>
        </w:rPr>
      </w:pPr>
    </w:p>
    <w:p w14:paraId="09FBB856">
      <w:pPr>
        <w:spacing w:line="400" w:lineRule="exact"/>
        <w:jc w:val="left"/>
        <w:rPr>
          <w:rFonts w:ascii="宋体" w:hAnsi="宋体" w:cs="宋体"/>
          <w:b/>
          <w:sz w:val="30"/>
          <w:szCs w:val="30"/>
        </w:rPr>
      </w:pPr>
      <w:r>
        <w:rPr>
          <w:rFonts w:hint="eastAsia" w:ascii="宋体" w:hAnsi="宋体" w:cs="宋体"/>
          <w:b/>
          <w:sz w:val="30"/>
          <w:szCs w:val="30"/>
        </w:rPr>
        <w:br w:type="page"/>
      </w:r>
    </w:p>
    <w:p w14:paraId="18DB7949">
      <w:pPr>
        <w:spacing w:line="400" w:lineRule="exact"/>
        <w:jc w:val="center"/>
        <w:rPr>
          <w:rFonts w:ascii="宋体" w:hAnsi="宋体" w:cs="宋体"/>
          <w:sz w:val="24"/>
        </w:rPr>
      </w:pPr>
      <w:r>
        <w:rPr>
          <w:rFonts w:hint="eastAsia" w:ascii="宋体" w:hAnsi="宋体" w:cs="宋体"/>
          <w:b/>
          <w:sz w:val="30"/>
          <w:szCs w:val="30"/>
        </w:rPr>
        <w:t>商务需求响应表</w:t>
      </w:r>
    </w:p>
    <w:p w14:paraId="36C8A848">
      <w:pPr>
        <w:spacing w:line="40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4AECA5ED">
      <w:pPr>
        <w:spacing w:line="400" w:lineRule="exact"/>
        <w:rPr>
          <w:rFonts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tbl>
      <w:tblPr>
        <w:tblStyle w:val="21"/>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751"/>
        <w:gridCol w:w="2523"/>
        <w:gridCol w:w="1242"/>
      </w:tblGrid>
      <w:tr w14:paraId="1F88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06769398">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序号</w:t>
            </w:r>
          </w:p>
        </w:tc>
        <w:tc>
          <w:tcPr>
            <w:tcW w:w="1779" w:type="dxa"/>
            <w:vAlign w:val="center"/>
          </w:tcPr>
          <w:p w14:paraId="77053439">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lang w:val="en-US" w:eastAsia="zh-CN"/>
              </w:rPr>
              <w:t>服务</w:t>
            </w:r>
            <w:r>
              <w:rPr>
                <w:rFonts w:hint="eastAsia" w:ascii="宋体" w:hAnsi="宋体" w:cs="宋体"/>
                <w:b/>
                <w:bCs/>
                <w:kern w:val="0"/>
                <w:sz w:val="24"/>
              </w:rPr>
              <w:t>需求</w:t>
            </w:r>
          </w:p>
        </w:tc>
        <w:tc>
          <w:tcPr>
            <w:tcW w:w="3751" w:type="dxa"/>
            <w:vAlign w:val="center"/>
          </w:tcPr>
          <w:p w14:paraId="1D3F0FAC">
            <w:pPr>
              <w:widowControl/>
              <w:spacing w:line="400" w:lineRule="exact"/>
              <w:jc w:val="center"/>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需求内容</w:t>
            </w:r>
          </w:p>
        </w:tc>
        <w:tc>
          <w:tcPr>
            <w:tcW w:w="2523" w:type="dxa"/>
            <w:vAlign w:val="center"/>
          </w:tcPr>
          <w:p w14:paraId="609E953D">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投标文件的响应内容</w:t>
            </w:r>
          </w:p>
        </w:tc>
        <w:tc>
          <w:tcPr>
            <w:tcW w:w="1242" w:type="dxa"/>
            <w:vAlign w:val="center"/>
          </w:tcPr>
          <w:p w14:paraId="0E04A85F">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响应情况</w:t>
            </w:r>
          </w:p>
        </w:tc>
      </w:tr>
      <w:tr w14:paraId="423F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7F1C8438">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Cs/>
                <w:kern w:val="0"/>
                <w:sz w:val="24"/>
              </w:rPr>
              <w:t>1</w:t>
            </w:r>
          </w:p>
        </w:tc>
        <w:tc>
          <w:tcPr>
            <w:tcW w:w="1779" w:type="dxa"/>
            <w:vAlign w:val="center"/>
          </w:tcPr>
          <w:p w14:paraId="48AB6634">
            <w:pPr>
              <w:widowControl/>
              <w:spacing w:line="400" w:lineRule="exact"/>
              <w:jc w:val="center"/>
              <w:rPr>
                <w:rFonts w:asciiTheme="minorEastAsia" w:hAnsiTheme="minorEastAsia" w:eastAsiaTheme="minorEastAsia" w:cstheme="minorEastAsia"/>
                <w:b/>
                <w:bCs/>
                <w:spacing w:val="1"/>
                <w:sz w:val="24"/>
              </w:rPr>
            </w:pPr>
          </w:p>
        </w:tc>
        <w:tc>
          <w:tcPr>
            <w:tcW w:w="3751" w:type="dxa"/>
            <w:vAlign w:val="center"/>
          </w:tcPr>
          <w:p w14:paraId="218D2C6E">
            <w:pPr>
              <w:spacing w:line="400" w:lineRule="exact"/>
              <w:rPr>
                <w:rFonts w:asciiTheme="minorEastAsia" w:hAnsiTheme="minorEastAsia" w:eastAsiaTheme="minorEastAsia" w:cstheme="minorEastAsia"/>
                <w:b/>
                <w:bCs/>
                <w:spacing w:val="1"/>
                <w:sz w:val="24"/>
              </w:rPr>
            </w:pPr>
          </w:p>
        </w:tc>
        <w:tc>
          <w:tcPr>
            <w:tcW w:w="2523" w:type="dxa"/>
            <w:vAlign w:val="center"/>
          </w:tcPr>
          <w:p w14:paraId="49DB77F8">
            <w:pPr>
              <w:spacing w:line="400" w:lineRule="exact"/>
              <w:outlineLvl w:val="0"/>
              <w:rPr>
                <w:rFonts w:asciiTheme="minorEastAsia" w:hAnsiTheme="minorEastAsia" w:eastAsiaTheme="minorEastAsia" w:cstheme="minorEastAsia"/>
                <w:b/>
                <w:bCs/>
                <w:spacing w:val="1"/>
                <w:sz w:val="24"/>
              </w:rPr>
            </w:pPr>
          </w:p>
        </w:tc>
        <w:tc>
          <w:tcPr>
            <w:tcW w:w="1242" w:type="dxa"/>
            <w:vAlign w:val="center"/>
          </w:tcPr>
          <w:p w14:paraId="395EABF4">
            <w:pPr>
              <w:spacing w:line="400" w:lineRule="exact"/>
              <w:outlineLvl w:val="0"/>
              <w:rPr>
                <w:rFonts w:asciiTheme="minorEastAsia" w:hAnsiTheme="minorEastAsia" w:eastAsiaTheme="minorEastAsia" w:cstheme="minorEastAsia"/>
                <w:b/>
                <w:bCs/>
                <w:spacing w:val="1"/>
                <w:sz w:val="24"/>
              </w:rPr>
            </w:pPr>
          </w:p>
        </w:tc>
      </w:tr>
      <w:tr w14:paraId="36AF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108E88E">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2</w:t>
            </w:r>
          </w:p>
        </w:tc>
        <w:tc>
          <w:tcPr>
            <w:tcW w:w="1779" w:type="dxa"/>
            <w:vAlign w:val="center"/>
          </w:tcPr>
          <w:p w14:paraId="7DA64AFC">
            <w:pPr>
              <w:widowControl/>
              <w:spacing w:line="400" w:lineRule="exact"/>
              <w:jc w:val="center"/>
              <w:rPr>
                <w:rFonts w:asciiTheme="minorEastAsia" w:hAnsiTheme="minorEastAsia" w:eastAsiaTheme="minorEastAsia" w:cstheme="minorEastAsia"/>
                <w:kern w:val="0"/>
                <w:sz w:val="24"/>
              </w:rPr>
            </w:pPr>
          </w:p>
        </w:tc>
        <w:tc>
          <w:tcPr>
            <w:tcW w:w="3751" w:type="dxa"/>
            <w:vAlign w:val="center"/>
          </w:tcPr>
          <w:p w14:paraId="09634DC1">
            <w:pPr>
              <w:widowControl/>
              <w:spacing w:line="400" w:lineRule="exact"/>
              <w:jc w:val="left"/>
              <w:rPr>
                <w:rFonts w:asciiTheme="minorEastAsia" w:hAnsiTheme="minorEastAsia" w:eastAsiaTheme="minorEastAsia" w:cstheme="minorEastAsia"/>
                <w:kern w:val="0"/>
                <w:sz w:val="24"/>
              </w:rPr>
            </w:pPr>
          </w:p>
        </w:tc>
        <w:tc>
          <w:tcPr>
            <w:tcW w:w="2523" w:type="dxa"/>
          </w:tcPr>
          <w:p w14:paraId="3395D84A">
            <w:pPr>
              <w:pStyle w:val="28"/>
              <w:spacing w:line="400" w:lineRule="exact"/>
              <w:ind w:firstLine="0" w:firstLineChars="0"/>
              <w:jc w:val="left"/>
              <w:rPr>
                <w:rFonts w:asciiTheme="minorEastAsia" w:hAnsiTheme="minorEastAsia" w:eastAsiaTheme="minorEastAsia" w:cstheme="minorEastAsia"/>
                <w:kern w:val="0"/>
                <w:sz w:val="24"/>
                <w:szCs w:val="24"/>
              </w:rPr>
            </w:pPr>
          </w:p>
        </w:tc>
        <w:tc>
          <w:tcPr>
            <w:tcW w:w="1242" w:type="dxa"/>
          </w:tcPr>
          <w:p w14:paraId="044561EF">
            <w:pPr>
              <w:pStyle w:val="28"/>
              <w:spacing w:line="400" w:lineRule="exact"/>
              <w:ind w:firstLine="0" w:firstLineChars="0"/>
              <w:jc w:val="left"/>
              <w:rPr>
                <w:rFonts w:asciiTheme="minorEastAsia" w:hAnsiTheme="minorEastAsia" w:eastAsiaTheme="minorEastAsia" w:cstheme="minorEastAsia"/>
                <w:kern w:val="0"/>
                <w:sz w:val="24"/>
                <w:szCs w:val="24"/>
              </w:rPr>
            </w:pPr>
          </w:p>
        </w:tc>
      </w:tr>
      <w:tr w14:paraId="1424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762E0CAB">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3</w:t>
            </w:r>
          </w:p>
        </w:tc>
        <w:tc>
          <w:tcPr>
            <w:tcW w:w="1779" w:type="dxa"/>
            <w:vAlign w:val="center"/>
          </w:tcPr>
          <w:p w14:paraId="74FAFD97">
            <w:pPr>
              <w:widowControl/>
              <w:spacing w:line="400" w:lineRule="exact"/>
              <w:jc w:val="center"/>
              <w:rPr>
                <w:rFonts w:asciiTheme="minorEastAsia" w:hAnsiTheme="minorEastAsia" w:eastAsiaTheme="minorEastAsia" w:cstheme="minorEastAsia"/>
                <w:kern w:val="0"/>
                <w:sz w:val="24"/>
              </w:rPr>
            </w:pPr>
          </w:p>
        </w:tc>
        <w:tc>
          <w:tcPr>
            <w:tcW w:w="3751" w:type="dxa"/>
            <w:vAlign w:val="center"/>
          </w:tcPr>
          <w:p w14:paraId="6430E47B">
            <w:pPr>
              <w:spacing w:line="400" w:lineRule="exact"/>
              <w:jc w:val="left"/>
              <w:rPr>
                <w:rFonts w:asciiTheme="minorEastAsia" w:hAnsiTheme="minorEastAsia" w:eastAsiaTheme="minorEastAsia" w:cstheme="minorEastAsia"/>
                <w:kern w:val="0"/>
                <w:sz w:val="24"/>
              </w:rPr>
            </w:pPr>
          </w:p>
        </w:tc>
        <w:tc>
          <w:tcPr>
            <w:tcW w:w="2523" w:type="dxa"/>
          </w:tcPr>
          <w:p w14:paraId="19CF29D1">
            <w:pPr>
              <w:pStyle w:val="28"/>
              <w:spacing w:line="400" w:lineRule="exact"/>
              <w:ind w:firstLine="0" w:firstLineChars="0"/>
              <w:rPr>
                <w:rFonts w:asciiTheme="minorEastAsia" w:hAnsiTheme="minorEastAsia" w:eastAsiaTheme="minorEastAsia" w:cstheme="minorEastAsia"/>
                <w:kern w:val="0"/>
                <w:sz w:val="24"/>
                <w:szCs w:val="24"/>
              </w:rPr>
            </w:pPr>
          </w:p>
        </w:tc>
        <w:tc>
          <w:tcPr>
            <w:tcW w:w="1242" w:type="dxa"/>
          </w:tcPr>
          <w:p w14:paraId="17654006">
            <w:pPr>
              <w:pStyle w:val="28"/>
              <w:spacing w:line="400" w:lineRule="exact"/>
              <w:ind w:firstLine="0" w:firstLineChars="0"/>
              <w:rPr>
                <w:rFonts w:asciiTheme="minorEastAsia" w:hAnsiTheme="minorEastAsia" w:eastAsiaTheme="minorEastAsia" w:cstheme="minorEastAsia"/>
                <w:kern w:val="0"/>
                <w:sz w:val="24"/>
                <w:szCs w:val="24"/>
              </w:rPr>
            </w:pPr>
          </w:p>
        </w:tc>
      </w:tr>
      <w:tr w14:paraId="583D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1850C227">
            <w:pPr>
              <w:widowControl/>
              <w:spacing w:line="400" w:lineRule="exact"/>
              <w:jc w:val="center"/>
              <w:rPr>
                <w:rFonts w:asciiTheme="minorEastAsia" w:hAnsiTheme="minorEastAsia" w:cstheme="minorEastAsia"/>
                <w:kern w:val="0"/>
                <w:sz w:val="24"/>
              </w:rPr>
            </w:pPr>
            <w:r>
              <w:rPr>
                <w:rFonts w:hint="eastAsia" w:ascii="宋体" w:hAnsi="宋体" w:cs="宋体"/>
                <w:bCs/>
                <w:kern w:val="0"/>
                <w:sz w:val="24"/>
              </w:rPr>
              <w:t>...</w:t>
            </w:r>
          </w:p>
        </w:tc>
        <w:tc>
          <w:tcPr>
            <w:tcW w:w="1779" w:type="dxa"/>
            <w:vAlign w:val="center"/>
          </w:tcPr>
          <w:p w14:paraId="628FF716">
            <w:pPr>
              <w:widowControl/>
              <w:spacing w:line="400" w:lineRule="exact"/>
              <w:jc w:val="center"/>
              <w:rPr>
                <w:rFonts w:asciiTheme="minorEastAsia" w:hAnsiTheme="minorEastAsia" w:eastAsiaTheme="minorEastAsia" w:cstheme="minorEastAsia"/>
                <w:kern w:val="0"/>
                <w:sz w:val="24"/>
              </w:rPr>
            </w:pPr>
          </w:p>
        </w:tc>
        <w:tc>
          <w:tcPr>
            <w:tcW w:w="3751" w:type="dxa"/>
            <w:vAlign w:val="center"/>
          </w:tcPr>
          <w:p w14:paraId="3E3726C7">
            <w:pPr>
              <w:pStyle w:val="3"/>
              <w:spacing w:line="400" w:lineRule="exact"/>
              <w:outlineLvl w:val="3"/>
              <w:rPr>
                <w:rFonts w:asciiTheme="minorEastAsia" w:hAnsiTheme="minorEastAsia" w:eastAsiaTheme="minorEastAsia" w:cstheme="minorEastAsia"/>
                <w:kern w:val="0"/>
                <w:sz w:val="24"/>
              </w:rPr>
            </w:pPr>
          </w:p>
        </w:tc>
        <w:tc>
          <w:tcPr>
            <w:tcW w:w="2523" w:type="dxa"/>
          </w:tcPr>
          <w:p w14:paraId="58A539BA">
            <w:pPr>
              <w:pStyle w:val="28"/>
              <w:spacing w:line="400" w:lineRule="exact"/>
              <w:ind w:firstLine="0" w:firstLineChars="0"/>
              <w:rPr>
                <w:rFonts w:asciiTheme="minorEastAsia" w:hAnsiTheme="minorEastAsia" w:eastAsiaTheme="minorEastAsia" w:cstheme="minorEastAsia"/>
                <w:kern w:val="0"/>
                <w:sz w:val="24"/>
                <w:szCs w:val="24"/>
              </w:rPr>
            </w:pPr>
          </w:p>
        </w:tc>
        <w:tc>
          <w:tcPr>
            <w:tcW w:w="1242" w:type="dxa"/>
          </w:tcPr>
          <w:p w14:paraId="4F4439A1">
            <w:pPr>
              <w:pStyle w:val="28"/>
              <w:spacing w:line="400" w:lineRule="exact"/>
              <w:ind w:firstLine="0" w:firstLineChars="0"/>
              <w:rPr>
                <w:rFonts w:asciiTheme="minorEastAsia" w:hAnsiTheme="minorEastAsia" w:eastAsiaTheme="minorEastAsia" w:cstheme="minorEastAsia"/>
                <w:kern w:val="0"/>
                <w:sz w:val="24"/>
                <w:szCs w:val="24"/>
              </w:rPr>
            </w:pPr>
          </w:p>
        </w:tc>
      </w:tr>
      <w:tr w14:paraId="400C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10075" w:type="dxa"/>
            <w:gridSpan w:val="5"/>
            <w:vAlign w:val="center"/>
          </w:tcPr>
          <w:p w14:paraId="0B67DC2E">
            <w:pPr>
              <w:pStyle w:val="3"/>
              <w:spacing w:line="400" w:lineRule="exact"/>
              <w:jc w:val="left"/>
              <w:outlineLvl w:val="3"/>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注：1.按“第二章  项目需求和说明”逐条响应</w:t>
            </w:r>
          </w:p>
          <w:p w14:paraId="482C204C">
            <w:pPr>
              <w:pStyle w:val="3"/>
              <w:spacing w:line="400" w:lineRule="exact"/>
              <w:ind w:firstLine="422" w:firstLineChars="200"/>
              <w:jc w:val="left"/>
              <w:outlineLvl w:val="3"/>
            </w:pPr>
          </w:p>
        </w:tc>
      </w:tr>
    </w:tbl>
    <w:p w14:paraId="39301AB1">
      <w:pPr>
        <w:pStyle w:val="4"/>
        <w:spacing w:line="400" w:lineRule="exact"/>
        <w:ind w:left="0"/>
        <w:rPr>
          <w:rFonts w:ascii="宋体" w:hAnsi="宋体" w:cs="宋体"/>
          <w:sz w:val="24"/>
        </w:rPr>
      </w:pPr>
    </w:p>
    <w:p w14:paraId="5CD39210">
      <w:pPr>
        <w:spacing w:line="400" w:lineRule="exact"/>
        <w:rPr>
          <w:rFonts w:hAnsi="宋体"/>
          <w:b/>
          <w:szCs w:val="21"/>
        </w:rPr>
      </w:pPr>
    </w:p>
    <w:p w14:paraId="3B97636D">
      <w:pPr>
        <w:spacing w:line="400" w:lineRule="exact"/>
        <w:rPr>
          <w:rFonts w:hAnsi="宋体"/>
          <w:b/>
          <w:szCs w:val="21"/>
        </w:rPr>
      </w:pPr>
    </w:p>
    <w:p w14:paraId="39CE30DA">
      <w:pPr>
        <w:spacing w:line="400" w:lineRule="exact"/>
        <w:jc w:val="center"/>
        <w:rPr>
          <w:rFonts w:hAnsi="宋体"/>
          <w:b/>
          <w:sz w:val="32"/>
          <w:szCs w:val="32"/>
        </w:rPr>
      </w:pPr>
    </w:p>
    <w:p w14:paraId="4F208A5C">
      <w:pPr>
        <w:spacing w:line="400" w:lineRule="exact"/>
        <w:jc w:val="center"/>
        <w:rPr>
          <w:rFonts w:hint="eastAsia" w:ascii="宋体" w:hAnsi="宋体" w:eastAsia="宋体" w:cs="宋体"/>
          <w:b/>
          <w:sz w:val="30"/>
          <w:szCs w:val="30"/>
        </w:rPr>
      </w:pPr>
      <w:r>
        <w:rPr>
          <w:rFonts w:hint="eastAsia" w:ascii="宋体" w:hAnsi="宋体" w:eastAsia="宋体" w:cs="宋体"/>
          <w:b/>
          <w:sz w:val="30"/>
          <w:szCs w:val="30"/>
        </w:rPr>
        <w:t>投标人可结合本项目的评标办法视自身情况自行提交相关证明材料（如有，请提供）</w:t>
      </w:r>
    </w:p>
    <w:p w14:paraId="3BB3503D">
      <w:pPr>
        <w:pStyle w:val="3"/>
        <w:spacing w:line="400" w:lineRule="exact"/>
      </w:pPr>
    </w:p>
    <w:p w14:paraId="0082EE4B">
      <w:pPr>
        <w:pStyle w:val="3"/>
        <w:spacing w:line="400" w:lineRule="exact"/>
      </w:pPr>
    </w:p>
    <w:p w14:paraId="3DFB07F9"/>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ongXinCaoTi">
    <w:altName w:val="微软雅黑"/>
    <w:panose1 w:val="00000000000000000000"/>
    <w:charset w:val="86"/>
    <w:family w:val="auto"/>
    <w:pitch w:val="default"/>
    <w:sig w:usb0="00000000" w:usb1="00000000" w:usb2="0000003F" w:usb3="00000000" w:csb0="003F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06E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BF64FF">
                          <w:pPr>
                            <w:pStyle w:val="1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8BF64FF">
                    <w:pPr>
                      <w:pStyle w:val="1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5015">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8986F0">
                          <w:pPr>
                            <w:pStyle w:val="13"/>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3B8986F0">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46299"/>
    <w:multiLevelType w:val="singleLevel"/>
    <w:tmpl w:val="5C946299"/>
    <w:lvl w:ilvl="0"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636D7B"/>
    <w:rsid w:val="00176967"/>
    <w:rsid w:val="0030649A"/>
    <w:rsid w:val="00330B9F"/>
    <w:rsid w:val="003A6A0B"/>
    <w:rsid w:val="004B64B0"/>
    <w:rsid w:val="00560257"/>
    <w:rsid w:val="006907EF"/>
    <w:rsid w:val="00A80F75"/>
    <w:rsid w:val="00AA614D"/>
    <w:rsid w:val="00AD505D"/>
    <w:rsid w:val="00BE2051"/>
    <w:rsid w:val="00C733E3"/>
    <w:rsid w:val="00D848FE"/>
    <w:rsid w:val="00DF5253"/>
    <w:rsid w:val="00E751BA"/>
    <w:rsid w:val="00E865DB"/>
    <w:rsid w:val="01934780"/>
    <w:rsid w:val="03A96CD6"/>
    <w:rsid w:val="03D9195C"/>
    <w:rsid w:val="068C4CD4"/>
    <w:rsid w:val="0D921D8F"/>
    <w:rsid w:val="0ECD78FC"/>
    <w:rsid w:val="104F1475"/>
    <w:rsid w:val="108C228F"/>
    <w:rsid w:val="14337207"/>
    <w:rsid w:val="17604CAC"/>
    <w:rsid w:val="1A960F86"/>
    <w:rsid w:val="1E9D39E6"/>
    <w:rsid w:val="21434BFB"/>
    <w:rsid w:val="22DD18A7"/>
    <w:rsid w:val="263B2C98"/>
    <w:rsid w:val="2C242ED7"/>
    <w:rsid w:val="2C521C0C"/>
    <w:rsid w:val="2DDC315D"/>
    <w:rsid w:val="2FC471B8"/>
    <w:rsid w:val="3416258E"/>
    <w:rsid w:val="346C37EE"/>
    <w:rsid w:val="38E946AA"/>
    <w:rsid w:val="39E82BB3"/>
    <w:rsid w:val="3B765F9D"/>
    <w:rsid w:val="411B6CE5"/>
    <w:rsid w:val="476D6971"/>
    <w:rsid w:val="48685023"/>
    <w:rsid w:val="48D53E3D"/>
    <w:rsid w:val="4D756E58"/>
    <w:rsid w:val="4F043A54"/>
    <w:rsid w:val="52636C17"/>
    <w:rsid w:val="53F71F19"/>
    <w:rsid w:val="59CE28A0"/>
    <w:rsid w:val="5AA862C2"/>
    <w:rsid w:val="62CE02E9"/>
    <w:rsid w:val="63636D7B"/>
    <w:rsid w:val="667E5BC3"/>
    <w:rsid w:val="66EC51E2"/>
    <w:rsid w:val="69B83B3A"/>
    <w:rsid w:val="6B1116BB"/>
    <w:rsid w:val="6F241291"/>
    <w:rsid w:val="6F5536E8"/>
    <w:rsid w:val="6F556273"/>
    <w:rsid w:val="71315032"/>
    <w:rsid w:val="71721589"/>
    <w:rsid w:val="7D925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unhideWhenUsed/>
    <w:qFormat/>
    <w:uiPriority w:val="0"/>
    <w:pPr>
      <w:ind w:left="2940"/>
    </w:pPr>
  </w:style>
  <w:style w:type="paragraph" w:styleId="5">
    <w:name w:val="annotation text"/>
    <w:basedOn w:val="1"/>
    <w:link w:val="29"/>
    <w:qFormat/>
    <w:uiPriority w:val="0"/>
    <w:pPr>
      <w:jc w:val="left"/>
    </w:pPr>
  </w:style>
  <w:style w:type="paragraph" w:styleId="6">
    <w:name w:val="Body Text"/>
    <w:basedOn w:val="1"/>
    <w:next w:val="7"/>
    <w:qFormat/>
    <w:uiPriority w:val="0"/>
    <w:pPr>
      <w:spacing w:after="120"/>
    </w:pPr>
  </w:style>
  <w:style w:type="paragraph" w:styleId="7">
    <w:name w:val="toc 2"/>
    <w:basedOn w:val="1"/>
    <w:next w:val="1"/>
    <w:qFormat/>
    <w:uiPriority w:val="39"/>
    <w:pPr>
      <w:ind w:left="420" w:leftChars="200"/>
    </w:pPr>
  </w:style>
  <w:style w:type="paragraph" w:styleId="8">
    <w:name w:val="Body Text Indent"/>
    <w:basedOn w:val="1"/>
    <w:qFormat/>
    <w:uiPriority w:val="0"/>
    <w:pPr>
      <w:spacing w:line="460" w:lineRule="exact"/>
      <w:ind w:firstLine="560"/>
    </w:pPr>
    <w:rPr>
      <w:sz w:val="28"/>
      <w:szCs w:val="20"/>
    </w:rPr>
  </w:style>
  <w:style w:type="paragraph" w:styleId="9">
    <w:name w:val="index 4"/>
    <w:basedOn w:val="1"/>
    <w:next w:val="1"/>
    <w:unhideWhenUsed/>
    <w:qFormat/>
    <w:uiPriority w:val="99"/>
    <w:pPr>
      <w:ind w:left="600" w:leftChars="600"/>
    </w:pPr>
    <w:rPr>
      <w:rFonts w:ascii="Verdana" w:hAnsi="Verdana"/>
      <w:szCs w:val="20"/>
    </w:rPr>
  </w:style>
  <w:style w:type="paragraph" w:styleId="10">
    <w:name w:val="toc 3"/>
    <w:basedOn w:val="1"/>
    <w:next w:val="1"/>
    <w:unhideWhenUsed/>
    <w:qFormat/>
    <w:uiPriority w:val="39"/>
    <w:pPr>
      <w:ind w:left="840" w:leftChars="400"/>
    </w:pPr>
  </w:style>
  <w:style w:type="paragraph" w:styleId="11">
    <w:name w:val="Plain Text"/>
    <w:basedOn w:val="1"/>
    <w:qFormat/>
    <w:uiPriority w:val="0"/>
    <w:rPr>
      <w:rFonts w:ascii="宋体" w:hAnsi="Courier New"/>
      <w:kern w:val="0"/>
      <w:sz w:val="20"/>
      <w:szCs w:val="20"/>
    </w:rPr>
  </w:style>
  <w:style w:type="paragraph" w:styleId="12">
    <w:name w:val="Balloon Text"/>
    <w:basedOn w:val="1"/>
    <w:link w:val="31"/>
    <w:qFormat/>
    <w:uiPriority w:val="0"/>
    <w:rPr>
      <w:sz w:val="18"/>
      <w:szCs w:val="18"/>
    </w:rPr>
  </w:style>
  <w:style w:type="paragraph" w:styleId="13">
    <w:name w:val="footer"/>
    <w:basedOn w:val="1"/>
    <w:qFormat/>
    <w:uiPriority w:val="0"/>
    <w:pPr>
      <w:tabs>
        <w:tab w:val="center" w:pos="4153"/>
        <w:tab w:val="right" w:pos="8306"/>
      </w:tabs>
      <w:snapToGrid w:val="0"/>
      <w:jc w:val="left"/>
    </w:pPr>
    <w:rPr>
      <w:kern w:val="0"/>
      <w:sz w:val="18"/>
      <w:szCs w:val="18"/>
    </w:rPr>
  </w:style>
  <w:style w:type="paragraph" w:styleId="14">
    <w:name w:val="header"/>
    <w:basedOn w:val="1"/>
    <w:next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5">
    <w:name w:val="引用1"/>
    <w:basedOn w:val="1"/>
    <w:next w:val="1"/>
    <w:qFormat/>
    <w:uiPriority w:val="0"/>
    <w:pPr>
      <w:ind w:left="864" w:right="864"/>
      <w:jc w:val="center"/>
    </w:pPr>
    <w:rPr>
      <w:i/>
      <w:iCs/>
      <w:color w:val="404040"/>
      <w:szCs w:val="21"/>
    </w:rPr>
  </w:style>
  <w:style w:type="paragraph" w:styleId="16">
    <w:name w:val="toc 1"/>
    <w:basedOn w:val="1"/>
    <w:next w:val="1"/>
    <w:qFormat/>
    <w:uiPriority w:val="39"/>
  </w:style>
  <w:style w:type="paragraph" w:styleId="17">
    <w:name w:val="Body Text Indent 3"/>
    <w:basedOn w:val="1"/>
    <w:qFormat/>
    <w:uiPriority w:val="0"/>
    <w:pPr>
      <w:spacing w:after="120" w:afterLines="0" w:afterAutospacing="0"/>
      <w:ind w:left="420" w:leftChars="200"/>
    </w:pPr>
    <w:rPr>
      <w:sz w:val="16"/>
    </w:rPr>
  </w:style>
  <w:style w:type="paragraph" w:styleId="18">
    <w:name w:val="Title"/>
    <w:basedOn w:val="1"/>
    <w:next w:val="1"/>
    <w:qFormat/>
    <w:uiPriority w:val="1"/>
    <w:pPr>
      <w:spacing w:before="171"/>
      <w:ind w:left="2520" w:right="2556"/>
      <w:jc w:val="center"/>
    </w:pPr>
    <w:rPr>
      <w:rFonts w:ascii="宋体" w:hAnsi="宋体" w:cs="宋体"/>
      <w:sz w:val="44"/>
      <w:szCs w:val="44"/>
    </w:rPr>
  </w:style>
  <w:style w:type="paragraph" w:styleId="19">
    <w:name w:val="annotation subject"/>
    <w:basedOn w:val="5"/>
    <w:next w:val="5"/>
    <w:link w:val="30"/>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paragraph" w:customStyle="1" w:styleId="26">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7">
    <w:name w:val="列出段落1"/>
    <w:basedOn w:val="1"/>
    <w:qFormat/>
    <w:uiPriority w:val="34"/>
    <w:pPr>
      <w:ind w:left="850"/>
    </w:pPr>
    <w:rPr>
      <w:rFonts w:ascii="Calibri" w:hAnsi="Calibri"/>
      <w:szCs w:val="21"/>
    </w:rPr>
  </w:style>
  <w:style w:type="paragraph" w:customStyle="1" w:styleId="28">
    <w:name w:val="List Paragraph_40b67d30-6b8b-4697-8f49-97c11e174001"/>
    <w:basedOn w:val="1"/>
    <w:qFormat/>
    <w:uiPriority w:val="0"/>
    <w:pPr>
      <w:ind w:firstLine="420" w:firstLineChars="200"/>
    </w:pPr>
    <w:rPr>
      <w:rFonts w:ascii="Calibri" w:hAnsi="Calibri" w:cs="宋体"/>
      <w:szCs w:val="22"/>
    </w:rPr>
  </w:style>
  <w:style w:type="character" w:customStyle="1" w:styleId="29">
    <w:name w:val="批注文字 字符"/>
    <w:basedOn w:val="22"/>
    <w:link w:val="5"/>
    <w:qFormat/>
    <w:uiPriority w:val="0"/>
    <w:rPr>
      <w:rFonts w:ascii="Times New Roman" w:hAnsi="Times New Roman" w:eastAsia="宋体" w:cs="Times New Roman"/>
      <w:kern w:val="2"/>
      <w:sz w:val="21"/>
      <w:szCs w:val="24"/>
    </w:rPr>
  </w:style>
  <w:style w:type="character" w:customStyle="1" w:styleId="30">
    <w:name w:val="批注主题 字符"/>
    <w:basedOn w:val="29"/>
    <w:link w:val="19"/>
    <w:qFormat/>
    <w:uiPriority w:val="0"/>
    <w:rPr>
      <w:rFonts w:ascii="Times New Roman" w:hAnsi="Times New Roman" w:eastAsia="宋体" w:cs="Times New Roman"/>
      <w:b/>
      <w:bCs/>
      <w:kern w:val="2"/>
      <w:sz w:val="21"/>
      <w:szCs w:val="24"/>
    </w:rPr>
  </w:style>
  <w:style w:type="character" w:customStyle="1" w:styleId="31">
    <w:name w:val="批注框文本 字符"/>
    <w:basedOn w:val="22"/>
    <w:link w:val="12"/>
    <w:qFormat/>
    <w:uiPriority w:val="0"/>
    <w:rPr>
      <w:rFonts w:ascii="Times New Roman" w:hAnsi="Times New Roman" w:eastAsia="宋体" w:cs="Times New Roman"/>
      <w:kern w:val="2"/>
      <w:sz w:val="18"/>
      <w:szCs w:val="18"/>
    </w:rPr>
  </w:style>
  <w:style w:type="paragraph" w:customStyle="1" w:styleId="32">
    <w:name w:val="Table Paragraph"/>
    <w:basedOn w:val="1"/>
    <w:qFormat/>
    <w:uiPriority w:val="1"/>
    <w:pPr>
      <w:autoSpaceDE w:val="0"/>
      <w:autoSpaceDN w:val="0"/>
      <w:spacing w:before="132"/>
      <w:ind w:left="108"/>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10302</Words>
  <Characters>10774</Characters>
  <Lines>162</Lines>
  <Paragraphs>45</Paragraphs>
  <TotalTime>18</TotalTime>
  <ScaleCrop>false</ScaleCrop>
  <LinksUpToDate>false</LinksUpToDate>
  <CharactersWithSpaces>11674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2025-05-27T03:40:00Z</dcterms:created>
  <dc:creator>水晶海豚</dc:creator>
  <cp:lastModifiedBy>H.小薇</cp:lastModifiedBy>
  <dcterms:modified xsi:type="dcterms:W3CDTF">2025-07-29T06:46:49Z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392F8F6B21C7464398757098F5AD605A_13</vt:lpwstr>
  </property>
  <property fmtid="{D5CDD505-2E9C-101B-9397-08002B2CF9AE}" pid="4" name="KSOTemplateDocerSaveRecord">
    <vt:lpwstr>eyJoZGlkIjoiZDBlYzBkYTEwODIwYzhjZjA1MTAxNTFkOTI0NzUzNjkiLCJ1c2VySWQiOiIyMjgyNjQ3NTgifQ==</vt:lpwstr>
  </property>
</Properties>
</file>