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1"/>
        <w:spacing w:line="400" w:lineRule="exact"/>
        <w:jc w:val="center"/>
        <w:rPr>
          <w:rFonts w:ascii="Arial" w:hAnsi="Arial" w:eastAsia="楷体_GB2312" w:cs="Arial"/>
          <w:b/>
          <w:bCs/>
          <w:sz w:val="56"/>
          <w:szCs w:val="72"/>
        </w:rPr>
      </w:pPr>
    </w:p>
    <w:p w14:paraId="27362294">
      <w:pPr>
        <w:pStyle w:val="11"/>
        <w:spacing w:line="400" w:lineRule="exact"/>
        <w:jc w:val="center"/>
        <w:rPr>
          <w:rFonts w:ascii="Arial" w:hAnsi="Arial" w:eastAsia="楷体_GB2312" w:cs="Arial"/>
          <w:b/>
          <w:bCs/>
          <w:sz w:val="56"/>
          <w:szCs w:val="72"/>
        </w:rPr>
      </w:pPr>
    </w:p>
    <w:p w14:paraId="62D9450E">
      <w:pPr>
        <w:pStyle w:val="11"/>
        <w:spacing w:line="400" w:lineRule="exact"/>
        <w:jc w:val="center"/>
        <w:rPr>
          <w:rFonts w:ascii="Arial" w:hAnsi="Arial" w:eastAsia="楷体_GB2312" w:cs="Arial"/>
          <w:b/>
          <w:bCs/>
          <w:sz w:val="56"/>
          <w:szCs w:val="72"/>
        </w:rPr>
      </w:pPr>
    </w:p>
    <w:p w14:paraId="443B1A41">
      <w:pPr>
        <w:pStyle w:val="11"/>
        <w:spacing w:line="400" w:lineRule="exact"/>
        <w:jc w:val="center"/>
        <w:rPr>
          <w:rFonts w:ascii="Arial" w:hAnsi="Arial" w:eastAsia="楷体_GB2312" w:cs="Arial"/>
          <w:b/>
          <w:bCs/>
          <w:sz w:val="56"/>
          <w:szCs w:val="72"/>
        </w:rPr>
      </w:pPr>
    </w:p>
    <w:p w14:paraId="2A6B063B">
      <w:pPr>
        <w:pStyle w:val="11"/>
        <w:spacing w:line="400" w:lineRule="exact"/>
        <w:jc w:val="center"/>
        <w:rPr>
          <w:rFonts w:ascii="Arial" w:hAnsi="Arial" w:eastAsia="楷体_GB2312" w:cs="Arial"/>
          <w:b/>
          <w:bCs/>
          <w:sz w:val="56"/>
          <w:szCs w:val="72"/>
        </w:rPr>
      </w:pPr>
    </w:p>
    <w:p w14:paraId="66DADE5F">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76719225">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lang w:val="en-US" w:eastAsia="zh-CN"/>
        </w:rPr>
        <w:t>综合通信业务采购项目（重）</w:t>
      </w:r>
      <w:r>
        <w:rPr>
          <w:rFonts w:hint="eastAsia" w:hAnsi="宋体" w:cs="宋体"/>
          <w:b/>
          <w:bCs/>
          <w:sz w:val="48"/>
          <w:szCs w:val="48"/>
        </w:rPr>
        <w:t>招标文件</w:t>
      </w:r>
    </w:p>
    <w:p w14:paraId="7E00859B">
      <w:pPr>
        <w:pStyle w:val="11"/>
        <w:spacing w:line="400" w:lineRule="exact"/>
        <w:jc w:val="center"/>
        <w:rPr>
          <w:rFonts w:ascii="Arial" w:hAnsi="Arial" w:eastAsia="楷体_GB2312" w:cs="Arial"/>
          <w:b/>
          <w:bCs/>
          <w:sz w:val="24"/>
          <w:szCs w:val="24"/>
        </w:rPr>
      </w:pPr>
    </w:p>
    <w:p w14:paraId="7512885C">
      <w:pPr>
        <w:pStyle w:val="11"/>
        <w:spacing w:line="400" w:lineRule="exact"/>
        <w:ind w:firstLine="2695"/>
        <w:rPr>
          <w:rFonts w:ascii="Arial" w:hAnsi="Arial" w:cs="Arial"/>
          <w:sz w:val="24"/>
          <w:szCs w:val="24"/>
        </w:rPr>
      </w:pPr>
    </w:p>
    <w:p w14:paraId="630637C4">
      <w:pPr>
        <w:pStyle w:val="11"/>
        <w:spacing w:line="400" w:lineRule="exact"/>
        <w:ind w:firstLine="2695"/>
        <w:rPr>
          <w:rFonts w:ascii="Arial" w:hAnsi="Arial" w:cs="Arial"/>
          <w:sz w:val="28"/>
        </w:rPr>
      </w:pPr>
      <w:r>
        <w:rPr>
          <w:rFonts w:ascii="Arial" w:hAnsi="Arial" w:cs="Arial"/>
          <w:sz w:val="28"/>
        </w:rPr>
        <w:cr/>
      </w:r>
    </w:p>
    <w:p w14:paraId="00964E45">
      <w:pPr>
        <w:pStyle w:val="11"/>
        <w:spacing w:line="400" w:lineRule="exact"/>
        <w:ind w:firstLine="2695"/>
        <w:rPr>
          <w:rFonts w:ascii="Arial" w:hAnsi="Arial" w:cs="Arial"/>
          <w:sz w:val="28"/>
        </w:rPr>
      </w:pPr>
    </w:p>
    <w:p w14:paraId="21456E68">
      <w:pPr>
        <w:pStyle w:val="11"/>
        <w:spacing w:line="400" w:lineRule="exact"/>
        <w:ind w:firstLine="2695"/>
        <w:rPr>
          <w:rFonts w:ascii="Arial" w:hAnsi="Arial" w:cs="Arial"/>
          <w:sz w:val="28"/>
        </w:rPr>
      </w:pPr>
    </w:p>
    <w:p w14:paraId="7FA94E3E">
      <w:pPr>
        <w:pStyle w:val="11"/>
        <w:spacing w:line="400" w:lineRule="exact"/>
        <w:ind w:firstLine="2695"/>
        <w:rPr>
          <w:rFonts w:ascii="Arial" w:hAnsi="Arial" w:cs="Arial"/>
          <w:sz w:val="28"/>
        </w:rPr>
      </w:pPr>
    </w:p>
    <w:p w14:paraId="1D2B8A4A">
      <w:pPr>
        <w:pStyle w:val="11"/>
        <w:spacing w:line="400" w:lineRule="exact"/>
        <w:ind w:firstLine="2695"/>
        <w:rPr>
          <w:rFonts w:ascii="Arial" w:hAnsi="Arial" w:cs="Arial"/>
          <w:sz w:val="28"/>
        </w:rPr>
      </w:pPr>
    </w:p>
    <w:p w14:paraId="2A64E804">
      <w:pPr>
        <w:pStyle w:val="11"/>
        <w:spacing w:line="400" w:lineRule="exact"/>
        <w:ind w:firstLine="2695"/>
        <w:rPr>
          <w:rFonts w:ascii="Arial" w:hAnsi="Arial" w:cs="Arial"/>
          <w:sz w:val="28"/>
        </w:rPr>
      </w:pPr>
    </w:p>
    <w:p w14:paraId="7C259E97">
      <w:pPr>
        <w:pStyle w:val="11"/>
        <w:spacing w:line="400" w:lineRule="exact"/>
        <w:rPr>
          <w:rFonts w:ascii="Arial" w:hAnsi="Arial" w:cs="Arial"/>
          <w:sz w:val="28"/>
        </w:rPr>
      </w:pPr>
    </w:p>
    <w:p w14:paraId="4A420F73">
      <w:pPr>
        <w:pStyle w:val="11"/>
        <w:spacing w:line="400" w:lineRule="exact"/>
        <w:rPr>
          <w:rFonts w:ascii="Arial" w:hAnsi="Arial" w:cs="Arial"/>
          <w:sz w:val="28"/>
        </w:rPr>
      </w:pPr>
    </w:p>
    <w:p w14:paraId="63578DB6">
      <w:pPr>
        <w:pStyle w:val="4"/>
        <w:spacing w:line="400" w:lineRule="exact"/>
        <w:rPr>
          <w:rFonts w:ascii="Arial" w:hAnsi="Arial" w:cs="Arial"/>
          <w:sz w:val="28"/>
        </w:rPr>
      </w:pPr>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23F23DE4">
      <w:pPr>
        <w:spacing w:line="400" w:lineRule="exact"/>
      </w:pPr>
    </w:p>
    <w:p w14:paraId="2549DD68">
      <w:pPr>
        <w:spacing w:line="400" w:lineRule="exact"/>
      </w:pPr>
    </w:p>
    <w:p w14:paraId="038D2B40">
      <w:pPr>
        <w:spacing w:line="400" w:lineRule="exact"/>
      </w:pPr>
    </w:p>
    <w:p w14:paraId="683B9EC8">
      <w:pPr>
        <w:spacing w:line="400" w:lineRule="exact"/>
        <w:rPr>
          <w:rFonts w:ascii="Arial" w:hAnsi="Arial" w:cs="Arial"/>
          <w:sz w:val="28"/>
        </w:rPr>
      </w:pPr>
    </w:p>
    <w:p w14:paraId="52473CEA">
      <w:pPr>
        <w:pStyle w:val="11"/>
        <w:spacing w:line="400" w:lineRule="exact"/>
        <w:rPr>
          <w:rFonts w:ascii="Arial" w:hAnsi="Arial" w:cs="Arial"/>
          <w:sz w:val="28"/>
        </w:rPr>
      </w:pPr>
    </w:p>
    <w:p w14:paraId="11F8CA2E">
      <w:pPr>
        <w:pStyle w:val="11"/>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30</w:t>
      </w:r>
      <w:r>
        <w:rPr>
          <w:rFonts w:hint="eastAsia" w:hAnsi="宋体" w:cs="宋体"/>
          <w:b/>
          <w:bCs/>
          <w:sz w:val="36"/>
          <w:szCs w:val="36"/>
        </w:rPr>
        <w:t>日</w:t>
      </w:r>
    </w:p>
    <w:p w14:paraId="10711324">
      <w:pPr>
        <w:pStyle w:val="11"/>
        <w:spacing w:line="400" w:lineRule="exact"/>
        <w:jc w:val="center"/>
        <w:rPr>
          <w:rFonts w:hAnsi="宋体" w:cs="宋体"/>
          <w:b/>
          <w:bCs/>
          <w:sz w:val="36"/>
          <w:szCs w:val="36"/>
        </w:rPr>
      </w:pPr>
    </w:p>
    <w:p w14:paraId="5CF80A0B">
      <w:pPr>
        <w:pStyle w:val="11"/>
        <w:spacing w:line="400" w:lineRule="exact"/>
        <w:rPr>
          <w:rFonts w:hAnsi="宋体" w:cs="宋体"/>
          <w:b/>
          <w:bCs/>
          <w:sz w:val="36"/>
          <w:szCs w:val="36"/>
        </w:rPr>
      </w:pPr>
    </w:p>
    <w:p w14:paraId="0200D10E">
      <w:pPr>
        <w:pStyle w:val="24"/>
        <w:spacing w:before="0" w:line="400" w:lineRule="exact"/>
        <w:ind w:left="0"/>
        <w:jc w:val="both"/>
        <w:rPr>
          <w:rFonts w:ascii="Arial" w:hAnsi="宋体" w:eastAsia="宋体" w:cs="Arial"/>
          <w:b/>
          <w:bCs/>
          <w:color w:val="auto"/>
          <w:sz w:val="44"/>
          <w:szCs w:val="44"/>
          <w:lang w:val="zh-CN"/>
        </w:rPr>
      </w:pPr>
    </w:p>
    <w:p w14:paraId="35C30D01">
      <w:pPr>
        <w:rPr>
          <w:lang w:val="zh-CN"/>
        </w:rPr>
      </w:pPr>
    </w:p>
    <w:p w14:paraId="7460B2AA">
      <w:pPr>
        <w:pStyle w:val="24"/>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10"/>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1"/>
          <w:rFonts w:ascii="Arial" w:cs="Arial"/>
          <w:sz w:val="24"/>
        </w:rPr>
        <w:t>第一章</w:t>
      </w:r>
      <w:r>
        <w:rPr>
          <w:rStyle w:val="21"/>
          <w:rFonts w:hint="eastAsia" w:ascii="Arial" w:cs="Arial"/>
          <w:sz w:val="24"/>
        </w:rPr>
        <w:t xml:space="preserve">  招标</w:t>
      </w:r>
      <w:r>
        <w:rPr>
          <w:rStyle w:val="21"/>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10"/>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1"/>
          <w:rFonts w:ascii="Arial" w:cs="Arial"/>
          <w:sz w:val="24"/>
        </w:rPr>
        <w:t>第</w:t>
      </w:r>
      <w:r>
        <w:rPr>
          <w:rStyle w:val="21"/>
          <w:rFonts w:hint="eastAsia" w:ascii="Arial" w:cs="Arial"/>
          <w:sz w:val="24"/>
        </w:rPr>
        <w:t>二</w:t>
      </w:r>
      <w:r>
        <w:rPr>
          <w:rStyle w:val="21"/>
          <w:rFonts w:ascii="Arial" w:cs="Arial"/>
          <w:sz w:val="24"/>
        </w:rPr>
        <w:t>章</w:t>
      </w:r>
      <w:r>
        <w:rPr>
          <w:rStyle w:val="21"/>
          <w:rFonts w:hint="eastAsia" w:ascii="Arial" w:cs="Arial"/>
          <w:sz w:val="24"/>
        </w:rPr>
        <w:t xml:space="preserve">  </w:t>
      </w:r>
      <w:r>
        <w:rPr>
          <w:rStyle w:val="21"/>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10"/>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13</w:t>
      </w:r>
    </w:p>
    <w:p w14:paraId="461DF260">
      <w:pPr>
        <w:pStyle w:val="10"/>
        <w:tabs>
          <w:tab w:val="right" w:leader="dot" w:pos="9628"/>
        </w:tabs>
        <w:spacing w:line="40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16</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1E943568">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现有桂林市人民医院综合通信业务</w:t>
      </w:r>
      <w:r>
        <w:rPr>
          <w:rFonts w:hint="eastAsia" w:ascii="宋体" w:hAnsi="宋体" w:cs="宋体"/>
          <w:bCs/>
          <w:color w:val="auto"/>
          <w:sz w:val="24"/>
        </w:rPr>
        <w:t>采购</w:t>
      </w:r>
      <w:r>
        <w:rPr>
          <w:rFonts w:hint="eastAsia" w:ascii="宋体" w:hAnsi="宋体" w:cs="宋体"/>
          <w:color w:val="auto"/>
          <w:sz w:val="24"/>
        </w:rPr>
        <w:t>项目</w:t>
      </w:r>
      <w:r>
        <w:rPr>
          <w:rFonts w:hint="eastAsia" w:ascii="宋体" w:hAnsi="宋体" w:cs="宋体"/>
          <w:color w:val="auto"/>
          <w:sz w:val="24"/>
          <w:lang w:eastAsia="zh-CN"/>
        </w:rPr>
        <w:t>（</w:t>
      </w:r>
      <w:r>
        <w:rPr>
          <w:rFonts w:hint="eastAsia" w:ascii="宋体" w:hAnsi="宋体" w:cs="宋体"/>
          <w:color w:val="auto"/>
          <w:sz w:val="24"/>
          <w:lang w:val="en-US" w:eastAsia="zh-CN"/>
        </w:rPr>
        <w:t>重）</w:t>
      </w:r>
      <w:r>
        <w:rPr>
          <w:rFonts w:hint="eastAsia" w:ascii="宋体" w:hAnsi="宋体" w:cs="宋体"/>
          <w:color w:val="auto"/>
          <w:sz w:val="24"/>
        </w:rPr>
        <w:t>，为确保质优价廉，决定通过院内公开招标确定供应商，现将有关内容公告如下：</w:t>
      </w:r>
    </w:p>
    <w:p w14:paraId="36D1997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195C756">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r>
        <w:rPr>
          <w:rFonts w:hint="eastAsia" w:ascii="宋体" w:hAnsi="宋体" w:cs="宋体"/>
          <w:color w:val="auto"/>
          <w:sz w:val="24"/>
          <w:lang w:eastAsia="zh-CN"/>
        </w:rPr>
        <w:t>（</w:t>
      </w:r>
      <w:r>
        <w:rPr>
          <w:rFonts w:hint="eastAsia" w:ascii="宋体" w:hAnsi="宋体" w:cs="宋体"/>
          <w:color w:val="auto"/>
          <w:sz w:val="24"/>
          <w:lang w:val="en-US" w:eastAsia="zh-CN"/>
        </w:rPr>
        <w:t>重）</w:t>
      </w:r>
    </w:p>
    <w:p w14:paraId="7680CC7F">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4632180D">
      <w:pPr>
        <w:spacing w:line="400" w:lineRule="exact"/>
        <w:ind w:left="480"/>
        <w:rPr>
          <w:rFonts w:ascii="宋体" w:hAnsi="宋体" w:cs="宋体"/>
          <w:b/>
          <w:bCs/>
          <w:color w:val="auto"/>
          <w:sz w:val="24"/>
        </w:rPr>
      </w:pPr>
      <w:r>
        <w:rPr>
          <w:rFonts w:hint="eastAsia" w:ascii="宋体" w:hAnsi="宋体" w:cs="宋体"/>
          <w:b/>
          <w:bCs/>
          <w:color w:val="auto"/>
          <w:sz w:val="24"/>
        </w:rPr>
        <w:t>（三）项目概况：</w:t>
      </w:r>
    </w:p>
    <w:p w14:paraId="0AD18491">
      <w:pPr>
        <w:spacing w:line="400" w:lineRule="exact"/>
        <w:ind w:firstLine="480" w:firstLineChars="200"/>
        <w:rPr>
          <w:rFonts w:ascii="宋体" w:hAnsi="宋体" w:cs="宋体"/>
          <w:color w:val="auto"/>
          <w:sz w:val="24"/>
        </w:rPr>
      </w:pPr>
      <w:r>
        <w:rPr>
          <w:rFonts w:hint="eastAsia" w:ascii="宋体" w:hAnsi="宋体" w:cs="宋体"/>
          <w:color w:val="auto"/>
          <w:sz w:val="24"/>
        </w:rPr>
        <w:t>1.通过院内公开招标确定桂林市人民医院综合通信业务</w:t>
      </w:r>
      <w:r>
        <w:rPr>
          <w:rFonts w:hint="eastAsia" w:ascii="宋体" w:hAnsi="宋体" w:cs="宋体"/>
          <w:bCs/>
          <w:color w:val="auto"/>
          <w:sz w:val="24"/>
        </w:rPr>
        <w:t>采购</w:t>
      </w:r>
      <w:r>
        <w:rPr>
          <w:rFonts w:hint="eastAsia" w:ascii="宋体" w:hAnsi="宋体" w:cs="宋体"/>
          <w:color w:val="auto"/>
          <w:sz w:val="24"/>
        </w:rPr>
        <w:t>项目</w:t>
      </w:r>
      <w:r>
        <w:rPr>
          <w:rFonts w:hint="eastAsia" w:ascii="宋体" w:hAnsi="宋体" w:cs="宋体"/>
          <w:color w:val="auto"/>
          <w:sz w:val="24"/>
          <w:lang w:eastAsia="zh-CN"/>
        </w:rPr>
        <w:t>（</w:t>
      </w:r>
      <w:r>
        <w:rPr>
          <w:rFonts w:hint="eastAsia" w:ascii="宋体" w:hAnsi="宋体" w:cs="宋体"/>
          <w:color w:val="auto"/>
          <w:sz w:val="24"/>
          <w:lang w:val="en-US" w:eastAsia="zh-CN"/>
        </w:rPr>
        <w:t>重）</w:t>
      </w:r>
      <w:r>
        <w:rPr>
          <w:rFonts w:hint="eastAsia" w:ascii="宋体" w:hAnsi="宋体" w:cs="宋体"/>
          <w:color w:val="auto"/>
          <w:sz w:val="24"/>
        </w:rPr>
        <w:t>供应商。</w:t>
      </w:r>
    </w:p>
    <w:p w14:paraId="22D759FD">
      <w:pPr>
        <w:spacing w:line="400" w:lineRule="exact"/>
        <w:ind w:firstLine="480" w:firstLineChars="200"/>
        <w:rPr>
          <w:rFonts w:ascii="宋体" w:hAnsi="宋体" w:cs="宋体"/>
          <w:color w:val="auto"/>
          <w:sz w:val="24"/>
        </w:rPr>
      </w:pPr>
      <w:r>
        <w:rPr>
          <w:rFonts w:hint="eastAsia" w:ascii="宋体" w:hAnsi="宋体" w:cs="宋体"/>
          <w:color w:val="auto"/>
          <w:sz w:val="24"/>
        </w:rPr>
        <w:t>2.服务地点：桂林市人民医院</w:t>
      </w:r>
    </w:p>
    <w:p w14:paraId="3AA3F1F0">
      <w:pPr>
        <w:spacing w:line="400" w:lineRule="exact"/>
        <w:ind w:firstLine="482" w:firstLineChars="200"/>
        <w:rPr>
          <w:rFonts w:ascii="宋体" w:hAnsi="宋体" w:cs="宋体"/>
          <w:color w:val="auto"/>
          <w:sz w:val="24"/>
        </w:rPr>
      </w:pPr>
      <w:r>
        <w:rPr>
          <w:rFonts w:hint="eastAsia" w:ascii="宋体" w:hAnsi="宋体" w:cs="宋体"/>
          <w:b/>
          <w:bCs/>
          <w:color w:val="auto"/>
          <w:sz w:val="24"/>
        </w:rPr>
        <w:t>（四）</w:t>
      </w:r>
      <w:r>
        <w:rPr>
          <w:rFonts w:hint="eastAsia"/>
          <w:b/>
          <w:bCs/>
          <w:color w:val="auto"/>
          <w:sz w:val="24"/>
          <w:lang w:val="en-US" w:eastAsia="zh-CN"/>
        </w:rPr>
        <w:t>最高限价（</w:t>
      </w:r>
      <w:r>
        <w:rPr>
          <w:rFonts w:hint="eastAsia" w:ascii="宋体" w:hAnsi="宋体" w:eastAsia="宋体" w:cs="宋体"/>
          <w:b/>
          <w:bCs/>
          <w:color w:val="auto"/>
          <w:sz w:val="24"/>
          <w:szCs w:val="24"/>
          <w:lang w:val="en-US" w:eastAsia="zh-CN"/>
        </w:rPr>
        <w:t>人民币</w:t>
      </w:r>
      <w:r>
        <w:rPr>
          <w:rFonts w:hint="eastAsia" w:ascii="宋体" w:hAnsi="宋体" w:cs="宋体"/>
          <w:b/>
          <w:bCs/>
          <w:color w:val="auto"/>
          <w:sz w:val="24"/>
          <w:szCs w:val="24"/>
          <w:lang w:val="en-US" w:eastAsia="zh-CN"/>
        </w:rPr>
        <w:t>）</w:t>
      </w:r>
      <w:r>
        <w:rPr>
          <w:rFonts w:hint="eastAsia" w:ascii="宋体" w:hAnsi="宋体" w:cs="宋体"/>
          <w:b/>
          <w:bCs/>
          <w:color w:val="auto"/>
          <w:sz w:val="24"/>
        </w:rPr>
        <w:t>：</w:t>
      </w:r>
      <w:r>
        <w:rPr>
          <w:rFonts w:hint="eastAsia" w:ascii="宋体" w:hAnsi="宋体" w:cs="宋体"/>
          <w:b w:val="0"/>
          <w:bCs w:val="0"/>
          <w:color w:val="auto"/>
          <w:sz w:val="24"/>
          <w:szCs w:val="24"/>
          <w:lang w:val="en-US" w:eastAsia="zh-CN"/>
        </w:rPr>
        <w:t>肆拾贰万壹仟玖佰伍拾陆元整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421956.00</w:t>
      </w:r>
      <w:r>
        <w:rPr>
          <w:rFonts w:hint="eastAsia" w:ascii="宋体" w:hAnsi="宋体" w:eastAsia="宋体" w:cs="宋体"/>
          <w:b w:val="0"/>
          <w:bCs w:val="0"/>
          <w:color w:val="auto"/>
          <w:sz w:val="24"/>
          <w:szCs w:val="24"/>
          <w:lang w:val="en-US" w:eastAsia="zh-CN"/>
        </w:rPr>
        <w:t>）</w:t>
      </w:r>
      <w:r>
        <w:rPr>
          <w:rFonts w:hint="eastAsia" w:ascii="宋体" w:hAnsi="宋体" w:cs="宋体"/>
          <w:bCs/>
          <w:color w:val="auto"/>
          <w:sz w:val="24"/>
        </w:rPr>
        <w:t>，</w:t>
      </w:r>
      <w:r>
        <w:rPr>
          <w:rFonts w:hint="eastAsia" w:ascii="宋体" w:hAnsi="宋体" w:cs="宋体"/>
          <w:color w:val="auto"/>
          <w:spacing w:val="-2"/>
          <w:sz w:val="24"/>
        </w:rPr>
        <w:t>投标人报价超过最高投标限价的，按无效处理。</w:t>
      </w:r>
      <w:r>
        <w:rPr>
          <w:rFonts w:hint="eastAsia" w:cs="宋体"/>
          <w:color w:val="auto"/>
          <w:sz w:val="24"/>
          <w:shd w:val="clear" w:color="auto" w:fill="FFFFFF"/>
        </w:rPr>
        <w:t>本项目不接受</w:t>
      </w:r>
      <w:r>
        <w:rPr>
          <w:rFonts w:hint="eastAsia" w:ascii="宋体" w:hAnsi="宋体" w:cs="宋体"/>
          <w:color w:val="auto"/>
          <w:sz w:val="24"/>
        </w:rPr>
        <w:t>二次报价。</w:t>
      </w:r>
    </w:p>
    <w:p w14:paraId="3E85526A">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二、供应商资质条件要求</w:t>
      </w:r>
    </w:p>
    <w:p w14:paraId="695FD785">
      <w:pPr>
        <w:spacing w:line="440" w:lineRule="exact"/>
        <w:ind w:firstLine="480" w:firstLineChars="200"/>
        <w:rPr>
          <w:rFonts w:hint="eastAsia" w:ascii="宋体" w:hAnsi="宋体" w:cs="宋体"/>
          <w:color w:val="auto"/>
          <w:kern w:val="0"/>
          <w:sz w:val="24"/>
        </w:rPr>
      </w:pPr>
      <w:bookmarkStart w:id="0" w:name="OLE_LINK33"/>
      <w:r>
        <w:rPr>
          <w:rFonts w:hint="eastAsia" w:ascii="宋体" w:hAnsi="宋体" w:cs="宋体"/>
          <w:color w:val="auto"/>
          <w:kern w:val="0"/>
          <w:sz w:val="24"/>
        </w:rPr>
        <w:t>（1）</w:t>
      </w:r>
      <w:bookmarkEnd w:id="0"/>
      <w:r>
        <w:rPr>
          <w:rFonts w:hint="eastAsia" w:ascii="宋体" w:hAnsi="宋体" w:cs="宋体"/>
          <w:color w:val="auto"/>
          <w:kern w:val="0"/>
          <w:sz w:val="24"/>
        </w:rPr>
        <w:t>国内注册【依法在市场监督管理部门（或行政审批部门）登记注册】的，具备合法资格的供应商；</w:t>
      </w:r>
    </w:p>
    <w:p w14:paraId="6F51E62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（2）本项目不接受在“信用中国”网站(www.creditchina.gov.cn)被列入失信被执行人、重大税收违法失信主体、严重违法失信行为记录名单的供应商参与报价。</w:t>
      </w:r>
    </w:p>
    <w:p w14:paraId="6E59854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3CF353C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（4）本项目不接受联合体参与报价。</w:t>
      </w:r>
    </w:p>
    <w:p w14:paraId="6A125B31">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特别说明：</w:t>
      </w:r>
    </w:p>
    <w:p w14:paraId="41D46F7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181FADA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C757626">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9B8A2FE">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518EFE">
      <w:pPr>
        <w:pStyle w:val="5"/>
        <w:spacing w:line="40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52E759E6">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070AC2B">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D89986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2A89CC2">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21"/>
          <w:rFonts w:hint="eastAsia" w:ascii="宋体" w:hAnsi="宋体" w:cs="宋体"/>
          <w:b/>
          <w:bCs/>
          <w:color w:val="auto"/>
          <w:sz w:val="24"/>
        </w:rPr>
        <w:t>glsrmyyzbb@163.com</w:t>
      </w:r>
      <w:r>
        <w:rPr>
          <w:rStyle w:val="21"/>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09928331">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4BF9191">
      <w:pPr>
        <w:spacing w:line="400" w:lineRule="exact"/>
        <w:ind w:firstLine="480" w:firstLineChars="200"/>
        <w:rPr>
          <w:rFonts w:ascii="宋体" w:hAnsi="宋体" w:cs="宋体"/>
          <w:color w:val="auto"/>
          <w:sz w:val="24"/>
        </w:rPr>
      </w:pPr>
      <w:r>
        <w:rPr>
          <w:rFonts w:hint="eastAsia" w:ascii="宋体" w:hAnsi="宋体" w:cs="宋体"/>
          <w:color w:val="auto"/>
          <w:sz w:val="24"/>
        </w:rPr>
        <w:t>3.投标文件：</w:t>
      </w:r>
    </w:p>
    <w:p w14:paraId="30CFF25E">
      <w:pPr>
        <w:spacing w:line="400" w:lineRule="exact"/>
        <w:ind w:firstLine="480" w:firstLineChars="200"/>
        <w:rPr>
          <w:rFonts w:ascii="宋体" w:hAnsi="宋体" w:cs="宋体"/>
          <w:color w:val="auto"/>
          <w:sz w:val="24"/>
        </w:rPr>
      </w:pPr>
      <w:r>
        <w:rPr>
          <w:rFonts w:hint="eastAsia" w:ascii="宋体" w:hAnsi="宋体" w:cs="宋体"/>
          <w:color w:val="auto"/>
          <w:sz w:val="24"/>
        </w:rPr>
        <w:t>(1)投标文件组成：必须含有但不限于</w:t>
      </w:r>
      <w:r>
        <w:rPr>
          <w:rFonts w:hint="eastAsia" w:ascii="宋体" w:hAnsi="宋体" w:cs="宋体"/>
          <w:color w:val="auto"/>
          <w:sz w:val="24"/>
          <w:lang w:val="en-US" w:eastAsia="zh-CN"/>
        </w:rPr>
        <w:t>投标函（含报价表）</w:t>
      </w:r>
      <w:r>
        <w:rPr>
          <w:rFonts w:hint="eastAsia" w:ascii="宋体" w:hAnsi="宋体" w:cs="宋体"/>
          <w:color w:val="auto"/>
          <w:sz w:val="24"/>
        </w:rPr>
        <w:t>、</w:t>
      </w:r>
      <w:r>
        <w:rPr>
          <w:rFonts w:hint="eastAsia" w:ascii="宋体" w:hAnsi="宋体" w:cs="宋体"/>
          <w:color w:val="auto"/>
          <w:sz w:val="24"/>
          <w:lang w:val="en-US" w:eastAsia="zh-CN"/>
        </w:rPr>
        <w:t>响应表、</w:t>
      </w:r>
      <w:r>
        <w:rPr>
          <w:rFonts w:hint="eastAsia" w:ascii="宋体" w:hAnsi="宋体" w:cs="宋体"/>
          <w:color w:val="auto"/>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cs="宋体"/>
          <w:color w:val="auto"/>
          <w:sz w:val="24"/>
        </w:rPr>
        <w:t>结合本项目的评标办法视自身情况自行提交相关证明</w:t>
      </w:r>
      <w:r>
        <w:rPr>
          <w:rFonts w:hint="eastAsia" w:ascii="宋体" w:hAnsi="宋体" w:cs="宋体"/>
          <w:color w:val="auto"/>
          <w:sz w:val="24"/>
          <w:lang w:val="en-US" w:eastAsia="zh-CN"/>
        </w:rPr>
        <w:t>,（如有）、</w:t>
      </w:r>
      <w:r>
        <w:rPr>
          <w:rFonts w:hint="eastAsia" w:ascii="宋体" w:hAnsi="宋体" w:cs="宋体"/>
          <w:color w:val="auto"/>
          <w:sz w:val="24"/>
        </w:rPr>
        <w:t>联系人</w:t>
      </w:r>
      <w:r>
        <w:rPr>
          <w:rFonts w:hint="eastAsia" w:ascii="宋体" w:hAnsi="宋体" w:cs="宋体"/>
          <w:color w:val="auto"/>
          <w:sz w:val="24"/>
          <w:lang w:val="en-US" w:eastAsia="zh-CN"/>
        </w:rPr>
        <w:t>和</w:t>
      </w:r>
      <w:r>
        <w:rPr>
          <w:rFonts w:hint="eastAsia" w:ascii="宋体" w:hAnsi="宋体" w:cs="宋体"/>
          <w:color w:val="auto"/>
          <w:sz w:val="24"/>
        </w:rPr>
        <w:t>电话等资料。投标人应完整准备上述投标文件的材料，否则由此引起的不利后果由投标人承担。</w:t>
      </w:r>
    </w:p>
    <w:p w14:paraId="41BC2401">
      <w:pPr>
        <w:spacing w:line="400" w:lineRule="exact"/>
        <w:ind w:firstLine="482" w:firstLineChars="200"/>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69BE01C5">
      <w:pPr>
        <w:numPr>
          <w:ilvl w:val="0"/>
          <w:numId w:val="0"/>
        </w:numPr>
        <w:spacing w:line="400" w:lineRule="exact"/>
        <w:ind w:firstLine="480" w:firstLineChars="200"/>
        <w:rPr>
          <w:rFonts w:ascii="宋体" w:hAnsi="宋体" w:cs="宋体"/>
          <w:color w:val="auto"/>
          <w:sz w:val="24"/>
        </w:rPr>
      </w:pPr>
      <w:r>
        <w:rPr>
          <w:rFonts w:ascii="宋体" w:hAnsi="宋体" w:eastAsia="宋体" w:cs="宋体"/>
          <w:color w:val="auto"/>
          <w:kern w:val="2"/>
          <w:sz w:val="24"/>
          <w:szCs w:val="24"/>
          <w:lang w:val="en-US" w:eastAsia="zh-CN" w:bidi="ar-SA"/>
        </w:rPr>
        <w:t>（2）</w:t>
      </w:r>
      <w:r>
        <w:rPr>
          <w:rFonts w:hint="eastAsia" w:ascii="宋体" w:hAnsi="宋体" w:cs="宋体"/>
          <w:color w:val="auto"/>
          <w:sz w:val="24"/>
        </w:rPr>
        <w:t>投标文件份数：正本一份，副本六份。</w:t>
      </w:r>
    </w:p>
    <w:p w14:paraId="3956C061">
      <w:pPr>
        <w:spacing w:line="400" w:lineRule="exact"/>
        <w:ind w:firstLine="480" w:firstLineChars="200"/>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1F0C99">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52332EBC">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1094C462">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63E8E29">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18E09B54">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7BB3B696">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387086DD">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4FF29531">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p w14:paraId="28524887">
      <w:pPr>
        <w:spacing w:line="400" w:lineRule="exact"/>
        <w:rPr>
          <w:rFonts w:ascii="宋体" w:hAnsi="宋体" w:cs="宋体"/>
          <w:color w:val="auto"/>
          <w:sz w:val="24"/>
        </w:rPr>
      </w:pPr>
      <w:r>
        <w:rPr>
          <w:rFonts w:hint="eastAsia" w:ascii="宋体" w:hAnsi="宋体" w:cs="宋体"/>
          <w:b/>
          <w:bCs/>
          <w:color w:val="auto"/>
          <w:w w:val="95"/>
          <w:sz w:val="24"/>
        </w:rPr>
        <w:br w:type="page"/>
      </w:r>
    </w:p>
    <w:p w14:paraId="77B520B5">
      <w:pPr>
        <w:pStyle w:val="2"/>
        <w:spacing w:line="400" w:lineRule="exact"/>
        <w:jc w:val="center"/>
        <w:rPr>
          <w:color w:val="auto"/>
          <w:sz w:val="30"/>
          <w:szCs w:val="30"/>
        </w:rPr>
      </w:pPr>
      <w:r>
        <w:rPr>
          <w:rFonts w:hint="eastAsia"/>
          <w:color w:val="auto"/>
          <w:w w:val="95"/>
          <w:sz w:val="30"/>
          <w:szCs w:val="30"/>
        </w:rPr>
        <w:t xml:space="preserve">第二章  项目需求和说明 </w:t>
      </w:r>
    </w:p>
    <w:p w14:paraId="1A57F443">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r>
        <w:rPr>
          <w:rFonts w:hint="eastAsia" w:ascii="宋体" w:hAnsi="宋体" w:cs="宋体"/>
          <w:color w:val="auto"/>
          <w:sz w:val="24"/>
          <w:lang w:eastAsia="zh-CN"/>
        </w:rPr>
        <w:t>（</w:t>
      </w:r>
      <w:r>
        <w:rPr>
          <w:rFonts w:hint="eastAsia" w:ascii="宋体" w:hAnsi="宋体" w:cs="宋体"/>
          <w:color w:val="auto"/>
          <w:sz w:val="24"/>
          <w:lang w:val="en-US" w:eastAsia="zh-CN"/>
        </w:rPr>
        <w:t>重）</w:t>
      </w:r>
    </w:p>
    <w:p w14:paraId="74F82288">
      <w:pPr>
        <w:spacing w:line="400" w:lineRule="exact"/>
        <w:ind w:firstLine="482" w:firstLineChars="200"/>
        <w:rPr>
          <w:rFonts w:hint="eastAsia" w:ascii="宋体" w:hAnsi="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2A8E99B4">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lang w:val="en-US" w:eastAsia="zh-CN"/>
        </w:rPr>
        <w:t>三</w:t>
      </w:r>
      <w:r>
        <w:rPr>
          <w:rFonts w:hint="eastAsia" w:ascii="宋体" w:hAnsi="宋体" w:cs="宋体"/>
          <w:b/>
          <w:color w:val="auto"/>
          <w:kern w:val="0"/>
          <w:sz w:val="24"/>
        </w:rPr>
        <w:t>、采购需求</w:t>
      </w:r>
      <w:r>
        <w:rPr>
          <w:rFonts w:hint="eastAsia" w:ascii="宋体" w:hAnsi="宋体" w:cs="宋体"/>
          <w:b/>
          <w:color w:val="auto"/>
          <w:kern w:val="0"/>
          <w:sz w:val="24"/>
          <w:lang w:val="en-US" w:eastAsia="zh-CN"/>
        </w:rPr>
        <w:t>(以下技术及商务要求</w:t>
      </w:r>
      <w:r>
        <w:rPr>
          <w:rFonts w:hint="eastAsia" w:ascii="宋体" w:hAnsi="宋体" w:cs="宋体"/>
          <w:b/>
          <w:bCs/>
          <w:color w:val="auto"/>
          <w:sz w:val="24"/>
          <w:szCs w:val="24"/>
        </w:rPr>
        <w:t>均为实质性响应要求，若有任意一项偏离，投标文件按无效处理。</w:t>
      </w:r>
      <w:r>
        <w:rPr>
          <w:rFonts w:hint="eastAsia" w:ascii="宋体" w:hAnsi="宋体" w:cs="宋体"/>
          <w:b/>
          <w:color w:val="auto"/>
          <w:kern w:val="0"/>
          <w:sz w:val="24"/>
          <w:lang w:val="en-US" w:eastAsia="zh-CN"/>
        </w:rPr>
        <w:t>)</w:t>
      </w:r>
    </w:p>
    <w:p w14:paraId="341E63AC">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rPr>
        <w:t>（一）</w:t>
      </w:r>
      <w:r>
        <w:rPr>
          <w:rFonts w:hint="eastAsia" w:ascii="宋体" w:hAnsi="宋体" w:cs="宋体"/>
          <w:b/>
          <w:color w:val="auto"/>
          <w:kern w:val="0"/>
          <w:sz w:val="24"/>
          <w:lang w:val="en-US" w:eastAsia="zh-CN"/>
        </w:rPr>
        <w:t>技术要求</w:t>
      </w:r>
    </w:p>
    <w:p w14:paraId="722CC924">
      <w:pPr>
        <w:spacing w:line="440" w:lineRule="exact"/>
        <w:ind w:firstLine="480" w:firstLineChars="200"/>
        <w:rPr>
          <w:rFonts w:hint="eastAsia" w:ascii="宋体" w:hAnsi="宋体" w:cs="宋体"/>
          <w:color w:val="auto"/>
          <w:kern w:val="0"/>
          <w:sz w:val="24"/>
        </w:rPr>
      </w:pPr>
      <w:r>
        <w:rPr>
          <w:rFonts w:hint="eastAsia" w:ascii="宋体" w:hAnsi="宋体" w:cs="宋体"/>
          <w:bCs/>
          <w:color w:val="auto"/>
          <w:sz w:val="24"/>
        </w:rPr>
        <w:t>本次采购服务内容为：</w:t>
      </w:r>
      <w:bookmarkStart w:id="1" w:name="OLE_LINK38"/>
      <w:r>
        <w:rPr>
          <w:rFonts w:hint="eastAsia" w:ascii="宋体" w:hAnsi="宋体" w:cs="宋体"/>
          <w:bCs/>
          <w:color w:val="auto"/>
          <w:sz w:val="24"/>
        </w:rPr>
        <w:t>2025年人民医院综合通信业务服务</w:t>
      </w:r>
      <w:r>
        <w:rPr>
          <w:rFonts w:hint="eastAsia" w:ascii="宋体" w:hAnsi="宋体" w:cs="宋体"/>
          <w:color w:val="auto"/>
          <w:sz w:val="24"/>
          <w:lang w:eastAsia="zh-CN"/>
        </w:rPr>
        <w:t>（</w:t>
      </w:r>
      <w:r>
        <w:rPr>
          <w:rFonts w:hint="eastAsia" w:ascii="宋体" w:hAnsi="宋体" w:cs="宋体"/>
          <w:color w:val="auto"/>
          <w:sz w:val="24"/>
          <w:lang w:val="en-US" w:eastAsia="zh-CN"/>
        </w:rPr>
        <w:t>重）</w:t>
      </w:r>
      <w:bookmarkStart w:id="6" w:name="_GoBack"/>
      <w:bookmarkEnd w:id="6"/>
      <w:r>
        <w:rPr>
          <w:rFonts w:hint="eastAsia" w:ascii="宋体" w:hAnsi="宋体" w:cs="宋体"/>
          <w:bCs/>
          <w:color w:val="auto"/>
          <w:sz w:val="24"/>
        </w:rPr>
        <w:t>1项</w:t>
      </w:r>
      <w:bookmarkEnd w:id="1"/>
      <w:r>
        <w:rPr>
          <w:rFonts w:hint="eastAsia" w:ascii="宋体" w:hAnsi="宋体" w:cs="宋体"/>
          <w:bCs/>
          <w:color w:val="auto"/>
          <w:sz w:val="24"/>
        </w:rPr>
        <w:t>，具体服务内容及要求如下：</w:t>
      </w:r>
    </w:p>
    <w:p w14:paraId="720E124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w:t>
      </w:r>
      <w:r>
        <w:rPr>
          <w:rFonts w:hint="eastAsia" w:ascii="宋体" w:hAnsi="宋体" w:cs="宋体"/>
          <w:color w:val="auto"/>
          <w:kern w:val="0"/>
          <w:sz w:val="24"/>
        </w:rPr>
        <w:t>提供固话服务</w:t>
      </w:r>
    </w:p>
    <w:p w14:paraId="7712089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采购人现有1</w:t>
      </w:r>
      <w:r>
        <w:rPr>
          <w:rFonts w:hint="eastAsia" w:ascii="宋体" w:hAnsi="宋体" w:cs="宋体"/>
          <w:color w:val="auto"/>
          <w:kern w:val="0"/>
          <w:sz w:val="24"/>
          <w:lang w:val="en-US" w:eastAsia="zh-CN"/>
        </w:rPr>
        <w:t>8</w:t>
      </w:r>
      <w:r>
        <w:rPr>
          <w:rFonts w:hint="eastAsia" w:ascii="宋体" w:hAnsi="宋体" w:cs="宋体"/>
          <w:color w:val="auto"/>
          <w:kern w:val="0"/>
          <w:sz w:val="24"/>
        </w:rPr>
        <w:t>1台配套固定通信终端和电话号码以及12台配套无线固定通信终端和电话号码，投标人须保证提供以下服务：</w:t>
      </w:r>
      <w:bookmarkStart w:id="2" w:name="OLE_LINK11"/>
    </w:p>
    <w:p w14:paraId="184ADD5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bookmarkEnd w:id="2"/>
      <w:r>
        <w:rPr>
          <w:rFonts w:hint="eastAsia" w:ascii="宋体" w:hAnsi="宋体" w:cs="宋体"/>
          <w:color w:val="auto"/>
          <w:kern w:val="0"/>
          <w:sz w:val="24"/>
        </w:rPr>
        <w:t>采购人现有所有固定电话号码保持不变，如采购人实际工作需要新增电话号码的，</w:t>
      </w:r>
      <w:bookmarkStart w:id="3" w:name="OLE_LINK14"/>
      <w:r>
        <w:rPr>
          <w:rFonts w:hint="eastAsia" w:ascii="宋体" w:hAnsi="宋体" w:cs="宋体"/>
          <w:color w:val="auto"/>
          <w:kern w:val="0"/>
          <w:sz w:val="24"/>
        </w:rPr>
        <w:t>投标人</w:t>
      </w:r>
      <w:bookmarkEnd w:id="3"/>
      <w:r>
        <w:rPr>
          <w:rFonts w:hint="eastAsia" w:ascii="宋体" w:hAnsi="宋体" w:cs="宋体"/>
          <w:color w:val="auto"/>
          <w:kern w:val="0"/>
          <w:sz w:val="24"/>
        </w:rPr>
        <w:t>应根据采购人需求新增电话号码；</w:t>
      </w:r>
    </w:p>
    <w:p w14:paraId="7B0C9CA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（2）可拨打和接听内线、市话、国内长途、国际长途（需申请开通），提供来电显示服务、电话录音服务、重拨等基础功能；</w:t>
      </w:r>
    </w:p>
    <w:p w14:paraId="2295BD8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（3）可实现院区任意号段固定电话间短号互拨，内部通话免费。</w:t>
      </w:r>
    </w:p>
    <w:p w14:paraId="1DDDF5FD">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w:t>
      </w:r>
      <w:r>
        <w:rPr>
          <w:rFonts w:hint="eastAsia" w:ascii="宋体" w:hAnsi="宋体" w:cs="宋体"/>
          <w:color w:val="auto"/>
          <w:kern w:val="0"/>
          <w:sz w:val="24"/>
        </w:rPr>
        <w:t>提供光纤、宽带、专线电路及云客服服务</w:t>
      </w:r>
    </w:p>
    <w:p w14:paraId="58006430">
      <w:pPr>
        <w:spacing w:line="440" w:lineRule="exact"/>
        <w:ind w:firstLine="480" w:firstLineChars="200"/>
        <w:rPr>
          <w:rFonts w:hint="eastAsia" w:ascii="宋体" w:hAnsi="宋体" w:cs="宋体"/>
          <w:color w:val="auto"/>
          <w:kern w:val="0"/>
          <w:sz w:val="24"/>
        </w:rPr>
      </w:pPr>
      <w:bookmarkStart w:id="4" w:name="OLE_LINK12"/>
      <w:r>
        <w:rPr>
          <w:rFonts w:hint="eastAsia" w:ascii="宋体" w:hAnsi="宋体" w:cs="宋体"/>
          <w:color w:val="auto"/>
          <w:kern w:val="0"/>
          <w:sz w:val="24"/>
        </w:rPr>
        <w:t>（1）</w:t>
      </w:r>
      <w:bookmarkEnd w:id="4"/>
      <w:r>
        <w:rPr>
          <w:rFonts w:hint="eastAsia" w:ascii="宋体" w:hAnsi="宋体" w:cs="宋体"/>
          <w:color w:val="auto"/>
          <w:kern w:val="0"/>
          <w:sz w:val="24"/>
        </w:rPr>
        <w:t>提供光纤、宽带服务：</w:t>
      </w:r>
    </w:p>
    <w:p w14:paraId="3639350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①人民医院100M办公互联网光纤一条（采用静态IP接入，含1个公网IP地址）；</w:t>
      </w:r>
    </w:p>
    <w:p w14:paraId="1BFCEE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②人民医院1000M办公商务光纤一条（采用动态IP接入，含1个公网IP地址）；</w:t>
      </w:r>
    </w:p>
    <w:p w14:paraId="74A3F74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③北门社区300M办公商务光纤一条（采用动态IP接入，含1个公网IP地址）；</w:t>
      </w:r>
    </w:p>
    <w:p w14:paraId="284DDE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④象山社区300M办公商务光纤一条（采用动态IP接入，含1个公网IP地址）；</w:t>
      </w:r>
    </w:p>
    <w:p w14:paraId="1207FB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⑤人民医院17部病房WiFi（IPTV）；</w:t>
      </w:r>
    </w:p>
    <w:p w14:paraId="0806BA1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⑥人民医院办公宽带两条（两条院办办公200M）；</w:t>
      </w:r>
    </w:p>
    <w:p w14:paraId="55388E7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⑦120指挥台200M办公互联网光纤一条（采用动态IP接入）；</w:t>
      </w:r>
    </w:p>
    <w:p w14:paraId="57C05B0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⑧120指挥台50M办公互联网光纤一条（采用静态IP接入，含1个公网IP地址）；</w:t>
      </w:r>
    </w:p>
    <w:p w14:paraId="2E2127B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⑨120指挥台500M办公宽带两条；</w:t>
      </w:r>
    </w:p>
    <w:p w14:paraId="1A42399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）线路接口为FE/GE电口。</w:t>
      </w:r>
    </w:p>
    <w:p w14:paraId="026C41F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）电路可用率：单条电路端到端全年可用率≥99.9%。</w:t>
      </w:r>
    </w:p>
    <w:p w14:paraId="04D3E2D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）电路误码率：单条电路端到端比特误码率≤1×10-6。</w:t>
      </w:r>
    </w:p>
    <w:p w14:paraId="66086E8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5</w:t>
      </w:r>
      <w:r>
        <w:rPr>
          <w:rFonts w:hint="eastAsia" w:ascii="宋体" w:hAnsi="宋体" w:cs="宋体"/>
          <w:color w:val="auto"/>
          <w:kern w:val="0"/>
          <w:sz w:val="24"/>
        </w:rPr>
        <w:t>）电路丢包率：单条电路端到端丢包率≤0.8%。</w:t>
      </w:r>
    </w:p>
    <w:p w14:paraId="79204D6C">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6</w:t>
      </w:r>
      <w:r>
        <w:rPr>
          <w:rFonts w:hint="eastAsia" w:ascii="宋体" w:hAnsi="宋体" w:cs="宋体"/>
          <w:color w:val="auto"/>
          <w:kern w:val="0"/>
          <w:sz w:val="24"/>
        </w:rPr>
        <w:t>）电路速率：电路各个节点最大时延≤20ms。</w:t>
      </w:r>
    </w:p>
    <w:p w14:paraId="7638C2E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7</w:t>
      </w:r>
      <w:r>
        <w:rPr>
          <w:rFonts w:hint="eastAsia" w:ascii="宋体" w:hAnsi="宋体" w:cs="宋体"/>
          <w:color w:val="auto"/>
          <w:kern w:val="0"/>
          <w:sz w:val="24"/>
        </w:rPr>
        <w:t>）电路速率：单条电路端到端时延抖动率≤15ms。</w:t>
      </w:r>
    </w:p>
    <w:p w14:paraId="0958C715">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8</w:t>
      </w:r>
      <w:r>
        <w:rPr>
          <w:rFonts w:hint="eastAsia" w:ascii="宋体" w:hAnsi="宋体" w:cs="宋体"/>
          <w:color w:val="auto"/>
          <w:kern w:val="0"/>
          <w:sz w:val="24"/>
        </w:rPr>
        <w:t>）提供线路组网所需的传输设备及安装调试，传输设备必须具备网管功能。</w:t>
      </w:r>
    </w:p>
    <w:p w14:paraId="359151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9</w:t>
      </w:r>
      <w:r>
        <w:rPr>
          <w:rFonts w:hint="eastAsia" w:ascii="宋体" w:hAnsi="宋体" w:cs="宋体"/>
          <w:color w:val="auto"/>
          <w:kern w:val="0"/>
          <w:sz w:val="24"/>
        </w:rPr>
        <w:t>）对专线发生的各类报警进行回顾，对未处理完毕的故障要进行跟踪处理；对已完结的故障处理，提供专业一次性事件网络分析报告。</w:t>
      </w:r>
    </w:p>
    <w:p w14:paraId="1005380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10</w:t>
      </w:r>
      <w:r>
        <w:rPr>
          <w:rFonts w:hint="eastAsia" w:ascii="宋体" w:hAnsi="宋体" w:cs="宋体"/>
          <w:color w:val="auto"/>
          <w:kern w:val="0"/>
          <w:sz w:val="24"/>
        </w:rPr>
        <w:t>）提供17条病房WIFI（IPTV），支持高清视频，供各病房流畅观看，不卡顿。线路支撑带宽≥20M/套。负责提供所涉及的网络铺设或改造，机顶盒设备等。</w:t>
      </w:r>
    </w:p>
    <w:p w14:paraId="5A64ED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r>
        <w:rPr>
          <w:rFonts w:hint="eastAsia" w:ascii="宋体" w:hAnsi="宋体" w:cs="宋体"/>
          <w:color w:val="auto"/>
          <w:kern w:val="0"/>
          <w:sz w:val="24"/>
        </w:rPr>
        <w:t>）提供云客服服务，自动语言外呼并发不少于3路。</w:t>
      </w:r>
    </w:p>
    <w:p w14:paraId="2D356BB1">
      <w:pPr>
        <w:spacing w:line="440" w:lineRule="exact"/>
        <w:ind w:firstLine="480" w:firstLineChars="200"/>
        <w:rPr>
          <w:rFonts w:hint="eastAsia" w:ascii="宋体" w:hAnsi="宋体" w:cs="宋体"/>
          <w:color w:val="auto"/>
          <w:kern w:val="0"/>
          <w:sz w:val="24"/>
        </w:rPr>
      </w:pPr>
      <w:bookmarkStart w:id="5" w:name="OLE_LINK13"/>
      <w:r>
        <w:rPr>
          <w:rFonts w:hint="eastAsia" w:ascii="宋体" w:hAnsi="宋体" w:cs="宋体"/>
          <w:color w:val="auto"/>
          <w:kern w:val="0"/>
          <w:sz w:val="24"/>
        </w:rPr>
        <w:t>（1</w:t>
      </w:r>
      <w:r>
        <w:rPr>
          <w:rFonts w:ascii="宋体" w:hAnsi="宋体" w:cs="宋体"/>
          <w:color w:val="auto"/>
          <w:kern w:val="0"/>
          <w:sz w:val="24"/>
        </w:rPr>
        <w:t>2</w:t>
      </w:r>
      <w:r>
        <w:rPr>
          <w:rFonts w:hint="eastAsia" w:ascii="宋体" w:hAnsi="宋体" w:cs="宋体"/>
          <w:color w:val="auto"/>
          <w:kern w:val="0"/>
          <w:sz w:val="24"/>
        </w:rPr>
        <w:t>）</w:t>
      </w:r>
      <w:bookmarkEnd w:id="5"/>
      <w:r>
        <w:rPr>
          <w:rFonts w:hint="eastAsia" w:ascii="宋体" w:hAnsi="宋体" w:cs="宋体"/>
          <w:color w:val="auto"/>
          <w:kern w:val="0"/>
          <w:sz w:val="24"/>
        </w:rPr>
        <w:t>提供120急救台业务10M数字中继电路不小于1条。</w:t>
      </w:r>
    </w:p>
    <w:p w14:paraId="4AEF3D9E">
      <w:pPr>
        <w:spacing w:line="440" w:lineRule="exact"/>
        <w:ind w:firstLine="480" w:firstLineChars="20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提供手机通话服务</w:t>
      </w:r>
    </w:p>
    <w:p w14:paraId="6CC6C63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）提供5G值班电话套餐2个，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包含30G国内流量、40G本地流量、700分钟国内通话，数量以实际开通为准。</w:t>
      </w:r>
    </w:p>
    <w:p w14:paraId="552874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）提供5G套餐218个，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包含30G国内流量、40G本地流量、700分钟国内通话、1000M宽带，数量以实际开通为准。</w:t>
      </w:r>
    </w:p>
    <w:p w14:paraId="329E68E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）提供5G套餐10个，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包含60G国内流量、1000分钟通话，数量以实际开通为准。</w:t>
      </w:r>
    </w:p>
    <w:p w14:paraId="6E2317C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）提供值班电话套餐22个，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包含10G国内流量、200分钟国内通话、5000分钟本地通话，数量以实际开通为准。</w:t>
      </w:r>
    </w:p>
    <w:p w14:paraId="321992E3">
      <w:pPr>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（二）商务要求</w:t>
      </w:r>
    </w:p>
    <w:p w14:paraId="6D3089C7">
      <w:pPr>
        <w:spacing w:line="440" w:lineRule="exact"/>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服务期限及服务地点：</w:t>
      </w:r>
    </w:p>
    <w:p w14:paraId="286BE5E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（1）服务期：自交付使用之日起1年。</w:t>
      </w:r>
    </w:p>
    <w:p w14:paraId="74A62C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（2）服务地点：广西桂林市内采购人指定地点。</w:t>
      </w:r>
    </w:p>
    <w:p w14:paraId="3AC053E8">
      <w:pPr>
        <w:spacing w:line="440" w:lineRule="exact"/>
        <w:ind w:firstLine="480" w:firstLineChars="200"/>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kern w:val="0"/>
          <w:sz w:val="24"/>
        </w:rPr>
        <w:t>交付期要求：自签订合同之日起1个自然日要求竣工、完成验收合格并交付正常使用。</w:t>
      </w:r>
    </w:p>
    <w:p w14:paraId="4C2284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ascii="宋体" w:hAnsi="宋体" w:cs="宋体"/>
          <w:color w:val="auto"/>
          <w:kern w:val="0"/>
          <w:sz w:val="24"/>
        </w:rPr>
        <w:t>.</w:t>
      </w:r>
      <w:r>
        <w:rPr>
          <w:rFonts w:hint="eastAsia" w:ascii="宋体" w:hAnsi="宋体" w:cs="宋体"/>
          <w:color w:val="auto"/>
          <w:kern w:val="0"/>
          <w:sz w:val="24"/>
          <w:lang w:val="en-US" w:eastAsia="zh-CN"/>
        </w:rPr>
        <w:t>最高限价</w:t>
      </w:r>
      <w:r>
        <w:rPr>
          <w:rFonts w:hint="eastAsia" w:ascii="宋体" w:hAnsi="宋体" w:cs="宋体"/>
          <w:color w:val="auto"/>
          <w:kern w:val="0"/>
          <w:sz w:val="24"/>
        </w:rPr>
        <w:t>及结算方式：</w:t>
      </w:r>
    </w:p>
    <w:p w14:paraId="0610F8E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最高限价（人民币）</w:t>
      </w:r>
      <w:r>
        <w:rPr>
          <w:rFonts w:hint="eastAsia" w:ascii="宋体" w:hAnsi="宋体" w:cs="宋体"/>
          <w:color w:val="auto"/>
          <w:kern w:val="0"/>
          <w:sz w:val="24"/>
        </w:rPr>
        <w:t>：</w:t>
      </w:r>
      <w:r>
        <w:rPr>
          <w:rFonts w:hint="eastAsia" w:ascii="宋体" w:hAnsi="宋体" w:cs="宋体"/>
          <w:b w:val="0"/>
          <w:bCs w:val="0"/>
          <w:color w:val="auto"/>
          <w:sz w:val="24"/>
          <w:szCs w:val="24"/>
          <w:lang w:val="en-US" w:eastAsia="zh-CN"/>
        </w:rPr>
        <w:t>421956</w:t>
      </w:r>
      <w:r>
        <w:rPr>
          <w:rFonts w:hint="eastAsia" w:ascii="宋体" w:hAnsi="宋体" w:cs="宋体"/>
          <w:color w:val="auto"/>
          <w:kern w:val="0"/>
          <w:sz w:val="24"/>
        </w:rPr>
        <w:t>元，</w:t>
      </w:r>
      <w:r>
        <w:rPr>
          <w:rFonts w:hint="eastAsia" w:ascii="宋体" w:hAnsi="宋体" w:cs="宋体"/>
          <w:color w:val="auto"/>
          <w:spacing w:val="-2"/>
          <w:sz w:val="24"/>
        </w:rPr>
        <w:t>投标人报价超过最高投标限价的，按无效处理</w:t>
      </w:r>
      <w:r>
        <w:rPr>
          <w:rFonts w:hint="eastAsia" w:ascii="宋体" w:hAnsi="宋体" w:cs="宋体"/>
          <w:color w:val="auto"/>
          <w:kern w:val="0"/>
          <w:sz w:val="24"/>
        </w:rPr>
        <w:t>。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p w14:paraId="7F813CFF">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（2）结算方式：实际结算价=实际开通数量×最终成交单价。</w:t>
      </w:r>
    </w:p>
    <w:p w14:paraId="2BE63EA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4</w:t>
      </w:r>
      <w:r>
        <w:rPr>
          <w:rFonts w:ascii="宋体" w:hAnsi="宋体" w:cs="宋体"/>
          <w:color w:val="auto"/>
          <w:kern w:val="0"/>
          <w:sz w:val="24"/>
        </w:rPr>
        <w:t>.</w:t>
      </w:r>
      <w:r>
        <w:rPr>
          <w:rFonts w:hint="eastAsia" w:ascii="宋体" w:hAnsi="宋体" w:cs="宋体"/>
          <w:color w:val="auto"/>
          <w:kern w:val="0"/>
          <w:sz w:val="24"/>
        </w:rPr>
        <w:t>付款方式：成交供应商提供的服务通过验收并交付使用后，采购人按月支付当月款项，每次付款前成交供应商须按采购人要求开具相应金额的正规发票，采购人于收到发票之日起30个工作日内进行支付。</w:t>
      </w:r>
    </w:p>
    <w:p w14:paraId="4E137E6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5</w:t>
      </w:r>
      <w:r>
        <w:rPr>
          <w:rFonts w:ascii="宋体" w:hAnsi="宋体" w:cs="宋体"/>
          <w:color w:val="auto"/>
          <w:kern w:val="0"/>
          <w:sz w:val="24"/>
        </w:rPr>
        <w:t>.</w:t>
      </w:r>
      <w:r>
        <w:rPr>
          <w:rFonts w:hint="eastAsia" w:ascii="宋体" w:hAnsi="宋体" w:cs="宋体"/>
          <w:color w:val="auto"/>
          <w:kern w:val="0"/>
          <w:sz w:val="24"/>
        </w:rPr>
        <w:t>售后服务要求：</w:t>
      </w:r>
    </w:p>
    <w:p w14:paraId="67A2F88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(1)提供7×24小时热线电话服务，并提供多个故障申告途径及绿色通道，做到全方位响应，故障响应时间≤15分钟；</w:t>
      </w:r>
    </w:p>
    <w:p w14:paraId="488AA07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互联网光纤、宽带、数字中继电路、云客服服务遇到故障时要求在8小时内恢复（不可抗力原因或采购人自身原因导致时间延长的可相应剔除影响时间），如故障在8小时内无法解决则负责提供备件，确保网络正常运行；</w:t>
      </w:r>
    </w:p>
    <w:p w14:paraId="2E97272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(3)商务光纤要求在24小时内恢复；</w:t>
      </w:r>
    </w:p>
    <w:p w14:paraId="61996E0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(4)指定专人负责上门受理调试日常维护及平时协助维护检测等工作。</w:t>
      </w:r>
    </w:p>
    <w:p w14:paraId="0DDB56C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6</w:t>
      </w:r>
      <w:r>
        <w:rPr>
          <w:rFonts w:ascii="宋体" w:hAnsi="宋体" w:cs="宋体"/>
          <w:color w:val="auto"/>
          <w:kern w:val="0"/>
          <w:sz w:val="24"/>
        </w:rPr>
        <w:t>.</w:t>
      </w:r>
      <w:r>
        <w:rPr>
          <w:rFonts w:hint="eastAsia" w:ascii="宋体" w:hAnsi="宋体" w:cs="宋体"/>
          <w:color w:val="auto"/>
          <w:kern w:val="0"/>
          <w:sz w:val="24"/>
        </w:rPr>
        <w:t>验收要求：</w:t>
      </w:r>
    </w:p>
    <w:p w14:paraId="32BEDE8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(1)本项目采购标的执行国家相关标准、行业标准、项目所在地地方标准等标准、规范；如具体采购需求与标准、规范不一致的，高于标准、规范的按具体采购需求执行；低于标准、规范的按标准、规范执行。</w:t>
      </w:r>
    </w:p>
    <w:p w14:paraId="029622C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成交供应商完成交付使用后向采购人提出验收申请，采购人在收到验收申请之日起5个工作日内组织验收。采购人根据采购需求、成交供应商响应文件承诺及合同条款进行逐条核验，经核验有任一指标不合格的，不予验收，同时报相关监督管理部门处理，由此造成采购人经济损失的由成交供应商负责承担全部赔偿责任。因服务质量问题发生争议的，应邀请国家认可的质量检测机构对配套设备或服务质量进行鉴定，经鉴定符合要求的，鉴定费由采购人承担；经鉴定不符合要求的，鉴定费由成交供应商承担。</w:t>
      </w:r>
    </w:p>
    <w:p w14:paraId="790092D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7</w:t>
      </w:r>
      <w:r>
        <w:rPr>
          <w:rFonts w:ascii="宋体" w:hAnsi="宋体" w:cs="宋体"/>
          <w:color w:val="auto"/>
          <w:kern w:val="0"/>
          <w:sz w:val="24"/>
        </w:rPr>
        <w:t>.</w:t>
      </w:r>
      <w:r>
        <w:rPr>
          <w:rFonts w:hint="eastAsia" w:ascii="宋体" w:hAnsi="宋体" w:cs="宋体"/>
          <w:color w:val="auto"/>
          <w:kern w:val="0"/>
          <w:sz w:val="24"/>
        </w:rPr>
        <w:t>其他要求：采购人网络需要扩展或升级时，成交供应商负责提供解决方案和技术支持；因施工、网络割接等原因影响宽带网络运行的，应提前两天通知采购人。</w:t>
      </w:r>
    </w:p>
    <w:p w14:paraId="05E25F2D">
      <w:pPr>
        <w:adjustRightInd w:val="0"/>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五、合同主要条款</w:t>
      </w:r>
    </w:p>
    <w:p w14:paraId="2AA1D316">
      <w:pPr>
        <w:widowControl/>
        <w:spacing w:line="440" w:lineRule="exact"/>
        <w:ind w:firstLine="480"/>
        <w:jc w:val="left"/>
        <w:rPr>
          <w:rFonts w:hint="eastAsia" w:ascii="宋体" w:hAnsi="宋体" w:cs="宋体"/>
          <w:color w:val="auto"/>
          <w:kern w:val="0"/>
          <w:sz w:val="24"/>
        </w:rPr>
      </w:pPr>
      <w:r>
        <w:rPr>
          <w:rFonts w:hint="eastAsia" w:ascii="宋体" w:hAnsi="宋体" w:cs="宋体"/>
          <w:color w:val="auto"/>
          <w:kern w:val="0"/>
          <w:sz w:val="24"/>
        </w:rPr>
        <w:t>根据《中华人民共和国民法典》及其它法律、法规，甲乙双方遵循平等、自愿、公平和诚实信用的原则，就甲乙双方就办公用纸供货事项协商一致，订立本协议。</w:t>
      </w:r>
    </w:p>
    <w:p w14:paraId="1CD4CDD8">
      <w:pPr>
        <w:spacing w:line="360" w:lineRule="exact"/>
        <w:ind w:firstLine="482" w:firstLineChars="200"/>
        <w:rPr>
          <w:rFonts w:ascii="宋体" w:hAnsi="宋体" w:cs="宋体"/>
          <w:b/>
          <w:color w:val="auto"/>
          <w:sz w:val="24"/>
        </w:rPr>
      </w:pPr>
      <w:r>
        <w:rPr>
          <w:rFonts w:hint="eastAsia" w:ascii="宋体" w:hAnsi="宋体" w:cs="宋体"/>
          <w:b/>
          <w:color w:val="auto"/>
          <w:sz w:val="24"/>
        </w:rPr>
        <w:t>第一条  合同标的及合同金额</w:t>
      </w:r>
    </w:p>
    <w:p w14:paraId="13B0BEA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1.合同标的：2025年人民医院综合通信业务服务1项，具体内容详见招标文件“采购需求”及乙方投标文件。</w:t>
      </w:r>
    </w:p>
    <w:p w14:paraId="2DEF972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2.根据《中标通知书》的中标内容，合同的总金额为：（大写）</w:t>
      </w:r>
      <w:r>
        <w:rPr>
          <w:rFonts w:hint="eastAsia" w:ascii="宋体" w:hAnsi="宋体" w:cs="宋体"/>
          <w:color w:val="auto"/>
          <w:kern w:val="0"/>
          <w:sz w:val="24"/>
          <w:u w:val="single"/>
        </w:rPr>
        <w:t xml:space="preserve">        </w:t>
      </w:r>
      <w:r>
        <w:rPr>
          <w:rFonts w:hint="eastAsia" w:ascii="宋体" w:hAnsi="宋体" w:cs="宋体"/>
          <w:color w:val="auto"/>
          <w:kern w:val="0"/>
          <w:sz w:val="24"/>
        </w:rPr>
        <w:t>人民币（¥</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52EC8978">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第二条 </w:t>
      </w:r>
      <w:r>
        <w:rPr>
          <w:rFonts w:hint="eastAsia" w:ascii="宋体" w:hAnsi="宋体" w:cs="宋体"/>
          <w:b/>
          <w:bCs/>
          <w:color w:val="auto"/>
          <w:sz w:val="24"/>
          <w:lang w:val="en-US" w:eastAsia="zh-CN"/>
        </w:rPr>
        <w:t xml:space="preserve"> </w:t>
      </w:r>
      <w:r>
        <w:rPr>
          <w:rFonts w:hint="eastAsia" w:ascii="宋体" w:hAnsi="宋体" w:cs="宋体"/>
          <w:b/>
          <w:bCs/>
          <w:color w:val="auto"/>
          <w:sz w:val="24"/>
        </w:rPr>
        <w:t>付费方式</w:t>
      </w:r>
    </w:p>
    <w:p w14:paraId="03AA84F5">
      <w:pPr>
        <w:snapToGrid w:val="0"/>
        <w:spacing w:line="440" w:lineRule="exact"/>
        <w:ind w:firstLine="480" w:firstLineChars="200"/>
        <w:rPr>
          <w:rFonts w:hint="eastAsia" w:ascii="宋体" w:hAnsi="宋体" w:cs="宋体"/>
          <w:color w:val="auto"/>
          <w:sz w:val="24"/>
          <w:highlight w:val="yellow"/>
        </w:rPr>
      </w:pPr>
      <w:r>
        <w:rPr>
          <w:rFonts w:hint="eastAsia" w:ascii="宋体" w:hAnsi="宋体" w:cs="宋体"/>
          <w:color w:val="auto"/>
          <w:sz w:val="24"/>
        </w:rPr>
        <w:t>1.乙方提供的服务通过验收并交付使用后，甲方按月支付当月款项，每次付款前乙方须按甲方要求开具相应金额的正规发票，甲方于收到发票之日起30个工作日内进行支付。</w:t>
      </w:r>
    </w:p>
    <w:p w14:paraId="6D9BD59E">
      <w:pPr>
        <w:snapToGrid w:val="0"/>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2.除值班室手机外的个人</w:t>
      </w:r>
      <w:r>
        <w:rPr>
          <w:rFonts w:hint="eastAsia" w:ascii="宋体" w:hAnsi="宋体" w:cs="宋体"/>
          <w:color w:val="auto"/>
          <w:kern w:val="0"/>
          <w:sz w:val="24"/>
        </w:rPr>
        <w:t>手机通话服务</w:t>
      </w:r>
      <w:r>
        <w:rPr>
          <w:rFonts w:hint="eastAsia" w:ascii="宋体" w:hAnsi="宋体" w:cs="宋体"/>
          <w:color w:val="auto"/>
          <w:kern w:val="0"/>
          <w:sz w:val="24"/>
          <w:lang w:val="en-US" w:eastAsia="zh-CN"/>
        </w:rPr>
        <w:t>费由实际使用人支付。</w:t>
      </w:r>
    </w:p>
    <w:p w14:paraId="20360CB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.甲方、甲方下属机构和乙方、乙方下属机构的银行账户信息和纳税人信息，</w:t>
      </w:r>
    </w:p>
    <w:p w14:paraId="21C1BEB7">
      <w:pPr>
        <w:snapToGrid w:val="0"/>
        <w:spacing w:line="440" w:lineRule="exact"/>
        <w:rPr>
          <w:rFonts w:hint="eastAsia" w:ascii="宋体" w:hAnsi="宋体" w:cs="宋体"/>
          <w:color w:val="auto"/>
          <w:sz w:val="24"/>
        </w:rPr>
      </w:pPr>
      <w:r>
        <w:rPr>
          <w:rFonts w:hint="eastAsia" w:ascii="宋体" w:hAnsi="宋体" w:cs="宋体"/>
          <w:color w:val="auto"/>
          <w:sz w:val="24"/>
        </w:rPr>
        <w:t>甲方或甲方下属机构信息如下：</w:t>
      </w:r>
    </w:p>
    <w:p w14:paraId="3BEB1A2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开户银行：[建行桂林文明路支行]</w:t>
      </w:r>
    </w:p>
    <w:p w14:paraId="42EBA181">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户名：[桂林市人民医院 ]</w:t>
      </w:r>
    </w:p>
    <w:p w14:paraId="4250D6D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账号：[45001636608050504098 ]</w:t>
      </w:r>
    </w:p>
    <w:p w14:paraId="195EAC2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纳税人识别号：[12450300498668J97M ]</w:t>
      </w:r>
    </w:p>
    <w:p w14:paraId="6B14284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地址：[ 桂林市文明路12号 ]</w:t>
      </w:r>
    </w:p>
    <w:p w14:paraId="20EB0C3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电话：[ 0773- 2820816 ]</w:t>
      </w:r>
    </w:p>
    <w:p w14:paraId="2D8FE7B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乙方或乙方下属机构信息如下：</w:t>
      </w:r>
    </w:p>
    <w:p w14:paraId="23E6C460">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539C9EC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户名：[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7E20044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账号：[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A9F299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纳税人识别号：[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2B6051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6D8C429D">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33249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.甲方所产生的相关业务费用只能通过托收、对公转账或者直接到乙方营业厅现金交费支付，乙方不接受通过客户经理转交现金款或对私人账户转账的支付方式。</w:t>
      </w:r>
    </w:p>
    <w:p w14:paraId="59988A82">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第三条 </w:t>
      </w:r>
      <w:r>
        <w:rPr>
          <w:rFonts w:hint="eastAsia" w:ascii="宋体" w:hAnsi="宋体" w:cs="宋体"/>
          <w:b/>
          <w:bCs/>
          <w:color w:val="auto"/>
          <w:sz w:val="24"/>
          <w:lang w:val="en-US" w:eastAsia="zh-CN"/>
        </w:rPr>
        <w:t xml:space="preserve"> </w:t>
      </w:r>
      <w:r>
        <w:rPr>
          <w:rFonts w:hint="eastAsia" w:ascii="宋体" w:hAnsi="宋体" w:cs="宋体"/>
          <w:b/>
          <w:bCs/>
          <w:color w:val="auto"/>
          <w:sz w:val="24"/>
        </w:rPr>
        <w:t>甲方的权利和义务</w:t>
      </w:r>
    </w:p>
    <w:p w14:paraId="3A73FE9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甲方</w:t>
      </w:r>
      <w:r>
        <w:rPr>
          <w:rFonts w:hint="eastAsia" w:ascii="宋体" w:hAnsi="宋体" w:cs="宋体"/>
          <w:color w:val="auto"/>
          <w:sz w:val="24"/>
        </w:rPr>
        <w:t>或甲方员工(会员)使用的移动电话</w:t>
      </w:r>
      <w:r>
        <w:rPr>
          <w:rFonts w:hint="eastAsia" w:ascii="宋体" w:hAnsi="宋体" w:cs="宋体"/>
          <w:color w:val="auto"/>
          <w:kern w:val="0"/>
          <w:sz w:val="24"/>
        </w:rPr>
        <w:t>在网时间内，同等套餐价值下可选择</w:t>
      </w:r>
      <w:r>
        <w:rPr>
          <w:rFonts w:hint="eastAsia" w:ascii="宋体" w:hAnsi="宋体" w:cs="宋体"/>
          <w:color w:val="auto"/>
          <w:kern w:val="0"/>
          <w:sz w:val="24"/>
          <w:lang w:val="en-US" w:eastAsia="zh-CN"/>
        </w:rPr>
        <w:t>乙方</w:t>
      </w:r>
      <w:r>
        <w:rPr>
          <w:rFonts w:hint="eastAsia" w:ascii="宋体" w:hAnsi="宋体" w:cs="宋体"/>
          <w:color w:val="auto"/>
          <w:kern w:val="0"/>
          <w:sz w:val="24"/>
        </w:rPr>
        <w:t>的现行套餐。</w:t>
      </w:r>
      <w:r>
        <w:rPr>
          <w:rFonts w:hint="eastAsia" w:ascii="宋体" w:hAnsi="宋体" w:cs="宋体"/>
          <w:color w:val="auto"/>
          <w:sz w:val="24"/>
        </w:rPr>
        <w:t>甲方申请业务时需采用实名制。</w:t>
      </w:r>
    </w:p>
    <w:p w14:paraId="2A025C6F">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2.在本协议有效期内，甲方或甲方员工(会员)必须保证本协议约定，保证移动电话号码正常在网使用并及时缴费，否则乙方有权单方终止本协议。</w:t>
      </w:r>
    </w:p>
    <w:p w14:paraId="18C3503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甲方或甲方员工(会员)在使用本业务期间，若月消费超出套餐约定的限额，甲方或甲方员工(会员)需另行购买充值卡充值或在乙方营业厅直接预存费用。若预存话费余额不足时,乙方将暂停提供服务。对于欠费，乙方将按《中华人民共和国电信条例》执行。</w:t>
      </w:r>
    </w:p>
    <w:p w14:paraId="11F4BF4D">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4.甲方和甲方局域网用户不得恶意攻击乙方的网络，甲方和甲方局域网用户对乙方网络的使用应遵守国家法律、法规及互联网管理的相关规定，并承担相应的法律责任。</w:t>
      </w:r>
    </w:p>
    <w:p w14:paraId="1019F16B">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如甲方逾期付费，除向乙方补交服务费之外，每逾期一周（不足一周按一周计）应向乙方支付所欠金额千分之三（3‰）的违约金，违约金累计不超过逾期付费5%。逾期支付服务费超过[30]天，乙方有权暂停提供服务，累计超过[90]日，乙方有权终止服务，但不免除甲方支付欠费以及违约金的义务。</w:t>
      </w:r>
    </w:p>
    <w:p w14:paraId="6A00CF7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6.协议有效期内，甲方需要改变宽带专线接入地址的，应提前30日书面通知乙方，享受一次免费移机服务。</w:t>
      </w:r>
    </w:p>
    <w:p w14:paraId="52818C3E">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7.甲方使用光纤专线用于开通网站服务的，需事先向通信主管部门进行网站备案登记，同时将网站域名、备案号等相关信息报乙方审核，并保证网站内容符合国家相关信息安全法律法规，否则乙方有权立即中断光纤专线接入服务。甲方经营的网站不允许出现低俗信息，一经发现，限24小时内整改，否则乙方有权立即中断光纤专线接入服务。若甲方擅自开通网站服务但未进行备案的，一经查出，乙方有权立即中断光纤专线接入服务。</w:t>
      </w:r>
    </w:p>
    <w:p w14:paraId="51574144">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8.带宽及话务产品仅为甲方自用提供互联网接入（或使用），甲方应按照国家法律法规的规定及本协议的约定合理使用业务，在使用业务过程中不得从事损害乙方及他人合法权益的活动。未经乙方书面同意，不得将本业务以任何方式提供给第三方使用，也不得用于本协议约定用途以外的其他用途。如甲方在使用本业务时存在违反国家法律或相关规定的行为，甲方承担由此产生的全部责任；同时，甲方应向乙方承担违约责任，并赔偿乙方由此遭受的损失。</w:t>
      </w:r>
    </w:p>
    <w:p w14:paraId="0C0083F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9.甲方承诺，协议约定的接入宽带下接设备数不超过乙方许可的电脑台数。下挂设备指可通过</w:t>
      </w:r>
      <w:r>
        <w:rPr>
          <w:rFonts w:hint="eastAsia" w:ascii="宋体" w:hAnsi="宋体" w:cs="宋体"/>
          <w:color w:val="auto"/>
          <w:kern w:val="0"/>
          <w:sz w:val="24"/>
          <w:lang w:val="en-US" w:eastAsia="zh-CN"/>
        </w:rPr>
        <w:t>乙方</w:t>
      </w:r>
      <w:r>
        <w:rPr>
          <w:rFonts w:hint="eastAsia" w:ascii="宋体" w:hAnsi="宋体" w:cs="宋体"/>
          <w:color w:val="auto"/>
          <w:kern w:val="0"/>
          <w:sz w:val="24"/>
        </w:rPr>
        <w:t>的接入网络访问互联网资源的各类终端，包括但不限于电脑、宽带电视机顶盒、高清播放机、支持WiFi的手机以及其他具备上网功能的各种终端设备等。</w:t>
      </w:r>
    </w:p>
    <w:p w14:paraId="730F53C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10.甲方或甲方员工(会员)使用移动业务（含上网卡）办理入网、变更手续时，应当根据乙方要求提交身份信息及身份证件资料（其中，甲方或甲方下属机构为最终用户时，还应当提供实际使用人的身份信息及身份证件资料），并保证该</w:t>
      </w:r>
      <w:r>
        <w:rPr>
          <w:rFonts w:hint="eastAsia" w:ascii="宋体" w:hAnsi="宋体" w:cs="宋体"/>
          <w:strike/>
          <w:color w:val="auto"/>
          <w:kern w:val="0"/>
          <w:sz w:val="24"/>
        </w:rPr>
        <w:t>等</w:t>
      </w:r>
      <w:r>
        <w:rPr>
          <w:rFonts w:hint="eastAsia" w:ascii="宋体" w:hAnsi="宋体" w:cs="宋体"/>
          <w:color w:val="auto"/>
          <w:kern w:val="0"/>
          <w:sz w:val="24"/>
        </w:rPr>
        <w:t>信息及资料真实有效、准确、完整。本协议有效期内，上述信息或资料如有变更，甲方或甲方下属机构、最终用户应当主动向乙方递交书面变更证明。若乙方或乙方下属机构发现身份信息或身份证件资料失实，影响本协议正常履行、且无法与甲方或甲方下属机构、最终用户取得联系，或者甲方或甲方下属机构、最终用户不及时配合更正的，乙方有权暂停或终止相应移动业务（含上网卡）。并且，因所提供资料不真实、不准确、不完整或资料未及时变更而引起的纠纷，甲方应负责解决并承担全部责任。</w:t>
      </w:r>
    </w:p>
    <w:p w14:paraId="4CC1DF6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11.最终用户为单位的员工时，如最终用户与乙方之间关于本协议项下移动业务（含上网卡）有任何纠纷或争议的，甲方应负责解决，并就最终用户的行为向乙方承担全部责任。</w:t>
      </w:r>
    </w:p>
    <w:p w14:paraId="4E83ED13">
      <w:pPr>
        <w:spacing w:line="440" w:lineRule="exact"/>
        <w:ind w:firstLine="480" w:firstLineChars="200"/>
        <w:rPr>
          <w:rFonts w:hint="eastAsia" w:ascii="宋体" w:hAnsi="宋体" w:cs="宋体"/>
          <w:color w:val="auto"/>
          <w:sz w:val="24"/>
        </w:rPr>
      </w:pPr>
      <w:r>
        <w:rPr>
          <w:rFonts w:hint="eastAsia" w:ascii="宋体" w:hAnsi="宋体" w:cs="宋体"/>
          <w:color w:val="auto"/>
          <w:sz w:val="24"/>
        </w:rPr>
        <w:t>12.甲方新增或变更业务时，应当遵守国家实名制有关规定，向乙方或乙方下属机构出具以下证件：单位有效证件原件、单位授权书（授权书中需明确办理业务委托人姓名、委托人证件号码、被委托人、被委托人证件号码并加盖公章）、被委托人有效居民身份证原件、且被委托人居民身份证必须系统人证一致，并确保其真实性。</w:t>
      </w:r>
    </w:p>
    <w:p w14:paraId="7DEAB363">
      <w:pPr>
        <w:pStyle w:val="12"/>
        <w:snapToGrid w:val="0"/>
        <w:spacing w:line="440" w:lineRule="exact"/>
        <w:ind w:left="0" w:leftChars="0" w:firstLine="480" w:firstLineChars="200"/>
        <w:rPr>
          <w:rFonts w:ascii="宋体" w:hAnsi="宋体" w:cs="宋体"/>
          <w:b/>
          <w:bCs/>
          <w:color w:val="auto"/>
          <w:sz w:val="24"/>
          <w:szCs w:val="24"/>
          <w:lang w:val="en-US"/>
        </w:rPr>
      </w:pPr>
      <w:r>
        <w:rPr>
          <w:rFonts w:hint="eastAsia" w:ascii="宋体" w:hAnsi="宋体" w:cs="宋体"/>
          <w:color w:val="auto"/>
          <w:sz w:val="24"/>
          <w:szCs w:val="24"/>
          <w:lang w:val="en-US"/>
        </w:rPr>
        <w:t>13.乙方应该开具真实的发票，一旦查出发票作假，自动解除协议并且甲方有权利不支付该笔发票款项。</w:t>
      </w:r>
    </w:p>
    <w:p w14:paraId="2FD5C57D">
      <w:pPr>
        <w:pStyle w:val="12"/>
        <w:snapToGrid w:val="0"/>
        <w:spacing w:line="440" w:lineRule="exact"/>
        <w:ind w:left="0" w:leftChars="0"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0538B2A1">
      <w:pPr>
        <w:pStyle w:val="12"/>
        <w:snapToGrid w:val="0"/>
        <w:spacing w:line="440" w:lineRule="exact"/>
        <w:ind w:left="424" w:leftChars="202"/>
        <w:rPr>
          <w:rFonts w:hint="eastAsia" w:ascii="宋体" w:hAnsi="宋体" w:cs="宋体"/>
          <w:b/>
          <w:bCs/>
          <w:color w:val="auto"/>
          <w:sz w:val="24"/>
          <w:szCs w:val="24"/>
        </w:rPr>
      </w:pPr>
      <w:r>
        <w:rPr>
          <w:rFonts w:hint="eastAsia" w:ascii="宋体" w:hAnsi="宋体" w:cs="宋体"/>
          <w:b/>
          <w:bCs/>
          <w:color w:val="auto"/>
          <w:sz w:val="24"/>
          <w:szCs w:val="24"/>
        </w:rPr>
        <w:t>第四条</w:t>
      </w:r>
      <w:r>
        <w:rPr>
          <w:rFonts w:hint="eastAsia" w:ascii="宋体" w:hAnsi="宋体" w:cs="宋体"/>
          <w:b/>
          <w:bCs/>
          <w:color w:val="auto"/>
          <w:sz w:val="24"/>
          <w:szCs w:val="24"/>
          <w:lang w:val="en-US"/>
        </w:rPr>
        <w:t xml:space="preserve"> </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乙方的权利和义务</w:t>
      </w:r>
    </w:p>
    <w:p w14:paraId="19105BD6">
      <w:pPr>
        <w:snapToGrid w:val="0"/>
        <w:spacing w:line="440" w:lineRule="exact"/>
        <w:ind w:firstLine="435"/>
        <w:rPr>
          <w:rFonts w:hint="eastAsia" w:ascii="宋体" w:hAnsi="宋体" w:cs="宋体"/>
          <w:color w:val="auto"/>
          <w:sz w:val="24"/>
        </w:rPr>
      </w:pPr>
      <w:r>
        <w:rPr>
          <w:rFonts w:hint="eastAsia" w:ascii="宋体" w:hAnsi="宋体" w:cs="宋体"/>
          <w:color w:val="auto"/>
          <w:sz w:val="24"/>
        </w:rPr>
        <w:t>1.宽带网络线路和传输设备由乙方提供，产权归乙方所有。乙方放置于甲方机房的传输设备(1台光收发器)，若因甲方保管不善，一旦丢失，甲方应按设备原价[1000]元减去每年15%折旧率的金额赔偿给乙方。甲方局域网内的线路部分由甲方自行负责。</w:t>
      </w:r>
    </w:p>
    <w:p w14:paraId="374C413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2.乙方确保设备和线路正常运行；甲方在接入中国宽带互联网(CHINANET)中如出现线路故障,乙方应在接到甲方故障申告后</w:t>
      </w:r>
      <w:r>
        <w:rPr>
          <w:rFonts w:hint="eastAsia" w:ascii="宋体" w:hAnsi="宋体" w:cs="宋体"/>
          <w:color w:val="auto"/>
          <w:sz w:val="24"/>
          <w:u w:val="single"/>
        </w:rPr>
        <w:t>8</w:t>
      </w:r>
      <w:r>
        <w:rPr>
          <w:rFonts w:hint="eastAsia" w:ascii="宋体" w:hAnsi="宋体" w:cs="宋体"/>
          <w:color w:val="auto"/>
          <w:sz w:val="24"/>
        </w:rPr>
        <w:t>小时内做出回应。甲方负责本端的接口转换器和路由器等设备的配置、调测，并负责内部局域网的日常管理和维护等。</w:t>
      </w:r>
    </w:p>
    <w:p w14:paraId="5DEDA2B1">
      <w:pPr>
        <w:snapToGrid w:val="0"/>
        <w:spacing w:line="440" w:lineRule="exact"/>
        <w:ind w:firstLine="435"/>
        <w:rPr>
          <w:rFonts w:hint="eastAsia" w:ascii="宋体" w:hAnsi="宋体" w:cs="宋体"/>
          <w:color w:val="auto"/>
          <w:sz w:val="24"/>
        </w:rPr>
      </w:pPr>
      <w:r>
        <w:rPr>
          <w:rFonts w:hint="eastAsia" w:ascii="宋体" w:hAnsi="宋体" w:cs="宋体"/>
          <w:color w:val="auto"/>
          <w:sz w:val="24"/>
        </w:rPr>
        <w:t>3.乙方应确保网络的正常运行，并根据国家有关规定，处理网络上传输的数据，但不得向国家规定部门以外的人员和单位透露甲方的数据信息，若乙方违反上述约定给甲方造成损失的，乙方应承担相应的赔偿责任。</w:t>
      </w:r>
    </w:p>
    <w:p w14:paraId="1E31534C">
      <w:pPr>
        <w:snapToGrid w:val="0"/>
        <w:spacing w:line="440" w:lineRule="exact"/>
        <w:ind w:firstLine="480"/>
        <w:rPr>
          <w:rFonts w:hint="eastAsia" w:ascii="宋体" w:hAnsi="宋体" w:cs="宋体"/>
          <w:color w:val="auto"/>
          <w:sz w:val="24"/>
        </w:rPr>
      </w:pPr>
      <w:r>
        <w:rPr>
          <w:rFonts w:hint="eastAsia" w:ascii="宋体" w:hAnsi="宋体" w:cs="宋体"/>
          <w:color w:val="auto"/>
          <w:sz w:val="24"/>
        </w:rPr>
        <w:t>4.Internet为开放性的网络，乙方对于网络上的数据安全性不做保证，对接入网络的用户终端设备的安全性不做担保，因以上原因对用户造成的损失乙方不承担赔偿责任；但乙方应采取必要的措施，尽力保障网络和传输数据的安全。</w:t>
      </w:r>
    </w:p>
    <w:p w14:paraId="571217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5.因乙方施工、网络割接等原因影响宽带网络运行的，乙方应当提前通知甲方，并在24小时内消除故障、恢复通信线路。</w:t>
      </w:r>
    </w:p>
    <w:p w14:paraId="15CB8EE8">
      <w:pPr>
        <w:autoSpaceDE w:val="0"/>
        <w:autoSpaceDN w:val="0"/>
        <w:adjustRightInd w:val="0"/>
        <w:snapToGri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sz w:val="24"/>
        </w:rPr>
        <w:t>6.</w:t>
      </w:r>
      <w:r>
        <w:rPr>
          <w:rFonts w:hint="eastAsia" w:ascii="宋体" w:hAnsi="宋体" w:cs="宋体"/>
          <w:color w:val="auto"/>
          <w:kern w:val="0"/>
          <w:sz w:val="24"/>
        </w:rPr>
        <w:t>乙方分配给甲方的IP地址在签约6个月后尚未使用的，乙方有权利收回，并在下月的计费中按照合约处理已回收IP地址的费用。</w:t>
      </w:r>
    </w:p>
    <w:p w14:paraId="6CFD02FC">
      <w:pPr>
        <w:spacing w:line="440" w:lineRule="exact"/>
        <w:ind w:firstLine="480" w:firstLineChars="200"/>
        <w:rPr>
          <w:rFonts w:hint="eastAsia" w:hAnsi="宋体" w:cs="宋体"/>
          <w:b/>
          <w:bCs/>
          <w:color w:val="auto"/>
          <w:sz w:val="24"/>
          <w:szCs w:val="24"/>
        </w:rPr>
      </w:pPr>
      <w:r>
        <w:rPr>
          <w:rFonts w:hint="eastAsia" w:ascii="宋体" w:hAnsi="宋体" w:cs="宋体"/>
          <w:color w:val="auto"/>
          <w:sz w:val="24"/>
        </w:rPr>
        <w:t>7.乙方有权因技术、设备或国家政策因素等原因对电信业务的服务功能、操作方法、计费方式、计费模式、业务号码等做出适当的修改、调整。</w:t>
      </w:r>
    </w:p>
    <w:p w14:paraId="3ACA2C5D">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第五条 </w:t>
      </w:r>
      <w:r>
        <w:rPr>
          <w:rFonts w:hint="eastAsia" w:hAnsi="宋体" w:cs="宋体"/>
          <w:b/>
          <w:bCs/>
          <w:color w:val="auto"/>
          <w:sz w:val="24"/>
          <w:szCs w:val="24"/>
          <w:lang w:val="en-US" w:eastAsia="zh-CN"/>
        </w:rPr>
        <w:t xml:space="preserve"> </w:t>
      </w:r>
      <w:r>
        <w:rPr>
          <w:rFonts w:hint="eastAsia" w:hAnsi="宋体" w:cs="宋体"/>
          <w:b/>
          <w:bCs/>
          <w:color w:val="auto"/>
          <w:sz w:val="24"/>
          <w:szCs w:val="24"/>
        </w:rPr>
        <w:t>通信和服务质量</w:t>
      </w:r>
    </w:p>
    <w:p w14:paraId="23D41765">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1.双方承诺根据并严格遵守《中华人民共和国电信条例》履行本协议，维护双方权益。</w:t>
      </w:r>
    </w:p>
    <w:p w14:paraId="39AAC02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2.若本协议履行期间，国家颁布新的法律法规和服务标准，则自新的法律法规和服务标准生效之日起按照新的法律法规和服务标准执行。</w:t>
      </w:r>
    </w:p>
    <w:p w14:paraId="545DC9C6">
      <w:pPr>
        <w:pStyle w:val="12"/>
        <w:snapToGrid w:val="0"/>
        <w:spacing w:line="440" w:lineRule="exact"/>
        <w:ind w:left="65" w:leftChars="31" w:firstLine="360" w:firstLineChars="150"/>
        <w:rPr>
          <w:rFonts w:hint="eastAsia" w:ascii="宋体" w:hAnsi="宋体" w:cs="宋体"/>
          <w:color w:val="auto"/>
          <w:kern w:val="0"/>
          <w:sz w:val="24"/>
          <w:szCs w:val="24"/>
        </w:rPr>
      </w:pPr>
      <w:r>
        <w:rPr>
          <w:rFonts w:hint="eastAsia" w:ascii="宋体" w:hAnsi="宋体" w:cs="宋体"/>
          <w:color w:val="auto"/>
          <w:sz w:val="24"/>
          <w:szCs w:val="24"/>
          <w:lang w:val="en-US"/>
        </w:rPr>
        <w:t>3.</w:t>
      </w:r>
      <w:r>
        <w:rPr>
          <w:rFonts w:hint="eastAsia" w:ascii="宋体" w:hAnsi="宋体" w:cs="宋体"/>
          <w:color w:val="auto"/>
          <w:sz w:val="24"/>
          <w:szCs w:val="24"/>
        </w:rPr>
        <w:t>由于甲方自备设备故障或甲方操作不当造成的宽带专线故障，甲</w:t>
      </w:r>
      <w:r>
        <w:rPr>
          <w:rFonts w:hint="eastAsia" w:ascii="宋体" w:hAnsi="宋体" w:cs="宋体"/>
          <w:color w:val="auto"/>
          <w:kern w:val="0"/>
          <w:sz w:val="24"/>
          <w:szCs w:val="24"/>
        </w:rPr>
        <w:t>方自行承担责任。</w:t>
      </w:r>
    </w:p>
    <w:p w14:paraId="7B977AB2">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kern w:val="0"/>
          <w:sz w:val="24"/>
          <w:szCs w:val="24"/>
        </w:rPr>
        <w:t xml:space="preserve">第六条 </w:t>
      </w:r>
      <w:r>
        <w:rPr>
          <w:rFonts w:hint="eastAsia" w:hAnsi="宋体" w:cs="宋体"/>
          <w:b/>
          <w:bCs/>
          <w:color w:val="auto"/>
          <w:kern w:val="0"/>
          <w:sz w:val="24"/>
          <w:szCs w:val="24"/>
          <w:lang w:val="en-US" w:eastAsia="zh-CN"/>
        </w:rPr>
        <w:t xml:space="preserve"> </w:t>
      </w:r>
      <w:r>
        <w:rPr>
          <w:rFonts w:hint="eastAsia" w:hAnsi="宋体" w:cs="宋体"/>
          <w:b/>
          <w:bCs/>
          <w:color w:val="auto"/>
          <w:sz w:val="24"/>
          <w:szCs w:val="24"/>
        </w:rPr>
        <w:t>保密</w:t>
      </w:r>
    </w:p>
    <w:p w14:paraId="1F8C9FF9">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未经对方书面许可，任何一方不得向第三方提供或披露因本协议的签订和履行而得知的与对方业务有关的资料和信息，法律另有规定的除外。</w:t>
      </w:r>
    </w:p>
    <w:p w14:paraId="2A92CC06">
      <w:pPr>
        <w:pStyle w:val="11"/>
        <w:snapToGrid w:val="0"/>
        <w:spacing w:line="440" w:lineRule="exact"/>
        <w:ind w:firstLine="602" w:firstLineChars="250"/>
        <w:rPr>
          <w:rFonts w:hint="eastAsia" w:hAnsi="宋体" w:cs="宋体"/>
          <w:b/>
          <w:bCs/>
          <w:color w:val="auto"/>
          <w:sz w:val="24"/>
          <w:szCs w:val="24"/>
        </w:rPr>
      </w:pPr>
      <w:r>
        <w:rPr>
          <w:rFonts w:hint="eastAsia" w:hAnsi="宋体" w:cs="宋体"/>
          <w:b/>
          <w:bCs/>
          <w:color w:val="auto"/>
          <w:sz w:val="24"/>
          <w:szCs w:val="24"/>
        </w:rPr>
        <w:t xml:space="preserve">第七条 </w:t>
      </w:r>
      <w:r>
        <w:rPr>
          <w:rFonts w:hint="eastAsia" w:hAnsi="宋体" w:cs="宋体"/>
          <w:b/>
          <w:bCs/>
          <w:color w:val="auto"/>
          <w:sz w:val="24"/>
          <w:szCs w:val="24"/>
          <w:lang w:val="en-US" w:eastAsia="zh-CN"/>
        </w:rPr>
        <w:t xml:space="preserve"> </w:t>
      </w:r>
      <w:r>
        <w:rPr>
          <w:rFonts w:hint="eastAsia" w:hAnsi="宋体" w:cs="宋体"/>
          <w:b/>
          <w:bCs/>
          <w:color w:val="auto"/>
          <w:sz w:val="24"/>
          <w:szCs w:val="24"/>
        </w:rPr>
        <w:t>违约责任</w:t>
      </w:r>
    </w:p>
    <w:p w14:paraId="2B9FCEB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1.任何一方未履行本协议项下的义务均被视为违约。违约方应承担因违约给对方造成的损失。</w:t>
      </w:r>
    </w:p>
    <w:p w14:paraId="05F71724">
      <w:pPr>
        <w:spacing w:line="440" w:lineRule="exact"/>
        <w:ind w:firstLine="480" w:firstLineChars="200"/>
        <w:rPr>
          <w:rFonts w:hint="eastAsia" w:ascii="宋体" w:hAnsi="宋体" w:cs="宋体"/>
          <w:color w:val="auto"/>
          <w:sz w:val="24"/>
        </w:rPr>
      </w:pPr>
      <w:r>
        <w:rPr>
          <w:rFonts w:hint="eastAsia" w:ascii="宋体" w:hAnsi="宋体" w:cs="宋体"/>
          <w:color w:val="auto"/>
          <w:sz w:val="24"/>
        </w:rPr>
        <w:t>2.如甲方使用本业务</w:t>
      </w:r>
      <w:r>
        <w:rPr>
          <w:rFonts w:hint="eastAsia" w:ascii="宋体" w:hAnsi="宋体" w:cs="宋体"/>
          <w:color w:val="auto"/>
          <w:sz w:val="24"/>
          <w:highlight w:val="none"/>
        </w:rPr>
        <w:t>违反本协议第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条</w:t>
      </w:r>
      <w:r>
        <w:rPr>
          <w:rFonts w:hint="eastAsia" w:ascii="宋体" w:hAnsi="宋体" w:cs="宋体"/>
          <w:color w:val="auto"/>
          <w:sz w:val="24"/>
          <w:highlight w:val="none"/>
          <w:lang w:val="en-US" w:eastAsia="zh-CN"/>
        </w:rPr>
        <w:t>第8点</w:t>
      </w:r>
      <w:r>
        <w:rPr>
          <w:rFonts w:hint="eastAsia" w:ascii="宋体" w:hAnsi="宋体" w:cs="宋体"/>
          <w:color w:val="auto"/>
          <w:sz w:val="24"/>
          <w:highlight w:val="none"/>
        </w:rPr>
        <w:t>约定的，乙方</w:t>
      </w:r>
      <w:r>
        <w:rPr>
          <w:rFonts w:hint="eastAsia" w:ascii="宋体" w:hAnsi="宋体" w:cs="宋体"/>
          <w:color w:val="auto"/>
          <w:sz w:val="24"/>
        </w:rPr>
        <w:t>有权立即终止本协议，除按照优惠前的正常资费费用标准计收月服务费外并向甲方收取服务费总额20%的违约金。</w:t>
      </w:r>
    </w:p>
    <w:p w14:paraId="69796182">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3.如甲方逾期付费，除向乙方补交欠费外，每逾期一</w:t>
      </w:r>
      <w:r>
        <w:rPr>
          <w:rFonts w:hint="eastAsia" w:ascii="宋体" w:hAnsi="宋体" w:cs="宋体"/>
          <w:color w:val="auto"/>
          <w:kern w:val="0"/>
          <w:sz w:val="24"/>
        </w:rPr>
        <w:t>周（不足一周按一周计）</w:t>
      </w:r>
      <w:r>
        <w:rPr>
          <w:rFonts w:hint="eastAsia" w:ascii="宋体" w:hAnsi="宋体" w:cs="宋体"/>
          <w:color w:val="auto"/>
          <w:sz w:val="24"/>
        </w:rPr>
        <w:t>应按照所欠金额的千分之三支付违约金，</w:t>
      </w:r>
      <w:r>
        <w:rPr>
          <w:rFonts w:hint="eastAsia" w:ascii="宋体" w:hAnsi="宋体" w:cs="宋体"/>
          <w:color w:val="auto"/>
          <w:kern w:val="0"/>
          <w:sz w:val="24"/>
        </w:rPr>
        <w:t>违约金累计不超过逾期付费5%。</w:t>
      </w:r>
      <w:r>
        <w:rPr>
          <w:rFonts w:hint="eastAsia" w:ascii="宋体" w:hAnsi="宋体" w:cs="宋体"/>
          <w:color w:val="auto"/>
          <w:sz w:val="24"/>
        </w:rPr>
        <w:t>逾期付费累计超过[30]日的，乙方有权暂停向甲方提供相应服务；暂停服务[60]日内仍未补交欠费和违约金的，乙方有权终止本协议，甲方仍应承担上述违约责任。</w:t>
      </w:r>
    </w:p>
    <w:p w14:paraId="7FE72F0B">
      <w:pPr>
        <w:spacing w:line="440" w:lineRule="exact"/>
        <w:ind w:firstLine="480" w:firstLineChars="200"/>
        <w:rPr>
          <w:rFonts w:hint="eastAsia" w:ascii="宋体" w:hAnsi="宋体" w:cs="宋体"/>
          <w:color w:val="auto"/>
          <w:sz w:val="24"/>
        </w:rPr>
      </w:pPr>
      <w:r>
        <w:rPr>
          <w:rFonts w:hint="eastAsia" w:ascii="宋体" w:hAnsi="宋体" w:cs="宋体"/>
          <w:color w:val="auto"/>
          <w:sz w:val="24"/>
        </w:rPr>
        <w:t>4.在满足开通条件的情况下，如因乙方原因不能在本协议规定的开通时限内开通使用本业务，则每逾期一个工作日乙方应向甲方赔付所收取的一次性费用的百分之一作为违约金，并在首月月服务费中直接抵扣扣除，赔付金额最多不超过首月月服务费。如逾期[60]日仍不能开通，则甲方有权终止本协议,并赔偿由此带给甲方的损失。</w:t>
      </w:r>
    </w:p>
    <w:p w14:paraId="795BBBB5">
      <w:pPr>
        <w:spacing w:line="440" w:lineRule="exact"/>
        <w:ind w:firstLine="480" w:firstLineChars="200"/>
        <w:rPr>
          <w:rFonts w:hint="eastAsia" w:ascii="宋体" w:hAnsi="宋体" w:cs="宋体"/>
          <w:color w:val="auto"/>
          <w:sz w:val="24"/>
        </w:rPr>
      </w:pPr>
      <w:r>
        <w:rPr>
          <w:rFonts w:hint="eastAsia" w:ascii="宋体" w:hAnsi="宋体" w:cs="宋体"/>
          <w:color w:val="auto"/>
          <w:sz w:val="24"/>
        </w:rPr>
        <w:t>5.无论本协议其他条款是否有相反约定，乙方对因本协议项下行为而导致的甲方可得利益损失、商业信誉损失以及数据丢失或损坏等其他损失不承担责任。</w:t>
      </w:r>
    </w:p>
    <w:p w14:paraId="17BDAF72">
      <w:pPr>
        <w:spacing w:line="440" w:lineRule="exact"/>
        <w:ind w:firstLine="480" w:firstLineChars="200"/>
        <w:rPr>
          <w:rFonts w:hint="eastAsia" w:ascii="宋体" w:hAnsi="宋体" w:cs="宋体"/>
          <w:color w:val="auto"/>
          <w:sz w:val="24"/>
        </w:rPr>
      </w:pPr>
      <w:r>
        <w:rPr>
          <w:rFonts w:hint="eastAsia" w:ascii="宋体" w:hAnsi="宋体" w:cs="宋体"/>
          <w:color w:val="auto"/>
          <w:sz w:val="24"/>
        </w:rPr>
        <w:t>6.由于乙方在宽带专线开通的前期工程投入大量资金，甲方承诺在本协议期限内不随意停止使用乙方业务，若协议未到期，甲方提前单方解除本协议的，乙方有权向甲方收取违约金，违约金计算方法：</w:t>
      </w:r>
    </w:p>
    <w:p w14:paraId="050B0D6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违约金=协议期限内使用费总额-解除协议前甲方已实际支付使用费的差额。</w:t>
      </w:r>
    </w:p>
    <w:p w14:paraId="0E45219F">
      <w:pPr>
        <w:numPr>
          <w:ilvl w:val="0"/>
          <w:numId w:val="1"/>
        </w:num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 争议解决</w:t>
      </w:r>
    </w:p>
    <w:p w14:paraId="3085EB5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1.协议适用中华人民共和国法律。</w:t>
      </w:r>
    </w:p>
    <w:p w14:paraId="3E754D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2.所有因本协议引起的或与本协议有关的任何争议将通过双方友好协商解决。如果双方不能通过友好协商解决争议，则任何一方均可采取下述第[（2）]种争议解决方式：</w:t>
      </w:r>
    </w:p>
    <w:p w14:paraId="3FBA6C3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（1）将该争议提交仲裁委员会，按照申请仲裁时该会的仲裁规则进行仲裁。仲裁在[ 桂林 ]进行。仲裁语言为中文。仲裁裁决是终局的，对双方均有约束力。仲裁费用由败诉方承担。</w:t>
      </w:r>
    </w:p>
    <w:p w14:paraId="5D54C5F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（2）向[甲方]有管辖权的人民法院起诉。</w:t>
      </w:r>
    </w:p>
    <w:p w14:paraId="283AE3A3">
      <w:pPr>
        <w:snapToGrid w:val="0"/>
        <w:spacing w:line="440" w:lineRule="exact"/>
        <w:ind w:firstLine="540" w:firstLineChars="225"/>
        <w:rPr>
          <w:rFonts w:hint="eastAsia" w:ascii="宋体" w:hAnsi="宋体" w:cs="宋体"/>
          <w:color w:val="auto"/>
          <w:sz w:val="24"/>
        </w:rPr>
      </w:pPr>
      <w:r>
        <w:rPr>
          <w:rFonts w:hint="eastAsia" w:ascii="宋体" w:hAnsi="宋体" w:cs="宋体"/>
          <w:color w:val="auto"/>
          <w:sz w:val="24"/>
        </w:rPr>
        <w:t>3.仲裁或诉讼进行过程中，双方将继续履行本协议未涉仲裁或诉讼的其它部分。</w:t>
      </w:r>
    </w:p>
    <w:p w14:paraId="48D019DA">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第九条 </w:t>
      </w:r>
      <w:r>
        <w:rPr>
          <w:rFonts w:hint="eastAsia" w:hAnsi="宋体" w:cs="宋体"/>
          <w:b/>
          <w:bCs/>
          <w:color w:val="auto"/>
          <w:sz w:val="24"/>
          <w:szCs w:val="24"/>
          <w:lang w:val="en-US" w:eastAsia="zh-CN"/>
        </w:rPr>
        <w:t xml:space="preserve"> </w:t>
      </w:r>
      <w:r>
        <w:rPr>
          <w:rFonts w:hint="eastAsia" w:hAnsi="宋体" w:cs="宋体"/>
          <w:b/>
          <w:bCs/>
          <w:color w:val="auto"/>
          <w:sz w:val="24"/>
          <w:szCs w:val="24"/>
        </w:rPr>
        <w:t>免责条款</w:t>
      </w:r>
    </w:p>
    <w:p w14:paraId="1CCB173E">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因不可抗力导致甲乙双方或一方不能履行或不能完全履行本协议项下有关义务时，双方相互不承担违约责任。但遇不可抗力的一方，应于不可抗力发生后十五（15）日内将情况书面告知对方，并提供有关部门的证明。在不可抗力影响消除后的合理时间内，一方或双方应当继续履行协议。由于不可抗力导致协议不能或者没有必要继续履行的，本协议可由甲乙双方解除。</w:t>
      </w:r>
    </w:p>
    <w:p w14:paraId="36A5559C">
      <w:pPr>
        <w:pStyle w:val="11"/>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第十条 </w:t>
      </w:r>
      <w:r>
        <w:rPr>
          <w:rFonts w:hint="eastAsia" w:hAnsi="宋体" w:cs="宋体"/>
          <w:b/>
          <w:bCs/>
          <w:color w:val="auto"/>
          <w:sz w:val="24"/>
          <w:szCs w:val="24"/>
          <w:lang w:val="en-US" w:eastAsia="zh-CN"/>
        </w:rPr>
        <w:t xml:space="preserve"> </w:t>
      </w:r>
      <w:r>
        <w:rPr>
          <w:rFonts w:hint="eastAsia" w:hAnsi="宋体" w:cs="宋体"/>
          <w:b/>
          <w:bCs/>
          <w:color w:val="auto"/>
          <w:sz w:val="24"/>
          <w:szCs w:val="24"/>
        </w:rPr>
        <w:t>服务期限</w:t>
      </w:r>
    </w:p>
    <w:p w14:paraId="2021E470">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1.本协议确定的服务期为[ 壹 ]年，自双方签字盖章之日起生效，有效期为[    ]年[  ]月[  ]日至[    ]年[  ]月[  ]日。</w:t>
      </w:r>
    </w:p>
    <w:p w14:paraId="087F919C">
      <w:pPr>
        <w:spacing w:line="44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2.合同到期前</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0天双方重新协商</w:t>
      </w:r>
      <w:r>
        <w:rPr>
          <w:rFonts w:hint="eastAsia" w:ascii="宋体" w:hAnsi="宋体" w:cs="宋体"/>
          <w:color w:val="auto"/>
          <w:sz w:val="24"/>
          <w:highlight w:val="none"/>
          <w:lang w:eastAsia="zh-CN"/>
        </w:rPr>
        <w:t>，</w:t>
      </w:r>
      <w:r>
        <w:rPr>
          <w:rFonts w:hint="eastAsia" w:ascii="宋体" w:hAnsi="宋体" w:cs="宋体"/>
          <w:color w:val="auto"/>
          <w:sz w:val="24"/>
          <w:highlight w:val="none"/>
        </w:rPr>
        <w:t>如乙方提供的服务令甲方满意</w:t>
      </w:r>
      <w:r>
        <w:rPr>
          <w:rFonts w:hint="eastAsia" w:ascii="宋体" w:hAnsi="宋体" w:cs="宋体"/>
          <w:color w:val="auto"/>
          <w:sz w:val="24"/>
          <w:highlight w:val="none"/>
          <w:lang w:eastAsia="zh-CN"/>
        </w:rPr>
        <w:t>，</w:t>
      </w:r>
      <w:r>
        <w:rPr>
          <w:rFonts w:hint="eastAsia" w:ascii="宋体" w:hAnsi="宋体" w:cs="宋体"/>
          <w:color w:val="auto"/>
          <w:sz w:val="24"/>
          <w:highlight w:val="none"/>
        </w:rPr>
        <w:t>可优先考虑与乙方续约</w:t>
      </w:r>
      <w:r>
        <w:rPr>
          <w:rFonts w:hint="eastAsia" w:ascii="宋体" w:hAnsi="宋体" w:cs="宋体"/>
          <w:color w:val="auto"/>
          <w:sz w:val="24"/>
          <w:highlight w:val="none"/>
          <w:lang w:eastAsia="zh-CN"/>
        </w:rPr>
        <w:t>，</w:t>
      </w:r>
      <w:r>
        <w:rPr>
          <w:rFonts w:hint="eastAsia" w:ascii="宋体" w:hAnsi="宋体" w:cs="宋体"/>
          <w:color w:val="auto"/>
          <w:sz w:val="24"/>
          <w:highlight w:val="none"/>
        </w:rPr>
        <w:t>但必须签订新合同后方能生效</w:t>
      </w:r>
      <w:r>
        <w:rPr>
          <w:rFonts w:hint="eastAsia" w:ascii="宋体" w:hAnsi="宋体" w:cs="宋体"/>
          <w:color w:val="auto"/>
          <w:sz w:val="24"/>
          <w:highlight w:val="none"/>
          <w:lang w:eastAsia="zh-CN"/>
        </w:rPr>
        <w:t>。</w:t>
      </w:r>
    </w:p>
    <w:p w14:paraId="5C19C442">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第十一条 </w:t>
      </w:r>
      <w:r>
        <w:rPr>
          <w:rFonts w:hint="eastAsia" w:ascii="宋体" w:hAnsi="宋体" w:cs="宋体"/>
          <w:b/>
          <w:bCs/>
          <w:color w:val="auto"/>
          <w:sz w:val="24"/>
          <w:lang w:val="en-US" w:eastAsia="zh-CN"/>
        </w:rPr>
        <w:t xml:space="preserve"> </w:t>
      </w:r>
      <w:r>
        <w:rPr>
          <w:rFonts w:hint="eastAsia" w:ascii="宋体" w:hAnsi="宋体" w:cs="宋体"/>
          <w:b/>
          <w:bCs/>
          <w:color w:val="auto"/>
          <w:sz w:val="24"/>
        </w:rPr>
        <w:t>协议生效及其他</w:t>
      </w:r>
    </w:p>
    <w:p w14:paraId="26065871">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1.本协议自甲乙双方签字盖章之日起生效。</w:t>
      </w:r>
    </w:p>
    <w:p w14:paraId="02A42BBB">
      <w:pPr>
        <w:spacing w:line="440" w:lineRule="exact"/>
        <w:ind w:firstLine="480" w:firstLineChars="200"/>
        <w:rPr>
          <w:rFonts w:hint="eastAsia" w:ascii="宋体" w:hAnsi="宋体" w:cs="宋体"/>
          <w:color w:val="auto"/>
          <w:sz w:val="24"/>
        </w:rPr>
      </w:pPr>
      <w:r>
        <w:rPr>
          <w:rFonts w:hint="eastAsia" w:ascii="宋体" w:hAnsi="宋体" w:cs="宋体"/>
          <w:color w:val="auto"/>
          <w:sz w:val="24"/>
        </w:rPr>
        <w:t>2.本协议一式[ 陆 ]份，甲方执[ 肆]份，乙方执[ 贰]份，具有同等法律效力。</w:t>
      </w:r>
    </w:p>
    <w:p w14:paraId="727F77AE">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3.如果本协议的任何条款在任何时候变成不合法、无效或不可强制执行而不从根本上影响本协议的效力时，本协议的其他条款不受影响。</w:t>
      </w:r>
    </w:p>
    <w:p w14:paraId="167908B7">
      <w:pPr>
        <w:spacing w:line="440" w:lineRule="exact"/>
        <w:ind w:firstLine="480" w:firstLineChars="200"/>
        <w:rPr>
          <w:rFonts w:hint="eastAsia" w:ascii="宋体" w:hAnsi="宋体" w:cs="宋体"/>
          <w:color w:val="auto"/>
          <w:sz w:val="24"/>
        </w:rPr>
      </w:pPr>
      <w:r>
        <w:rPr>
          <w:rFonts w:hint="eastAsia" w:ascii="宋体" w:hAnsi="宋体" w:cs="宋体"/>
          <w:color w:val="auto"/>
          <w:sz w:val="24"/>
        </w:rPr>
        <w:t>4.除本协议另有约定外，未经甲乙双方书面确认，任何一方不得自行变更或修改本协议。</w:t>
      </w:r>
    </w:p>
    <w:p w14:paraId="7F8D67E7">
      <w:pPr>
        <w:spacing w:line="440" w:lineRule="exact"/>
        <w:ind w:firstLine="480" w:firstLineChars="200"/>
        <w:rPr>
          <w:rFonts w:hint="eastAsia" w:ascii="宋体" w:hAnsi="宋体" w:cs="宋体"/>
          <w:color w:val="auto"/>
          <w:sz w:val="24"/>
        </w:rPr>
      </w:pPr>
      <w:r>
        <w:rPr>
          <w:rFonts w:hint="eastAsia" w:ascii="宋体" w:hAnsi="宋体" w:cs="宋体"/>
          <w:color w:val="auto"/>
          <w:sz w:val="24"/>
        </w:rPr>
        <w:t>5.本协议各条标题仅为提示之用，应以条文内容确定各方的权利义务。</w:t>
      </w:r>
    </w:p>
    <w:p w14:paraId="38A5E03A">
      <w:pPr>
        <w:spacing w:line="440" w:lineRule="exact"/>
        <w:ind w:firstLine="480" w:firstLineChars="200"/>
        <w:rPr>
          <w:rFonts w:hint="eastAsia" w:ascii="宋体" w:hAnsi="宋体" w:cs="宋体"/>
          <w:color w:val="auto"/>
          <w:sz w:val="24"/>
        </w:rPr>
      </w:pPr>
      <w:r>
        <w:rPr>
          <w:rFonts w:hint="eastAsia" w:ascii="宋体" w:hAnsi="宋体" w:cs="宋体"/>
          <w:color w:val="auto"/>
          <w:sz w:val="24"/>
        </w:rPr>
        <w:t>6.本协议的任何内容不应被视为或解释为双方之间具有合资、合伙、代理关系。</w:t>
      </w:r>
    </w:p>
    <w:p w14:paraId="02154217">
      <w:pPr>
        <w:spacing w:line="440" w:lineRule="exact"/>
        <w:ind w:firstLine="480" w:firstLineChars="200"/>
        <w:rPr>
          <w:rFonts w:hint="eastAsia" w:ascii="宋体" w:hAnsi="宋体" w:cs="宋体"/>
          <w:color w:val="auto"/>
          <w:sz w:val="24"/>
        </w:rPr>
      </w:pPr>
      <w:r>
        <w:rPr>
          <w:rFonts w:hint="eastAsia" w:ascii="宋体" w:hAnsi="宋体" w:cs="宋体"/>
          <w:color w:val="auto"/>
          <w:sz w:val="24"/>
        </w:rPr>
        <w:t>7.本协议替代此前双方所有关于本协议事项的口头或书面的纪要、备忘录、协议、协议。</w:t>
      </w:r>
    </w:p>
    <w:p w14:paraId="6AE2D766">
      <w:pPr>
        <w:spacing w:line="440" w:lineRule="exact"/>
        <w:ind w:firstLine="480" w:firstLineChars="200"/>
        <w:rPr>
          <w:rFonts w:ascii="宋体" w:hAnsi="宋体" w:cs="宋体"/>
          <w:color w:val="auto"/>
          <w:sz w:val="24"/>
        </w:rPr>
      </w:pPr>
      <w:r>
        <w:rPr>
          <w:rFonts w:hint="eastAsia" w:ascii="宋体" w:hAnsi="宋体" w:cs="宋体"/>
          <w:color w:val="auto"/>
          <w:sz w:val="24"/>
        </w:rPr>
        <w:t>8.双方同意，附件为本协议不可分割的部分。若附件与协议正文有任何冲突，以协议正文为准。</w:t>
      </w:r>
    </w:p>
    <w:p w14:paraId="75E74EA8">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第十二条 </w:t>
      </w:r>
      <w:r>
        <w:rPr>
          <w:rFonts w:ascii="宋体" w:hAnsi="宋体" w:cs="宋体"/>
          <w:b/>
          <w:bCs/>
          <w:color w:val="auto"/>
          <w:sz w:val="24"/>
        </w:rPr>
        <w:t xml:space="preserve"> </w:t>
      </w:r>
      <w:r>
        <w:rPr>
          <w:rFonts w:hint="eastAsia" w:ascii="宋体" w:hAnsi="宋体" w:cs="宋体"/>
          <w:b/>
          <w:bCs/>
          <w:color w:val="auto"/>
          <w:sz w:val="24"/>
        </w:rPr>
        <w:t>签订本合同依据</w:t>
      </w:r>
    </w:p>
    <w:p w14:paraId="3A9D8A47">
      <w:pPr>
        <w:spacing w:line="440" w:lineRule="exact"/>
        <w:ind w:firstLine="480" w:firstLineChars="200"/>
        <w:rPr>
          <w:rFonts w:hint="eastAsia" w:ascii="宋体" w:hAnsi="宋体" w:cs="宋体"/>
          <w:color w:val="auto"/>
          <w:sz w:val="24"/>
        </w:rPr>
      </w:pPr>
      <w:r>
        <w:rPr>
          <w:rFonts w:hint="eastAsia" w:ascii="宋体" w:hAnsi="宋体" w:cs="宋体"/>
          <w:color w:val="auto"/>
          <w:sz w:val="24"/>
        </w:rPr>
        <w:t>1.中标通知书；</w:t>
      </w:r>
    </w:p>
    <w:p w14:paraId="7D511354">
      <w:pPr>
        <w:spacing w:line="440" w:lineRule="exact"/>
        <w:ind w:firstLine="480" w:firstLineChars="200"/>
        <w:rPr>
          <w:rFonts w:hint="eastAsia" w:ascii="宋体" w:hAnsi="宋体" w:cs="宋体"/>
          <w:color w:val="auto"/>
          <w:sz w:val="24"/>
        </w:rPr>
      </w:pPr>
      <w:r>
        <w:rPr>
          <w:rFonts w:hint="eastAsia" w:ascii="宋体" w:hAnsi="宋体" w:cs="宋体"/>
          <w:color w:val="auto"/>
          <w:sz w:val="24"/>
        </w:rPr>
        <w:t>2.采购需求、投标报价表、服务内容及要求响应表、商务响应表；</w:t>
      </w:r>
    </w:p>
    <w:p w14:paraId="29A4AC03">
      <w:pPr>
        <w:spacing w:line="440" w:lineRule="exact"/>
        <w:ind w:firstLine="480" w:firstLineChars="200"/>
        <w:rPr>
          <w:rFonts w:hint="eastAsia" w:ascii="宋体" w:hAnsi="宋体" w:cs="宋体"/>
          <w:color w:val="auto"/>
          <w:sz w:val="24"/>
        </w:rPr>
      </w:pPr>
      <w:r>
        <w:rPr>
          <w:rFonts w:hint="eastAsia" w:ascii="宋体" w:hAnsi="宋体" w:cs="宋体"/>
          <w:color w:val="auto"/>
          <w:sz w:val="24"/>
        </w:rPr>
        <w:t>3.2025年人民医院综合通信业务服务清单；</w:t>
      </w:r>
    </w:p>
    <w:p w14:paraId="2359DDA3">
      <w:pPr>
        <w:spacing w:line="440" w:lineRule="exact"/>
        <w:ind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服务方案（如有）。</w:t>
      </w:r>
    </w:p>
    <w:p w14:paraId="3BB4A7C0">
      <w:pPr>
        <w:pStyle w:val="16"/>
        <w:rPr>
          <w:rFonts w:hint="eastAsia" w:ascii="宋体" w:hAnsi="宋体" w:eastAsia="宋体" w:cs="宋体"/>
          <w:b/>
          <w:bCs w:val="0"/>
          <w:color w:val="auto"/>
          <w:kern w:val="2"/>
          <w:sz w:val="24"/>
          <w:szCs w:val="24"/>
          <w:lang w:val="en-US" w:eastAsia="zh-CN" w:bidi="ar-SA"/>
        </w:rPr>
      </w:pPr>
    </w:p>
    <w:p w14:paraId="1571B77F">
      <w:pPr>
        <w:rPr>
          <w:rFonts w:hint="eastAsia"/>
          <w:lang w:val="en-US" w:eastAsia="zh-CN"/>
        </w:rPr>
      </w:pPr>
    </w:p>
    <w:p w14:paraId="3EE3CDCF">
      <w:pPr>
        <w:pStyle w:val="2"/>
        <w:spacing w:line="400" w:lineRule="exact"/>
        <w:ind w:left="0" w:leftChars="0" w:firstLine="0" w:firstLineChars="0"/>
        <w:rPr>
          <w:rFonts w:hint="eastAsia"/>
          <w:w w:val="95"/>
          <w:sz w:val="30"/>
          <w:szCs w:val="30"/>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p w14:paraId="55C6512B">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cs="宋体"/>
          <w:b/>
          <w:bCs/>
          <w:spacing w:val="6"/>
          <w:sz w:val="21"/>
          <w:szCs w:val="21"/>
          <w:lang w:eastAsia="zh-CN"/>
        </w:rPr>
      </w:pPr>
      <w:r>
        <w:rPr>
          <w:rFonts w:hint="eastAsia" w:ascii="宋体" w:hAnsi="宋体" w:eastAsia="宋体" w:cs="宋体"/>
          <w:b/>
          <w:bCs/>
          <w:spacing w:val="6"/>
          <w:sz w:val="21"/>
          <w:szCs w:val="21"/>
          <w:lang w:eastAsia="zh-CN"/>
        </w:rPr>
        <w:t>评定方法</w:t>
      </w:r>
      <w:r>
        <w:rPr>
          <w:rFonts w:hint="eastAsia" w:ascii="宋体" w:hAnsi="宋体" w:cs="宋体"/>
          <w:b/>
          <w:bCs/>
          <w:spacing w:val="6"/>
          <w:sz w:val="21"/>
          <w:szCs w:val="21"/>
          <w:lang w:eastAsia="zh-CN"/>
        </w:rPr>
        <w:t>：</w:t>
      </w:r>
    </w:p>
    <w:p w14:paraId="523B4868">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（一）对进入详评的，采用百分制综合评分法。</w:t>
      </w:r>
    </w:p>
    <w:p w14:paraId="47559A2B">
      <w:pPr>
        <w:keepNext w:val="0"/>
        <w:keepLines w:val="0"/>
        <w:pageBreakBefore w:val="0"/>
        <w:widowControl/>
        <w:kinsoku w:val="0"/>
        <w:wordWrap/>
        <w:overflowPunct/>
        <w:topLinePunct w:val="0"/>
        <w:autoSpaceDE w:val="0"/>
        <w:autoSpaceDN w:val="0"/>
        <w:bidi w:val="0"/>
        <w:adjustRightInd w:val="0"/>
        <w:snapToGrid w:val="0"/>
        <w:spacing w:before="174" w:line="300" w:lineRule="auto"/>
        <w:ind w:firstLine="452" w:firstLineChars="20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（二）计分办法（按四舍五入取至百分位</w:t>
      </w:r>
      <w:r>
        <w:rPr>
          <w:rFonts w:hint="eastAsia" w:ascii="宋体" w:hAnsi="宋体" w:eastAsia="宋体" w:cs="宋体"/>
          <w:spacing w:val="7"/>
          <w:sz w:val="21"/>
          <w:szCs w:val="21"/>
          <w:lang w:eastAsia="zh-CN"/>
        </w:rPr>
        <w:t>）：</w:t>
      </w:r>
    </w:p>
    <w:p w14:paraId="3A083C0A">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43"/>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1</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价格分………………………………………………………………………………满分</w:t>
      </w:r>
      <w:r>
        <w:rPr>
          <w:rFonts w:hint="eastAsia" w:ascii="宋体" w:hAnsi="宋体" w:eastAsia="宋体" w:cs="宋体"/>
          <w:b/>
          <w:bCs/>
          <w:spacing w:val="7"/>
          <w:sz w:val="21"/>
          <w:szCs w:val="21"/>
          <w:lang w:val="en-US" w:eastAsia="zh-CN"/>
        </w:rPr>
        <w:t>45</w:t>
      </w:r>
      <w:r>
        <w:rPr>
          <w:rFonts w:hint="eastAsia" w:ascii="宋体" w:hAnsi="宋体" w:eastAsia="宋体" w:cs="宋体"/>
          <w:b/>
          <w:bCs/>
          <w:spacing w:val="7"/>
          <w:sz w:val="21"/>
          <w:szCs w:val="21"/>
          <w:lang w:eastAsia="zh-CN"/>
        </w:rPr>
        <w:t>分</w:t>
      </w:r>
    </w:p>
    <w:p w14:paraId="68F40BFE">
      <w:pPr>
        <w:keepNext w:val="0"/>
        <w:keepLines w:val="0"/>
        <w:pageBreakBefore w:val="0"/>
        <w:widowControl/>
        <w:kinsoku w:val="0"/>
        <w:wordWrap/>
        <w:overflowPunct/>
        <w:topLinePunct w:val="0"/>
        <w:autoSpaceDE w:val="0"/>
        <w:autoSpaceDN w:val="0"/>
        <w:bidi w:val="0"/>
        <w:adjustRightInd w:val="0"/>
        <w:snapToGrid w:val="0"/>
        <w:spacing w:before="175" w:line="300" w:lineRule="auto"/>
        <w:ind w:left="7" w:right="70"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（1）根据《广西壮族自治区财政厅关于进一步</w:t>
      </w:r>
      <w:r>
        <w:rPr>
          <w:rFonts w:hint="eastAsia" w:ascii="宋体" w:hAnsi="宋体" w:eastAsia="宋体" w:cs="宋体"/>
          <w:spacing w:val="9"/>
          <w:sz w:val="21"/>
          <w:szCs w:val="21"/>
          <w:lang w:eastAsia="zh-CN"/>
        </w:rPr>
        <w:t>发挥政府采购政策功能促进企业发展的通知》（桂财</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采〔2022〕30</w:t>
      </w:r>
      <w:r>
        <w:rPr>
          <w:rFonts w:hint="eastAsia" w:ascii="宋体" w:hAnsi="宋体" w:eastAsia="宋体" w:cs="宋体"/>
          <w:spacing w:val="-32"/>
          <w:sz w:val="21"/>
          <w:szCs w:val="21"/>
          <w:lang w:eastAsia="zh-CN"/>
        </w:rPr>
        <w:t xml:space="preserve"> </w:t>
      </w:r>
      <w:r>
        <w:rPr>
          <w:rFonts w:hint="eastAsia" w:ascii="宋体" w:hAnsi="宋体" w:eastAsia="宋体" w:cs="宋体"/>
          <w:spacing w:val="8"/>
          <w:sz w:val="21"/>
          <w:szCs w:val="21"/>
          <w:lang w:eastAsia="zh-CN"/>
        </w:rPr>
        <w:t>号</w:t>
      </w:r>
      <w:r>
        <w:rPr>
          <w:rFonts w:hint="eastAsia" w:ascii="宋体" w:hAnsi="宋体" w:eastAsia="宋体" w:cs="宋体"/>
          <w:spacing w:val="17"/>
          <w:sz w:val="21"/>
          <w:szCs w:val="21"/>
          <w:lang w:eastAsia="zh-CN"/>
        </w:rPr>
        <w:t>），</w:t>
      </w:r>
      <w:r>
        <w:rPr>
          <w:rFonts w:hint="eastAsia" w:ascii="宋体" w:hAnsi="宋体" w:eastAsia="宋体" w:cs="宋体"/>
          <w:spacing w:val="8"/>
          <w:sz w:val="21"/>
          <w:szCs w:val="21"/>
          <w:lang w:eastAsia="zh-CN"/>
        </w:rPr>
        <w:t>凡符合《政府采购促进中小企业发展管理办法》（财库〔2</w:t>
      </w:r>
      <w:r>
        <w:rPr>
          <w:rFonts w:hint="eastAsia" w:ascii="宋体" w:hAnsi="宋体" w:eastAsia="宋体" w:cs="宋体"/>
          <w:spacing w:val="7"/>
          <w:sz w:val="21"/>
          <w:szCs w:val="21"/>
          <w:lang w:eastAsia="zh-CN"/>
        </w:rPr>
        <w:t>020〕46</w:t>
      </w:r>
      <w:r>
        <w:rPr>
          <w:rFonts w:hint="eastAsia" w:ascii="宋体" w:hAnsi="宋体" w:eastAsia="宋体" w:cs="宋体"/>
          <w:spacing w:val="-33"/>
          <w:sz w:val="21"/>
          <w:szCs w:val="21"/>
          <w:lang w:eastAsia="zh-CN"/>
        </w:rPr>
        <w:t xml:space="preserve"> </w:t>
      </w:r>
      <w:r>
        <w:rPr>
          <w:rFonts w:hint="eastAsia" w:ascii="宋体" w:hAnsi="宋体" w:eastAsia="宋体" w:cs="宋体"/>
          <w:spacing w:val="7"/>
          <w:sz w:val="21"/>
          <w:szCs w:val="21"/>
          <w:lang w:eastAsia="zh-CN"/>
        </w:rPr>
        <w:t>号）规定条件且</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按该办法中规定的格式提供了《中小企业声明函》的小型和微型企业，对其投标价给予</w:t>
      </w:r>
      <w:r>
        <w:rPr>
          <w:rFonts w:hint="eastAsia" w:ascii="宋体" w:hAnsi="宋体" w:eastAsia="宋体" w:cs="宋体"/>
          <w:spacing w:val="-28"/>
          <w:sz w:val="21"/>
          <w:szCs w:val="21"/>
          <w:lang w:eastAsia="zh-CN"/>
        </w:rPr>
        <w:t xml:space="preserve"> </w:t>
      </w:r>
      <w:r>
        <w:rPr>
          <w:rFonts w:hint="eastAsia" w:ascii="宋体" w:hAnsi="宋体" w:eastAsia="宋体" w:cs="宋体"/>
          <w:spacing w:val="8"/>
          <w:sz w:val="21"/>
          <w:szCs w:val="21"/>
          <w:lang w:eastAsia="zh-CN"/>
        </w:rPr>
        <w:t>20%的扣除，扣除</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后的价格为评标价，即评标价=投标价×（</w:t>
      </w:r>
      <w:r>
        <w:rPr>
          <w:rFonts w:hint="eastAsia" w:ascii="宋体" w:hAnsi="宋体" w:eastAsia="宋体" w:cs="宋体"/>
          <w:spacing w:val="7"/>
          <w:sz w:val="21"/>
          <w:szCs w:val="21"/>
          <w:lang w:eastAsia="zh-CN"/>
        </w:rPr>
        <w:t>1-20%）。</w:t>
      </w:r>
    </w:p>
    <w:p w14:paraId="757D1099">
      <w:pPr>
        <w:keepNext w:val="0"/>
        <w:keepLines w:val="0"/>
        <w:pageBreakBefore w:val="0"/>
        <w:widowControl/>
        <w:kinsoku w:val="0"/>
        <w:wordWrap/>
        <w:overflowPunct/>
        <w:topLinePunct w:val="0"/>
        <w:autoSpaceDE w:val="0"/>
        <w:autoSpaceDN w:val="0"/>
        <w:bidi w:val="0"/>
        <w:adjustRightInd w:val="0"/>
        <w:snapToGrid w:val="0"/>
        <w:spacing w:before="33" w:line="300" w:lineRule="auto"/>
        <w:ind w:left="25" w:right="3" w:firstLine="40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注：中小微型企业划分标准按照《国家统计局关于</w:t>
      </w:r>
      <w:r>
        <w:rPr>
          <w:rFonts w:hint="eastAsia" w:ascii="宋体" w:hAnsi="宋体" w:eastAsia="宋体" w:cs="宋体"/>
          <w:b/>
          <w:bCs/>
          <w:spacing w:val="6"/>
          <w:sz w:val="21"/>
          <w:szCs w:val="21"/>
          <w:lang w:eastAsia="zh-CN"/>
        </w:rPr>
        <w:t>印发〈统计上大中小微型企业划分办法〉〔2017〕</w:t>
      </w:r>
      <w:r>
        <w:rPr>
          <w:rFonts w:hint="eastAsia" w:ascii="宋体" w:hAnsi="宋体" w:eastAsia="宋体" w:cs="宋体"/>
          <w:sz w:val="21"/>
          <w:szCs w:val="21"/>
          <w:lang w:eastAsia="zh-CN"/>
        </w:rPr>
        <w:t xml:space="preserve"> </w:t>
      </w:r>
      <w:r>
        <w:rPr>
          <w:rFonts w:hint="eastAsia" w:ascii="宋体" w:hAnsi="宋体" w:eastAsia="宋体" w:cs="宋体"/>
          <w:b/>
          <w:bCs/>
          <w:spacing w:val="7"/>
          <w:sz w:val="21"/>
          <w:szCs w:val="21"/>
          <w:lang w:eastAsia="zh-CN"/>
        </w:rPr>
        <w:t>的通知》（国统字〔2017〕213</w:t>
      </w:r>
      <w:r>
        <w:rPr>
          <w:rFonts w:hint="eastAsia" w:ascii="宋体" w:hAnsi="宋体" w:eastAsia="宋体" w:cs="宋体"/>
          <w:spacing w:val="-33"/>
          <w:sz w:val="21"/>
          <w:szCs w:val="21"/>
          <w:lang w:eastAsia="zh-CN"/>
        </w:rPr>
        <w:t xml:space="preserve"> </w:t>
      </w:r>
      <w:r>
        <w:rPr>
          <w:rFonts w:hint="eastAsia" w:ascii="宋体" w:hAnsi="宋体" w:eastAsia="宋体" w:cs="宋体"/>
          <w:b/>
          <w:bCs/>
          <w:spacing w:val="7"/>
          <w:sz w:val="21"/>
          <w:szCs w:val="21"/>
          <w:lang w:eastAsia="zh-CN"/>
        </w:rPr>
        <w:t>号）执行，具体划分标准见附表《</w:t>
      </w:r>
      <w:r>
        <w:rPr>
          <w:rFonts w:hint="eastAsia" w:ascii="宋体" w:hAnsi="宋体" w:eastAsia="宋体" w:cs="宋体"/>
          <w:b/>
          <w:bCs/>
          <w:spacing w:val="6"/>
          <w:sz w:val="21"/>
          <w:szCs w:val="21"/>
          <w:lang w:eastAsia="zh-CN"/>
        </w:rPr>
        <w:t>统计上大中小微型企业划分标准》。</w:t>
      </w:r>
    </w:p>
    <w:p w14:paraId="59F2AB0D">
      <w:pPr>
        <w:keepNext w:val="0"/>
        <w:keepLines w:val="0"/>
        <w:pageBreakBefore w:val="0"/>
        <w:widowControl/>
        <w:kinsoku w:val="0"/>
        <w:wordWrap/>
        <w:overflowPunct/>
        <w:topLinePunct w:val="0"/>
        <w:autoSpaceDE w:val="0"/>
        <w:autoSpaceDN w:val="0"/>
        <w:bidi w:val="0"/>
        <w:adjustRightInd w:val="0"/>
        <w:snapToGrid w:val="0"/>
        <w:spacing w:before="32" w:line="300" w:lineRule="auto"/>
        <w:ind w:left="8"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（2）根据《关于政府采购支持监狱企业发展有</w:t>
      </w:r>
      <w:r>
        <w:rPr>
          <w:rFonts w:hint="eastAsia" w:ascii="宋体" w:hAnsi="宋体" w:eastAsia="宋体" w:cs="宋体"/>
          <w:spacing w:val="7"/>
          <w:sz w:val="21"/>
          <w:szCs w:val="21"/>
          <w:lang w:eastAsia="zh-CN"/>
        </w:rPr>
        <w:t>关问题的通知》（财库〔2014〕68</w:t>
      </w:r>
      <w:r>
        <w:rPr>
          <w:rFonts w:hint="eastAsia" w:ascii="宋体" w:hAnsi="宋体" w:eastAsia="宋体" w:cs="宋体"/>
          <w:spacing w:val="-35"/>
          <w:sz w:val="21"/>
          <w:szCs w:val="21"/>
          <w:lang w:eastAsia="zh-CN"/>
        </w:rPr>
        <w:t xml:space="preserve"> </w:t>
      </w:r>
      <w:r>
        <w:rPr>
          <w:rFonts w:hint="eastAsia" w:ascii="宋体" w:hAnsi="宋体" w:eastAsia="宋体" w:cs="宋体"/>
          <w:spacing w:val="7"/>
          <w:sz w:val="21"/>
          <w:szCs w:val="21"/>
          <w:lang w:eastAsia="zh-CN"/>
        </w:rPr>
        <w:t>号）和《关于促进</w:t>
      </w:r>
      <w:r>
        <w:rPr>
          <w:rFonts w:hint="eastAsia" w:ascii="宋体" w:hAnsi="宋体" w:eastAsia="宋体" w:cs="宋体"/>
          <w:sz w:val="21"/>
          <w:szCs w:val="21"/>
          <w:lang w:eastAsia="zh-CN"/>
        </w:rPr>
        <w:t xml:space="preserve"> </w:t>
      </w:r>
      <w:r>
        <w:rPr>
          <w:rFonts w:hint="eastAsia" w:ascii="宋体" w:hAnsi="宋体" w:eastAsia="宋体" w:cs="宋体"/>
          <w:spacing w:val="6"/>
          <w:sz w:val="21"/>
          <w:szCs w:val="21"/>
          <w:lang w:eastAsia="zh-CN"/>
        </w:rPr>
        <w:t>残疾人就业政府采购政策的通知》（财库〔2017〕141</w:t>
      </w:r>
      <w:r>
        <w:rPr>
          <w:rFonts w:hint="eastAsia" w:ascii="宋体" w:hAnsi="宋体" w:eastAsia="宋体" w:cs="宋体"/>
          <w:spacing w:val="-35"/>
          <w:sz w:val="21"/>
          <w:szCs w:val="21"/>
          <w:lang w:eastAsia="zh-CN"/>
        </w:rPr>
        <w:t xml:space="preserve"> </w:t>
      </w:r>
      <w:r>
        <w:rPr>
          <w:rFonts w:hint="eastAsia" w:ascii="宋体" w:hAnsi="宋体" w:eastAsia="宋体" w:cs="宋体"/>
          <w:spacing w:val="6"/>
          <w:sz w:val="21"/>
          <w:szCs w:val="21"/>
          <w:lang w:eastAsia="zh-CN"/>
        </w:rPr>
        <w:t>号</w:t>
      </w:r>
      <w:r>
        <w:rPr>
          <w:rFonts w:hint="eastAsia" w:ascii="宋体" w:hAnsi="宋体" w:eastAsia="宋体" w:cs="宋体"/>
          <w:spacing w:val="-11"/>
          <w:sz w:val="21"/>
          <w:szCs w:val="21"/>
          <w:lang w:eastAsia="zh-CN"/>
        </w:rPr>
        <w:t>），</w:t>
      </w:r>
      <w:r>
        <w:rPr>
          <w:rFonts w:hint="eastAsia" w:ascii="宋体" w:hAnsi="宋体" w:eastAsia="宋体" w:cs="宋体"/>
          <w:spacing w:val="6"/>
          <w:sz w:val="21"/>
          <w:szCs w:val="21"/>
          <w:lang w:eastAsia="zh-CN"/>
        </w:rPr>
        <w:t>监狱企业和符合</w:t>
      </w:r>
      <w:r>
        <w:rPr>
          <w:rFonts w:hint="eastAsia" w:ascii="宋体" w:hAnsi="宋体" w:eastAsia="宋体" w:cs="宋体"/>
          <w:spacing w:val="5"/>
          <w:sz w:val="21"/>
          <w:szCs w:val="21"/>
          <w:lang w:eastAsia="zh-CN"/>
        </w:rPr>
        <w:t>条件的残疾人企业视同小型、</w:t>
      </w:r>
      <w:r>
        <w:rPr>
          <w:rFonts w:hint="eastAsia" w:ascii="宋体" w:hAnsi="宋体" w:eastAsia="宋体" w:cs="宋体"/>
          <w:sz w:val="21"/>
          <w:szCs w:val="21"/>
          <w:lang w:eastAsia="zh-CN"/>
        </w:rPr>
        <w:t xml:space="preserve"> </w:t>
      </w:r>
      <w:r>
        <w:rPr>
          <w:rFonts w:hint="eastAsia" w:ascii="宋体" w:hAnsi="宋体" w:eastAsia="宋体" w:cs="宋体"/>
          <w:spacing w:val="9"/>
          <w:sz w:val="21"/>
          <w:szCs w:val="21"/>
          <w:lang w:eastAsia="zh-CN"/>
        </w:rPr>
        <w:t>微型企业，享受小型、微型企业评审中价格扣除的政府采购政策。</w:t>
      </w:r>
    </w:p>
    <w:p w14:paraId="4D98FA19">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70" w:firstLine="429"/>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（3）根据《关于促进残疾人就业政府采购政策的通知》</w:t>
      </w:r>
      <w:r>
        <w:rPr>
          <w:rFonts w:hint="eastAsia" w:ascii="宋体" w:hAnsi="宋体" w:eastAsia="宋体" w:cs="宋体"/>
          <w:spacing w:val="-73"/>
          <w:sz w:val="21"/>
          <w:szCs w:val="21"/>
          <w:lang w:eastAsia="zh-CN"/>
        </w:rPr>
        <w:t xml:space="preserve"> </w:t>
      </w:r>
      <w:r>
        <w:rPr>
          <w:rFonts w:hint="eastAsia" w:ascii="宋体" w:hAnsi="宋体" w:eastAsia="宋体" w:cs="宋体"/>
          <w:spacing w:val="9"/>
          <w:sz w:val="21"/>
          <w:szCs w:val="21"/>
          <w:lang w:eastAsia="zh-CN"/>
        </w:rPr>
        <w:t>（财库〔2017〕141</w:t>
      </w:r>
      <w:r>
        <w:rPr>
          <w:rFonts w:hint="eastAsia" w:ascii="宋体" w:hAnsi="宋体" w:eastAsia="宋体" w:cs="宋体"/>
          <w:spacing w:val="-33"/>
          <w:sz w:val="21"/>
          <w:szCs w:val="21"/>
          <w:lang w:eastAsia="zh-CN"/>
        </w:rPr>
        <w:t xml:space="preserve"> </w:t>
      </w:r>
      <w:r>
        <w:rPr>
          <w:rFonts w:hint="eastAsia" w:ascii="宋体" w:hAnsi="宋体" w:eastAsia="宋体" w:cs="宋体"/>
          <w:spacing w:val="9"/>
          <w:sz w:val="21"/>
          <w:szCs w:val="21"/>
          <w:lang w:eastAsia="zh-CN"/>
        </w:rPr>
        <w:t>号）规定，残疾人福利</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性单位视同小型、微型企业，评审中对价格给予折扣，</w:t>
      </w:r>
      <w:r>
        <w:rPr>
          <w:rFonts w:hint="eastAsia" w:ascii="宋体" w:hAnsi="宋体" w:eastAsia="宋体" w:cs="宋体"/>
          <w:spacing w:val="7"/>
          <w:sz w:val="21"/>
          <w:szCs w:val="21"/>
          <w:lang w:eastAsia="zh-CN"/>
        </w:rPr>
        <w:t>残疾人福利性单位属于小型、微型企业的，不重复</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享受政策。符合条件的残疾人福利性单位在参加政</w:t>
      </w:r>
      <w:r>
        <w:rPr>
          <w:rFonts w:hint="eastAsia" w:ascii="宋体" w:hAnsi="宋体" w:eastAsia="宋体" w:cs="宋体"/>
          <w:spacing w:val="7"/>
          <w:sz w:val="21"/>
          <w:szCs w:val="21"/>
          <w:lang w:eastAsia="zh-CN"/>
        </w:rPr>
        <w:t>府采购活动时，应当提供本通知规定的《残疾人福利性</w:t>
      </w:r>
      <w:r>
        <w:rPr>
          <w:rFonts w:hint="eastAsia" w:ascii="宋体" w:hAnsi="宋体" w:eastAsia="宋体" w:cs="宋体"/>
          <w:spacing w:val="8"/>
          <w:sz w:val="21"/>
          <w:szCs w:val="21"/>
          <w:lang w:eastAsia="zh-CN"/>
        </w:rPr>
        <w:t>单位声明函》（见附件</w:t>
      </w:r>
      <w:r>
        <w:rPr>
          <w:rFonts w:hint="eastAsia" w:ascii="宋体" w:hAnsi="宋体" w:eastAsia="宋体" w:cs="宋体"/>
          <w:sz w:val="21"/>
          <w:szCs w:val="21"/>
          <w:lang w:eastAsia="zh-CN"/>
        </w:rPr>
        <w:t>），</w:t>
      </w:r>
      <w:r>
        <w:rPr>
          <w:rFonts w:hint="eastAsia" w:ascii="宋体" w:hAnsi="宋体" w:eastAsia="宋体" w:cs="宋体"/>
          <w:spacing w:val="8"/>
          <w:sz w:val="21"/>
          <w:szCs w:val="21"/>
          <w:lang w:eastAsia="zh-CN"/>
        </w:rPr>
        <w:t>并对声明的真实性负责。中标为残疾人福利性单位的，采购代</w:t>
      </w:r>
      <w:r>
        <w:rPr>
          <w:rFonts w:hint="eastAsia" w:ascii="宋体" w:hAnsi="宋体" w:eastAsia="宋体" w:cs="宋体"/>
          <w:spacing w:val="7"/>
          <w:sz w:val="21"/>
          <w:szCs w:val="21"/>
          <w:lang w:eastAsia="zh-CN"/>
        </w:rPr>
        <w:t>理机构应当随中</w:t>
      </w:r>
      <w:r>
        <w:rPr>
          <w:rFonts w:hint="eastAsia" w:ascii="宋体" w:hAnsi="宋体" w:eastAsia="宋体" w:cs="宋体"/>
          <w:spacing w:val="1"/>
          <w:sz w:val="21"/>
          <w:szCs w:val="21"/>
          <w:lang w:eastAsia="zh-CN"/>
        </w:rPr>
        <w:t xml:space="preserve"> </w:t>
      </w:r>
      <w:r>
        <w:rPr>
          <w:rFonts w:hint="eastAsia" w:ascii="宋体" w:hAnsi="宋体" w:eastAsia="宋体" w:cs="宋体"/>
          <w:spacing w:val="9"/>
          <w:sz w:val="21"/>
          <w:szCs w:val="21"/>
          <w:lang w:eastAsia="zh-CN"/>
        </w:rPr>
        <w:t>标、成交结果同时公告其《残疾人福利性单位声明函》，接受社会监督。</w:t>
      </w:r>
    </w:p>
    <w:p w14:paraId="1A5300D9">
      <w:pPr>
        <w:keepNext w:val="0"/>
        <w:keepLines w:val="0"/>
        <w:pageBreakBefore w:val="0"/>
        <w:widowControl/>
        <w:kinsoku w:val="0"/>
        <w:wordWrap/>
        <w:overflowPunct/>
        <w:topLinePunct w:val="0"/>
        <w:autoSpaceDE w:val="0"/>
        <w:autoSpaceDN w:val="0"/>
        <w:bidi w:val="0"/>
        <w:adjustRightInd w:val="0"/>
        <w:snapToGrid w:val="0"/>
        <w:spacing w:before="175" w:line="300" w:lineRule="auto"/>
        <w:ind w:left="9" w:right="70" w:firstLine="428"/>
        <w:jc w:val="both"/>
        <w:textAlignment w:val="baseline"/>
        <w:rPr>
          <w:rFonts w:hint="eastAsia" w:ascii="宋体" w:hAnsi="宋体" w:cs="宋体"/>
          <w:spacing w:val="9"/>
          <w:sz w:val="21"/>
          <w:szCs w:val="21"/>
          <w:lang w:val="en-US" w:eastAsia="zh-CN"/>
        </w:rPr>
      </w:pPr>
      <w:r>
        <w:rPr>
          <w:rFonts w:hint="eastAsia" w:ascii="宋体" w:hAnsi="宋体" w:eastAsia="宋体" w:cs="宋体"/>
          <w:spacing w:val="9"/>
          <w:sz w:val="21"/>
          <w:szCs w:val="21"/>
          <w:lang w:eastAsia="zh-CN"/>
        </w:rPr>
        <w:t>对于不属于以上情形的投标人，其投标报价即为评标价。</w:t>
      </w:r>
    </w:p>
    <w:p w14:paraId="24A00907">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26" w:leftChars="203" w:right="70" w:firstLine="4" w:firstLineChars="2"/>
        <w:jc w:val="both"/>
        <w:textAlignment w:val="baseline"/>
        <w:rPr>
          <w:rFonts w:hint="default" w:ascii="宋体" w:hAnsi="宋体" w:eastAsia="宋体" w:cs="宋体"/>
          <w:spacing w:val="9"/>
          <w:sz w:val="21"/>
          <w:szCs w:val="21"/>
          <w:lang w:val="en-US" w:eastAsia="zh-CN"/>
        </w:rPr>
      </w:pPr>
      <w:r>
        <w:rPr>
          <w:rFonts w:hint="eastAsia" w:ascii="宋体" w:hAnsi="宋体" w:cs="宋体"/>
          <w:spacing w:val="9"/>
          <w:sz w:val="21"/>
          <w:szCs w:val="21"/>
          <w:lang w:val="en-US" w:eastAsia="zh-CN"/>
        </w:rPr>
        <w:t>（4）以</w:t>
      </w:r>
      <w:r>
        <w:rPr>
          <w:rFonts w:hint="eastAsia" w:ascii="宋体" w:hAnsi="宋体" w:eastAsia="宋体" w:cs="宋体"/>
          <w:spacing w:val="9"/>
          <w:sz w:val="21"/>
          <w:szCs w:val="21"/>
          <w:lang w:eastAsia="zh-CN"/>
        </w:rPr>
        <w:t>满足招标文件要求且评标报价最低的评标报价为评标基准价，其价格分为满分。</w:t>
      </w:r>
      <w:r>
        <w:rPr>
          <w:rFonts w:hint="eastAsia" w:ascii="宋体" w:hAnsi="宋体" w:cs="宋体"/>
          <w:spacing w:val="9"/>
          <w:sz w:val="21"/>
          <w:szCs w:val="21"/>
          <w:lang w:eastAsia="zh-CN"/>
        </w:rPr>
        <w:t>（</w:t>
      </w:r>
      <w:r>
        <w:rPr>
          <w:rFonts w:hint="eastAsia" w:ascii="宋体" w:hAnsi="宋体" w:cs="宋体"/>
          <w:spacing w:val="9"/>
          <w:sz w:val="21"/>
          <w:szCs w:val="21"/>
          <w:lang w:val="en-US" w:eastAsia="zh-CN"/>
        </w:rPr>
        <w:t>5）其他投标人价格分=（评标基准价/投标人评标报价金额）×45分</w:t>
      </w:r>
    </w:p>
    <w:p w14:paraId="0C024962">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30"/>
        <w:jc w:val="both"/>
        <w:textAlignment w:val="baseline"/>
        <w:rPr>
          <w:rFonts w:hint="eastAsia" w:ascii="宋体" w:hAnsi="宋体" w:eastAsia="宋体" w:cs="宋体"/>
          <w:sz w:val="21"/>
          <w:szCs w:val="21"/>
          <w:lang w:eastAsia="zh-CN"/>
        </w:rPr>
      </w:pPr>
      <w:r>
        <w:rPr>
          <w:rFonts w:hint="eastAsia" w:ascii="宋体" w:hAnsi="宋体" w:eastAsia="宋体" w:cs="宋体"/>
          <w:b/>
          <w:bCs/>
          <w:spacing w:val="8"/>
          <w:sz w:val="21"/>
          <w:szCs w:val="21"/>
          <w:lang w:eastAsia="zh-CN"/>
        </w:rPr>
        <w:t>2</w:t>
      </w:r>
      <w:r>
        <w:rPr>
          <w:rFonts w:hint="eastAsia" w:ascii="宋体" w:hAnsi="宋体" w:cs="宋体"/>
          <w:b/>
          <w:bCs/>
          <w:spacing w:val="8"/>
          <w:sz w:val="21"/>
          <w:szCs w:val="21"/>
          <w:lang w:val="en-US" w:eastAsia="zh-CN"/>
        </w:rPr>
        <w:t>.</w:t>
      </w:r>
      <w:r>
        <w:rPr>
          <w:rFonts w:hint="eastAsia" w:ascii="宋体" w:hAnsi="宋体" w:eastAsia="宋体" w:cs="宋体"/>
          <w:b/>
          <w:bCs/>
          <w:spacing w:val="8"/>
          <w:sz w:val="21"/>
          <w:szCs w:val="21"/>
          <w:lang w:eastAsia="zh-CN"/>
        </w:rPr>
        <w:t>技术分……………………………………</w:t>
      </w:r>
      <w:r>
        <w:rPr>
          <w:rFonts w:hint="eastAsia" w:ascii="宋体" w:hAnsi="宋体" w:eastAsia="宋体" w:cs="宋体"/>
          <w:b/>
          <w:bCs/>
          <w:spacing w:val="7"/>
          <w:sz w:val="21"/>
          <w:szCs w:val="21"/>
          <w:lang w:eastAsia="zh-CN"/>
        </w:rPr>
        <w:t>………………………………………</w:t>
      </w:r>
      <w:r>
        <w:rPr>
          <w:rFonts w:hint="eastAsia" w:ascii="宋体" w:hAnsi="宋体" w:cs="宋体"/>
          <w:b/>
          <w:bCs/>
          <w:spacing w:val="7"/>
          <w:sz w:val="21"/>
          <w:szCs w:val="21"/>
          <w:lang w:val="en-US" w:eastAsia="zh-CN"/>
        </w:rPr>
        <w:t xml:space="preserve"> </w:t>
      </w:r>
      <w:r>
        <w:rPr>
          <w:rFonts w:hint="eastAsia" w:ascii="宋体" w:hAnsi="宋体" w:eastAsia="宋体" w:cs="宋体"/>
          <w:b/>
          <w:bCs/>
          <w:spacing w:val="7"/>
          <w:sz w:val="21"/>
          <w:szCs w:val="21"/>
          <w:lang w:eastAsia="zh-CN"/>
        </w:rPr>
        <w:t>满分</w:t>
      </w:r>
      <w:r>
        <w:rPr>
          <w:rFonts w:hint="eastAsia" w:ascii="宋体" w:hAnsi="宋体" w:eastAsia="宋体" w:cs="宋体"/>
          <w:b/>
          <w:bCs/>
          <w:spacing w:val="7"/>
          <w:sz w:val="21"/>
          <w:szCs w:val="21"/>
          <w:lang w:val="en-US" w:eastAsia="zh-CN"/>
        </w:rPr>
        <w:t>31</w:t>
      </w:r>
      <w:r>
        <w:rPr>
          <w:rFonts w:hint="eastAsia" w:ascii="宋体" w:hAnsi="宋体" w:eastAsia="宋体" w:cs="宋体"/>
          <w:b/>
          <w:bCs/>
          <w:spacing w:val="7"/>
          <w:sz w:val="21"/>
          <w:szCs w:val="21"/>
          <w:lang w:eastAsia="zh-CN"/>
        </w:rPr>
        <w:t>分</w:t>
      </w:r>
    </w:p>
    <w:p w14:paraId="4EC5F08B">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8"/>
        <w:jc w:val="both"/>
        <w:textAlignment w:val="baseline"/>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（1）技术方案分（满分</w:t>
      </w:r>
      <w:r>
        <w:rPr>
          <w:rFonts w:hint="eastAsia" w:ascii="宋体" w:hAnsi="宋体" w:eastAsia="宋体" w:cs="宋体"/>
          <w:b/>
          <w:bCs/>
          <w:spacing w:val="4"/>
          <w:sz w:val="21"/>
          <w:szCs w:val="21"/>
          <w:lang w:val="en-US" w:eastAsia="zh-CN"/>
        </w:rPr>
        <w:t>8</w:t>
      </w:r>
      <w:r>
        <w:rPr>
          <w:rFonts w:hint="eastAsia" w:ascii="宋体" w:hAnsi="宋体" w:eastAsia="宋体" w:cs="宋体"/>
          <w:b/>
          <w:bCs/>
          <w:spacing w:val="4"/>
          <w:sz w:val="21"/>
          <w:szCs w:val="21"/>
          <w:lang w:eastAsia="zh-CN"/>
        </w:rPr>
        <w:t>分）</w:t>
      </w:r>
    </w:p>
    <w:p w14:paraId="1AA9EA54">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一档（0分）：未提供技术方案或方案与项目不符的；</w:t>
      </w:r>
    </w:p>
    <w:p w14:paraId="038F463A">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二档（</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分）：技术方案论述</w:t>
      </w:r>
      <w:r>
        <w:rPr>
          <w:rFonts w:hint="eastAsia" w:ascii="宋体" w:hAnsi="宋体" w:cs="宋体"/>
          <w:spacing w:val="5"/>
          <w:sz w:val="21"/>
          <w:szCs w:val="21"/>
          <w:lang w:val="en-US" w:eastAsia="zh-CN"/>
        </w:rPr>
        <w:t>简单</w:t>
      </w:r>
      <w:r>
        <w:rPr>
          <w:rFonts w:hint="eastAsia" w:ascii="宋体" w:hAnsi="宋体" w:eastAsia="宋体" w:cs="宋体"/>
          <w:spacing w:val="5"/>
          <w:sz w:val="21"/>
          <w:szCs w:val="21"/>
          <w:lang w:eastAsia="zh-CN"/>
        </w:rPr>
        <w:t>，没有明显技术错误，技术方案较简单可行，主要设备性能一般，系统功能配置基本达到要求的。</w:t>
      </w:r>
    </w:p>
    <w:p w14:paraId="2A85CAE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三档（</w:t>
      </w:r>
      <w:r>
        <w:rPr>
          <w:rFonts w:hint="eastAsia" w:ascii="宋体" w:hAnsi="宋体" w:eastAsia="宋体" w:cs="宋体"/>
          <w:spacing w:val="5"/>
          <w:sz w:val="21"/>
          <w:szCs w:val="21"/>
          <w:lang w:val="en-US" w:eastAsia="zh-CN"/>
        </w:rPr>
        <w:t>4</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二</w:t>
      </w:r>
      <w:r>
        <w:rPr>
          <w:rFonts w:hint="eastAsia" w:ascii="宋体" w:hAnsi="宋体" w:eastAsia="宋体" w:cs="宋体"/>
          <w:spacing w:val="5"/>
          <w:sz w:val="21"/>
          <w:szCs w:val="21"/>
          <w:lang w:eastAsia="zh-CN"/>
        </w:rPr>
        <w:t>档基础上，技术方案论述基本准确，技术架构基本合理，主要设备性能基本满足要求，提供光缆资源分布图，系统功能配置齐全，方案体现整体性、可靠性、兼容性的。</w:t>
      </w:r>
    </w:p>
    <w:p w14:paraId="69C5E3B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四档（</w:t>
      </w:r>
      <w:r>
        <w:rPr>
          <w:rFonts w:hint="eastAsia" w:ascii="宋体" w:hAnsi="宋体" w:eastAsia="宋体" w:cs="宋体"/>
          <w:spacing w:val="5"/>
          <w:sz w:val="21"/>
          <w:szCs w:val="21"/>
          <w:lang w:val="en-US" w:eastAsia="zh-CN"/>
        </w:rPr>
        <w:t>8</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三</w:t>
      </w:r>
      <w:r>
        <w:rPr>
          <w:rFonts w:hint="eastAsia" w:ascii="宋体" w:hAnsi="宋体" w:eastAsia="宋体" w:cs="宋体"/>
          <w:spacing w:val="5"/>
          <w:sz w:val="21"/>
          <w:szCs w:val="21"/>
          <w:lang w:eastAsia="zh-CN"/>
        </w:rPr>
        <w:t>档基础上，技术方案能深入了解用户需求，结合需求的分析对网络进行规划，论述准确，技术新，主要设备性能好，提供光缆资源分布图、全局互联网组方案、施工线路设计图系统功能配置齐全，系统设计紧密结合全程全网的建设理念；方案明显优于标书要求，且方案整体性、可靠性、先进性、兼容性、扩展性、冗余性、安全性好。</w:t>
      </w:r>
    </w:p>
    <w:p w14:paraId="67BE07F2">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（2）项目实施方案（满分</w:t>
      </w:r>
      <w:r>
        <w:rPr>
          <w:rFonts w:hint="eastAsia" w:ascii="宋体" w:hAnsi="宋体" w:eastAsia="宋体" w:cs="宋体"/>
          <w:b/>
          <w:bCs/>
          <w:spacing w:val="5"/>
          <w:sz w:val="21"/>
          <w:szCs w:val="21"/>
          <w:lang w:val="en-US" w:eastAsia="zh-CN"/>
        </w:rPr>
        <w:t>15</w:t>
      </w:r>
      <w:r>
        <w:rPr>
          <w:rFonts w:hint="eastAsia" w:ascii="宋体" w:hAnsi="宋体" w:eastAsia="宋体" w:cs="宋体"/>
          <w:b/>
          <w:bCs/>
          <w:spacing w:val="5"/>
          <w:sz w:val="21"/>
          <w:szCs w:val="21"/>
          <w:lang w:eastAsia="zh-CN"/>
        </w:rPr>
        <w:t>分）</w:t>
      </w:r>
    </w:p>
    <w:p w14:paraId="0043C3A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一档（0分）：未提供项目实施方案或方案与项目不符的。</w:t>
      </w:r>
    </w:p>
    <w:p w14:paraId="42B5B75B">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5</w:t>
      </w:r>
      <w:r>
        <w:rPr>
          <w:rFonts w:hint="eastAsia" w:ascii="宋体" w:hAnsi="宋体" w:eastAsia="宋体" w:cs="宋体"/>
          <w:spacing w:val="7"/>
          <w:sz w:val="21"/>
          <w:szCs w:val="21"/>
          <w:lang w:eastAsia="zh-CN"/>
        </w:rPr>
        <w:t>分）：项目实施方案的进度安排、相关保障措施能力、对各项关键工作安排、对本项目的风险预见、风险应对措施、项目管理方案、组织机构安排及分工与职责安排等描述不全且单一，各供应商横向比对无优势。</w:t>
      </w:r>
    </w:p>
    <w:p w14:paraId="5048082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10</w:t>
      </w:r>
      <w:r>
        <w:rPr>
          <w:rFonts w:hint="eastAsia" w:ascii="宋体" w:hAnsi="宋体" w:eastAsia="宋体" w:cs="宋体"/>
          <w:spacing w:val="7"/>
          <w:sz w:val="21"/>
          <w:szCs w:val="21"/>
          <w:lang w:eastAsia="zh-CN"/>
        </w:rPr>
        <w:t>分）：供应商的项目实施方案进度安排合理较好，且有相关保障措施；对各项关键工作安排较合理；对本项目的风险预见、风险应对措施较好；项目管理方案比较完整，组织机构比较合理，人员有保障，分工与职责比较明确，拟投入本项目项目经理具有网络规划设计师（高级）及信息系统项目管理师（高级）证书≥1人，售后技术经理具有信息类中级工程师职称≥1人。在与其他供应商的横向比对中较为优秀。（注：满足</w:t>
      </w: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挡）</w:t>
      </w:r>
    </w:p>
    <w:p w14:paraId="766DD68C">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15</w:t>
      </w:r>
      <w:r>
        <w:rPr>
          <w:rFonts w:hint="eastAsia" w:ascii="宋体" w:hAnsi="宋体" w:eastAsia="宋体" w:cs="宋体"/>
          <w:spacing w:val="7"/>
          <w:sz w:val="21"/>
          <w:szCs w:val="21"/>
          <w:lang w:eastAsia="zh-CN"/>
        </w:rPr>
        <w:t>分）：供应商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横向比对中最为详细、贴切且完整，拟投入本项目项目经理具有高级工程师证书及CDA数据分析师3级证书≥1人，售后技术经理具有注册信息安全专业人员（CISP）证书≥1人。（注：满足</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挡）</w:t>
      </w:r>
    </w:p>
    <w:p w14:paraId="6ECCA7E7">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2"/>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（3）服务方案（满分</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lang w:eastAsia="zh-CN"/>
        </w:rPr>
        <w:t>分）</w:t>
      </w:r>
    </w:p>
    <w:p w14:paraId="3C522A40">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31"/>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一档（0分</w:t>
      </w:r>
      <w:r>
        <w:rPr>
          <w:rFonts w:hint="eastAsia" w:ascii="宋体" w:hAnsi="宋体" w:eastAsia="宋体" w:cs="宋体"/>
          <w:spacing w:val="19"/>
          <w:sz w:val="21"/>
          <w:szCs w:val="21"/>
          <w:lang w:eastAsia="zh-CN"/>
        </w:rPr>
        <w:t>）：</w:t>
      </w:r>
      <w:r>
        <w:rPr>
          <w:rFonts w:hint="eastAsia" w:ascii="宋体" w:hAnsi="宋体" w:eastAsia="宋体" w:cs="宋体"/>
          <w:spacing w:val="7"/>
          <w:sz w:val="21"/>
          <w:szCs w:val="21"/>
          <w:lang w:eastAsia="zh-CN"/>
        </w:rPr>
        <w:t>投标人未提供的服务方案或方案与项目不符的；</w:t>
      </w:r>
    </w:p>
    <w:p w14:paraId="372BB14B">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二档（</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分</w:t>
      </w:r>
      <w:r>
        <w:rPr>
          <w:rFonts w:hint="eastAsia" w:ascii="宋体" w:hAnsi="宋体" w:eastAsia="宋体" w:cs="宋体"/>
          <w:spacing w:val="23"/>
          <w:sz w:val="21"/>
          <w:szCs w:val="21"/>
          <w:lang w:eastAsia="zh-CN"/>
        </w:rPr>
        <w:t>）</w:t>
      </w:r>
      <w:r>
        <w:rPr>
          <w:rFonts w:hint="eastAsia" w:ascii="宋体" w:hAnsi="宋体" w:eastAsia="宋体" w:cs="宋体"/>
          <w:spacing w:val="8"/>
          <w:sz w:val="21"/>
          <w:szCs w:val="21"/>
          <w:lang w:eastAsia="zh-CN"/>
        </w:rPr>
        <w:t>：供应商提供服务方案，方案中对到达故障现场时间、故障出现解决方案、定期维护（注明时间）、技术培训、应急保障方案等方面的描述不全且较简单，方案可行。</w:t>
      </w:r>
    </w:p>
    <w:p w14:paraId="223D4E22">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分）：供应商提供服务方案，方案中对到达故障现场时间、故障出现解决方案、定期维护（注明时间）、技术培训、应急保障方案等方面的描述全，且方案可行。（注：满足</w:t>
      </w:r>
      <w:r>
        <w:rPr>
          <w:rFonts w:hint="eastAsia" w:ascii="宋体" w:hAnsi="宋体" w:eastAsia="宋体" w:cs="宋体"/>
          <w:spacing w:val="8"/>
          <w:sz w:val="21"/>
          <w:szCs w:val="21"/>
          <w:lang w:val="en-US" w:eastAsia="zh-CN"/>
        </w:rPr>
        <w:t>二</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挡）</w:t>
      </w:r>
    </w:p>
    <w:p w14:paraId="24EB378F">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8</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分）：供应商提供服务方案，方案中对到达故障现场时间、故障出现解决方案、定期维护（注明时间）、技术培训、应急保障方案等方面的描述详尽，且方案可行，服务方案的内容优于采购需要。（注：满足</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挡）</w:t>
      </w:r>
    </w:p>
    <w:p w14:paraId="6EBF2E2E">
      <w:pPr>
        <w:keepNext w:val="0"/>
        <w:keepLines w:val="0"/>
        <w:pageBreakBefore w:val="0"/>
        <w:widowControl/>
        <w:kinsoku w:val="0"/>
        <w:wordWrap/>
        <w:overflowPunct/>
        <w:topLinePunct w:val="0"/>
        <w:autoSpaceDE w:val="0"/>
        <w:autoSpaceDN w:val="0"/>
        <w:bidi w:val="0"/>
        <w:adjustRightInd w:val="0"/>
        <w:snapToGrid w:val="0"/>
        <w:spacing w:before="32" w:line="300" w:lineRule="auto"/>
        <w:ind w:firstLine="450" w:firstLineChars="20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7"/>
          <w:sz w:val="21"/>
          <w:szCs w:val="21"/>
          <w:lang w:eastAsia="zh-CN"/>
        </w:rPr>
        <w:t>3</w:t>
      </w:r>
      <w:r>
        <w:rPr>
          <w:rFonts w:hint="eastAsia" w:ascii="宋体" w:hAnsi="宋体" w:cs="宋体"/>
          <w:b/>
          <w:bCs/>
          <w:spacing w:val="7"/>
          <w:sz w:val="21"/>
          <w:szCs w:val="21"/>
          <w:lang w:eastAsia="zh-CN"/>
        </w:rPr>
        <w:t>.</w:t>
      </w:r>
      <w:r>
        <w:rPr>
          <w:rFonts w:hint="eastAsia" w:ascii="宋体" w:hAnsi="宋体" w:eastAsia="宋体" w:cs="宋体"/>
          <w:b/>
          <w:bCs/>
          <w:spacing w:val="7"/>
          <w:sz w:val="21"/>
          <w:szCs w:val="21"/>
          <w:lang w:eastAsia="zh-CN"/>
        </w:rPr>
        <w:t>履约能力分………………………………………………………………………满分</w:t>
      </w:r>
      <w:r>
        <w:rPr>
          <w:rFonts w:hint="eastAsia" w:ascii="宋体" w:hAnsi="宋体" w:eastAsia="宋体" w:cs="宋体"/>
          <w:b/>
          <w:bCs/>
          <w:spacing w:val="-12"/>
          <w:sz w:val="21"/>
          <w:szCs w:val="21"/>
          <w:lang w:val="en-US" w:eastAsia="zh-CN"/>
        </w:rPr>
        <w:t>22</w:t>
      </w:r>
      <w:r>
        <w:rPr>
          <w:rFonts w:hint="eastAsia" w:ascii="宋体" w:hAnsi="宋体" w:eastAsia="宋体" w:cs="宋体"/>
          <w:b/>
          <w:bCs/>
          <w:spacing w:val="-36"/>
          <w:sz w:val="21"/>
          <w:szCs w:val="21"/>
          <w:lang w:eastAsia="zh-CN"/>
        </w:rPr>
        <w:t xml:space="preserve"> </w:t>
      </w:r>
      <w:r>
        <w:rPr>
          <w:rFonts w:hint="eastAsia" w:ascii="宋体" w:hAnsi="宋体" w:eastAsia="宋体" w:cs="宋体"/>
          <w:b/>
          <w:bCs/>
          <w:spacing w:val="7"/>
          <w:sz w:val="21"/>
          <w:szCs w:val="21"/>
          <w:lang w:eastAsia="zh-CN"/>
        </w:rPr>
        <w:t>分</w:t>
      </w:r>
    </w:p>
    <w:p w14:paraId="375B949F">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（1）供应商或供应商上级单位（直接管理关系或法人关系）获得商品售后服务评价体系证书且认证范围涵盖通信服务或网络数据信息传输的，三星认证得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分，四星认证得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分，五星认证得</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分。提供有效认证证书复印件并加盖供应商公章（或电子签章）。</w:t>
      </w:r>
    </w:p>
    <w:p w14:paraId="4F615F9E">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2）供应商或供应商上级单位（直接管理关系或法人关系）具有ISO9001质量体系认证、ISO14001环境管理体系认证、ISO45001职业健康安全管理体系认证，证书通过认证的范围涵盖通信服务或网络数据信息传输的，每提供有1个证书复印件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分。提供相关有效认证证书复印件并加盖供应商公章（或电子签章）。</w:t>
      </w:r>
    </w:p>
    <w:p w14:paraId="659E11A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（3）供应商或供应商上级单位（直接管理关系或法人关系）具有云网类业务支撑系统软件著作权登记证书复印件并加盖供应商公章（或电子签章）的得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7C182B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（4）供应商或供应商上级单位（直接管理关系或法人关系）具有智能运维管理类软件著作权登记证书复印件并加盖供应商公章（或电子签章）的得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463792F2">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（5）投标人或上级单位具有风险管理体系评价证书IS0 31000:2018、服务质量评价认证证书GB/T 36733-2018、顾客满意度测评认证证书GB/T 19039-2009，每个得</w:t>
      </w: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12</w:t>
      </w:r>
      <w:r>
        <w:rPr>
          <w:rFonts w:hint="eastAsia" w:ascii="宋体" w:hAnsi="宋体" w:eastAsia="宋体" w:cs="宋体"/>
          <w:spacing w:val="9"/>
          <w:sz w:val="21"/>
          <w:szCs w:val="21"/>
          <w:lang w:eastAsia="zh-CN"/>
        </w:rPr>
        <w:t>分。</w:t>
      </w:r>
    </w:p>
    <w:p w14:paraId="5D0D1ADD">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b/>
          <w:bCs/>
          <w:spacing w:val="7"/>
          <w:sz w:val="21"/>
          <w:szCs w:val="21"/>
          <w:highlight w:val="none"/>
          <w:lang w:eastAsia="zh-CN"/>
        </w:rPr>
      </w:pPr>
      <w:r>
        <w:rPr>
          <w:rFonts w:hint="eastAsia" w:ascii="宋体" w:hAnsi="宋体" w:eastAsia="宋体" w:cs="宋体"/>
          <w:b/>
          <w:bCs/>
          <w:spacing w:val="9"/>
          <w:sz w:val="21"/>
          <w:szCs w:val="21"/>
          <w:highlight w:val="none"/>
          <w:lang w:eastAsia="zh-CN"/>
        </w:rPr>
        <w:t>4</w:t>
      </w:r>
      <w:r>
        <w:rPr>
          <w:rFonts w:hint="eastAsia" w:ascii="宋体" w:hAnsi="宋体" w:cs="宋体"/>
          <w:b/>
          <w:bCs/>
          <w:spacing w:val="9"/>
          <w:sz w:val="21"/>
          <w:szCs w:val="21"/>
          <w:highlight w:val="none"/>
          <w:lang w:val="en-US" w:eastAsia="zh-CN"/>
        </w:rPr>
        <w:t>.</w:t>
      </w:r>
      <w:r>
        <w:rPr>
          <w:rFonts w:hint="eastAsia" w:ascii="宋体" w:hAnsi="宋体" w:eastAsia="宋体" w:cs="宋体"/>
          <w:b/>
          <w:bCs/>
          <w:spacing w:val="9"/>
          <w:sz w:val="21"/>
          <w:szCs w:val="21"/>
          <w:highlight w:val="none"/>
          <w:lang w:eastAsia="zh-CN"/>
        </w:rPr>
        <w:t>业绩分</w:t>
      </w:r>
      <w:r>
        <w:rPr>
          <w:rFonts w:hint="eastAsia" w:ascii="宋体" w:hAnsi="宋体" w:eastAsia="宋体" w:cs="宋体"/>
          <w:b/>
          <w:bCs/>
          <w:spacing w:val="7"/>
          <w:sz w:val="21"/>
          <w:szCs w:val="21"/>
          <w:highlight w:val="none"/>
          <w:lang w:eastAsia="zh-CN"/>
        </w:rPr>
        <w:t>…………………………………………………………………………满分</w:t>
      </w:r>
      <w:r>
        <w:rPr>
          <w:rFonts w:hint="eastAsia" w:ascii="宋体" w:hAnsi="宋体" w:cs="宋体"/>
          <w:b/>
          <w:bCs/>
          <w:spacing w:val="-12"/>
          <w:sz w:val="21"/>
          <w:szCs w:val="21"/>
          <w:highlight w:val="none"/>
          <w:lang w:val="en-US" w:eastAsia="zh-CN"/>
        </w:rPr>
        <w:t>2</w:t>
      </w:r>
      <w:r>
        <w:rPr>
          <w:rFonts w:hint="eastAsia" w:ascii="宋体" w:hAnsi="宋体" w:eastAsia="宋体" w:cs="宋体"/>
          <w:b/>
          <w:bCs/>
          <w:spacing w:val="7"/>
          <w:sz w:val="21"/>
          <w:szCs w:val="21"/>
          <w:highlight w:val="none"/>
          <w:lang w:eastAsia="zh-CN"/>
        </w:rPr>
        <w:t>分</w:t>
      </w:r>
    </w:p>
    <w:p w14:paraId="5ACC7F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z w:val="21"/>
          <w:szCs w:val="21"/>
          <w:highlight w:val="none"/>
          <w:lang w:eastAsia="zh-CN"/>
        </w:rPr>
        <w:t>供应商（或所属上级公司）自2022年以来具有完成同类服务业绩的（于响应文件中提供的中标/成交通知书或签订的项目合同为准；能清晰反映中标/成交内容或合同标的，同一个编号的项目有两个或两个以上的分标中标/成交的只算一次），每个业绩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分，最多得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spacing w:val="7"/>
          <w:sz w:val="21"/>
          <w:szCs w:val="21"/>
          <w:highlight w:val="none"/>
          <w:lang w:eastAsia="zh-CN"/>
        </w:rPr>
        <w:t>。</w:t>
      </w:r>
    </w:p>
    <w:p w14:paraId="72321B36">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27"/>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4"/>
          <w:sz w:val="21"/>
          <w:szCs w:val="21"/>
          <w:highlight w:val="none"/>
          <w:lang w:eastAsia="zh-CN"/>
        </w:rPr>
        <w:t>5</w:t>
      </w:r>
      <w:r>
        <w:rPr>
          <w:rFonts w:hint="eastAsia" w:ascii="宋体" w:hAnsi="宋体" w:cs="宋体"/>
          <w:b/>
          <w:bCs/>
          <w:spacing w:val="4"/>
          <w:sz w:val="21"/>
          <w:szCs w:val="21"/>
          <w:highlight w:val="none"/>
          <w:lang w:val="en-US" w:eastAsia="zh-CN"/>
        </w:rPr>
        <w:t>.</w:t>
      </w:r>
      <w:r>
        <w:rPr>
          <w:rFonts w:hint="eastAsia" w:ascii="宋体" w:hAnsi="宋体" w:eastAsia="宋体" w:cs="宋体"/>
          <w:b/>
          <w:bCs/>
          <w:spacing w:val="4"/>
          <w:sz w:val="21"/>
          <w:szCs w:val="21"/>
          <w:highlight w:val="none"/>
          <w:lang w:eastAsia="zh-CN"/>
        </w:rPr>
        <w:t>总得分=1+2+3+4</w:t>
      </w:r>
    </w:p>
    <w:p w14:paraId="074AE77F">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6</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推荐及确定中标候选供应商原则</w:t>
      </w:r>
    </w:p>
    <w:p w14:paraId="5F9FB6CC">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2"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（1）评标委员会将根据得分由高到低排列次</w:t>
      </w:r>
      <w:r>
        <w:rPr>
          <w:rFonts w:hint="eastAsia" w:ascii="宋体" w:hAnsi="宋体" w:eastAsia="宋体" w:cs="宋体"/>
          <w:spacing w:val="8"/>
          <w:sz w:val="21"/>
          <w:szCs w:val="21"/>
          <w:lang w:eastAsia="zh-CN"/>
        </w:rPr>
        <w:t>序（得分相同时，</w:t>
      </w:r>
      <w:r>
        <w:rPr>
          <w:rFonts w:hint="eastAsia" w:ascii="宋体" w:hAnsi="宋体" w:eastAsia="宋体" w:cs="宋体"/>
          <w:spacing w:val="-60"/>
          <w:sz w:val="21"/>
          <w:szCs w:val="21"/>
          <w:lang w:eastAsia="zh-CN"/>
        </w:rPr>
        <w:t xml:space="preserve"> </w:t>
      </w:r>
      <w:r>
        <w:rPr>
          <w:rFonts w:hint="eastAsia" w:ascii="宋体" w:hAnsi="宋体" w:eastAsia="宋体" w:cs="宋体"/>
          <w:spacing w:val="8"/>
          <w:sz w:val="21"/>
          <w:szCs w:val="21"/>
          <w:lang w:eastAsia="zh-CN"/>
        </w:rPr>
        <w:t>以投标报价由低到高顺序排列；得分相同且投标报价相同的，则依次按项目技术分、履约</w:t>
      </w:r>
      <w:r>
        <w:rPr>
          <w:rFonts w:hint="eastAsia" w:ascii="宋体" w:hAnsi="宋体" w:eastAsia="宋体" w:cs="宋体"/>
          <w:spacing w:val="7"/>
          <w:sz w:val="21"/>
          <w:szCs w:val="21"/>
          <w:lang w:eastAsia="zh-CN"/>
        </w:rPr>
        <w:t>能力分得分由高到低的顺序排列）并推荐前三名为中</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标候选人。采购单位应当确定评标委员会推荐排名第一的</w:t>
      </w:r>
      <w:r>
        <w:rPr>
          <w:rFonts w:hint="eastAsia" w:ascii="宋体" w:hAnsi="宋体" w:eastAsia="宋体" w:cs="宋体"/>
          <w:spacing w:val="7"/>
          <w:sz w:val="21"/>
          <w:szCs w:val="21"/>
          <w:lang w:eastAsia="zh-CN"/>
        </w:rPr>
        <w:t>中标候选人为中标人。排名第一的中标候选人放</w:t>
      </w:r>
      <w:r>
        <w:rPr>
          <w:rFonts w:hint="eastAsia" w:ascii="宋体" w:hAnsi="宋体" w:eastAsia="宋体" w:cs="宋体"/>
          <w:spacing w:val="8"/>
          <w:sz w:val="21"/>
          <w:szCs w:val="21"/>
          <w:lang w:eastAsia="zh-CN"/>
        </w:rPr>
        <w:t>弃中标、因不可抗力提出不能履行合同，或信用信息记录</w:t>
      </w:r>
      <w:r>
        <w:rPr>
          <w:rFonts w:hint="eastAsia" w:ascii="宋体" w:hAnsi="宋体" w:eastAsia="宋体" w:cs="宋体"/>
          <w:spacing w:val="7"/>
          <w:sz w:val="21"/>
          <w:szCs w:val="21"/>
          <w:lang w:eastAsia="zh-CN"/>
        </w:rPr>
        <w:t>不符合相关规定的，或者招标文件规定应当提交</w:t>
      </w:r>
      <w:r>
        <w:rPr>
          <w:rFonts w:hint="eastAsia" w:ascii="宋体" w:hAnsi="宋体" w:eastAsia="宋体" w:cs="宋体"/>
          <w:spacing w:val="8"/>
          <w:sz w:val="21"/>
          <w:szCs w:val="21"/>
          <w:lang w:eastAsia="zh-CN"/>
        </w:rPr>
        <w:t>履约保证金而在规定的期限内未能提交的，招标采购单位</w:t>
      </w:r>
      <w:r>
        <w:rPr>
          <w:rFonts w:hint="eastAsia" w:ascii="宋体" w:hAnsi="宋体" w:eastAsia="宋体" w:cs="宋体"/>
          <w:spacing w:val="7"/>
          <w:sz w:val="21"/>
          <w:szCs w:val="21"/>
          <w:lang w:eastAsia="zh-CN"/>
        </w:rPr>
        <w:t>可以确定排名第二的中标候选人为中标人或重新</w:t>
      </w:r>
      <w:r>
        <w:rPr>
          <w:rFonts w:hint="eastAsia" w:ascii="宋体" w:hAnsi="宋体" w:eastAsia="宋体" w:cs="宋体"/>
          <w:spacing w:val="8"/>
          <w:sz w:val="21"/>
          <w:szCs w:val="21"/>
          <w:lang w:eastAsia="zh-CN"/>
        </w:rPr>
        <w:t>组织采购。排名第二的中标候选人因前款规定的同样原因</w:t>
      </w:r>
      <w:r>
        <w:rPr>
          <w:rFonts w:hint="eastAsia" w:ascii="宋体" w:hAnsi="宋体" w:eastAsia="宋体" w:cs="宋体"/>
          <w:spacing w:val="7"/>
          <w:sz w:val="21"/>
          <w:szCs w:val="21"/>
          <w:lang w:eastAsia="zh-CN"/>
        </w:rPr>
        <w:t>不能签订合同的，招标采购单位可以确定排名第</w:t>
      </w:r>
      <w:r>
        <w:rPr>
          <w:rFonts w:hint="eastAsia" w:ascii="宋体" w:hAnsi="宋体" w:eastAsia="宋体" w:cs="宋体"/>
          <w:spacing w:val="8"/>
          <w:sz w:val="21"/>
          <w:szCs w:val="21"/>
          <w:lang w:eastAsia="zh-CN"/>
        </w:rPr>
        <w:t>三的中标候选人为中标人或重新组织采购。</w:t>
      </w:r>
    </w:p>
    <w:p w14:paraId="0D348AC7">
      <w:pPr>
        <w:keepNext w:val="0"/>
        <w:keepLines w:val="0"/>
        <w:pageBreakBefore w:val="0"/>
        <w:widowControl/>
        <w:kinsoku w:val="0"/>
        <w:wordWrap/>
        <w:overflowPunct/>
        <w:topLinePunct w:val="0"/>
        <w:autoSpaceDE w:val="0"/>
        <w:autoSpaceDN w:val="0"/>
        <w:bidi w:val="0"/>
        <w:adjustRightInd w:val="0"/>
        <w:snapToGrid w:val="0"/>
        <w:spacing w:line="300" w:lineRule="auto"/>
        <w:ind w:firstLine="450" w:firstLineChars="200"/>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（2）评标委员会认为投标人的报价明显低于其他通过符合性审查投标人的报价，有可能影响产品质</w:t>
      </w:r>
      <w:r>
        <w:rPr>
          <w:rFonts w:hint="eastAsia" w:ascii="宋体" w:hAnsi="宋体" w:eastAsia="宋体" w:cs="宋体"/>
          <w:b/>
          <w:bCs/>
          <w:spacing w:val="10"/>
          <w:sz w:val="21"/>
          <w:szCs w:val="21"/>
          <w:lang w:eastAsia="zh-CN"/>
        </w:rPr>
        <w:t>量或者不能诚信履约的，其应当在评标现场合理的时间内提供书面说明，必要时提交相关证明材料；投</w:t>
      </w:r>
      <w:r>
        <w:rPr>
          <w:rFonts w:hint="eastAsia" w:ascii="宋体" w:hAnsi="宋体" w:eastAsia="宋体" w:cs="宋体"/>
          <w:b/>
          <w:bCs/>
          <w:spacing w:val="8"/>
          <w:sz w:val="21"/>
          <w:szCs w:val="21"/>
          <w:lang w:eastAsia="zh-CN"/>
        </w:rPr>
        <w:t>标人不能证明其报价合理性的，评标委员会将其作为无效投标处理。</w:t>
      </w:r>
    </w:p>
    <w:p w14:paraId="65E8CE58">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pPr>
    </w:p>
    <w:p w14:paraId="6985F865">
      <w:pPr>
        <w:pStyle w:val="2"/>
        <w:spacing w:line="400" w:lineRule="exact"/>
        <w:jc w:val="both"/>
        <w:rPr>
          <w:rFonts w:hint="eastAsia"/>
          <w:sz w:val="30"/>
          <w:szCs w:val="30"/>
        </w:rPr>
      </w:pPr>
    </w:p>
    <w:p w14:paraId="3126C9B8">
      <w:pPr>
        <w:pStyle w:val="2"/>
        <w:spacing w:line="400" w:lineRule="exact"/>
        <w:jc w:val="center"/>
        <w:rPr>
          <w:rFonts w:hint="eastAsia"/>
          <w:sz w:val="30"/>
          <w:szCs w:val="30"/>
        </w:rPr>
      </w:pPr>
    </w:p>
    <w:p w14:paraId="19745E86">
      <w:pPr>
        <w:pStyle w:val="2"/>
        <w:spacing w:line="400" w:lineRule="exact"/>
        <w:jc w:val="center"/>
        <w:rPr>
          <w:rFonts w:hint="eastAsia"/>
          <w:sz w:val="30"/>
          <w:szCs w:val="30"/>
        </w:rPr>
      </w:pPr>
    </w:p>
    <w:p w14:paraId="6A6EBEBD">
      <w:pPr>
        <w:pStyle w:val="2"/>
        <w:spacing w:line="400" w:lineRule="exact"/>
        <w:jc w:val="center"/>
        <w:rPr>
          <w:rFonts w:hint="eastAsia"/>
          <w:sz w:val="30"/>
          <w:szCs w:val="30"/>
        </w:rPr>
      </w:pPr>
    </w:p>
    <w:p w14:paraId="0CCFE311">
      <w:pPr>
        <w:rPr>
          <w:rFonts w:hint="eastAsia"/>
          <w:sz w:val="30"/>
          <w:szCs w:val="30"/>
        </w:rPr>
      </w:pPr>
    </w:p>
    <w:p w14:paraId="429C66F8">
      <w:pPr>
        <w:pStyle w:val="2"/>
        <w:spacing w:line="400" w:lineRule="exact"/>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1"/>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1"/>
        <w:spacing w:line="400" w:lineRule="exact"/>
        <w:ind w:firstLine="420"/>
        <w:rPr>
          <w:rFonts w:hAnsi="宋体"/>
          <w:sz w:val="24"/>
          <w:szCs w:val="24"/>
        </w:rPr>
      </w:pPr>
      <w:r>
        <w:rPr>
          <w:rFonts w:hint="eastAsia" w:hAnsi="宋体"/>
          <w:sz w:val="24"/>
          <w:szCs w:val="24"/>
        </w:rPr>
        <w:t>据此函，签字代表宣布同意如下：</w:t>
      </w:r>
    </w:p>
    <w:p w14:paraId="037CDB03">
      <w:pPr>
        <w:widowControl/>
        <w:numPr>
          <w:ilvl w:val="0"/>
          <w:numId w:val="2"/>
        </w:numPr>
        <w:spacing w:line="400" w:lineRule="exact"/>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一、报价表（单位：人民币  元）</w:t>
      </w:r>
    </w:p>
    <w:tbl>
      <w:tblPr>
        <w:tblStyle w:val="18"/>
        <w:tblW w:w="10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3915"/>
        <w:gridCol w:w="1029"/>
        <w:gridCol w:w="1051"/>
        <w:gridCol w:w="1467"/>
        <w:gridCol w:w="1551"/>
        <w:gridCol w:w="812"/>
      </w:tblGrid>
      <w:tr w14:paraId="023A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5A2D9A3">
            <w:pPr>
              <w:spacing w:line="440" w:lineRule="exact"/>
              <w:jc w:val="center"/>
              <w:rPr>
                <w:rFonts w:ascii="宋体" w:hAnsi="宋体"/>
              </w:rPr>
            </w:pPr>
            <w:r>
              <w:rPr>
                <w:rFonts w:hint="eastAsia" w:ascii="宋体" w:hAnsi="宋体"/>
              </w:rPr>
              <w:t>项号</w:t>
            </w:r>
          </w:p>
        </w:tc>
        <w:tc>
          <w:tcPr>
            <w:tcW w:w="3915" w:type="dxa"/>
            <w:tcBorders>
              <w:top w:val="single" w:color="auto" w:sz="4" w:space="0"/>
              <w:left w:val="single" w:color="auto" w:sz="4" w:space="0"/>
              <w:bottom w:val="single" w:color="auto" w:sz="4" w:space="0"/>
              <w:right w:val="single" w:color="auto" w:sz="4" w:space="0"/>
            </w:tcBorders>
            <w:vAlign w:val="center"/>
          </w:tcPr>
          <w:p w14:paraId="24862D8B">
            <w:pPr>
              <w:spacing w:line="440" w:lineRule="exact"/>
              <w:jc w:val="center"/>
              <w:rPr>
                <w:rFonts w:hint="eastAsia" w:ascii="宋体" w:hAnsi="宋体" w:eastAsia="宋体"/>
                <w:lang w:eastAsia="zh-CN"/>
              </w:rPr>
            </w:pPr>
            <w:r>
              <w:rPr>
                <w:rFonts w:hint="eastAsia" w:ascii="宋体" w:hAnsi="宋体"/>
              </w:rPr>
              <w:t>项目</w:t>
            </w:r>
            <w:r>
              <w:rPr>
                <w:rFonts w:hint="eastAsia" w:ascii="宋体" w:hAnsi="宋体"/>
                <w:lang w:val="en-US" w:eastAsia="zh-CN"/>
              </w:rPr>
              <w:t>内容</w:t>
            </w:r>
          </w:p>
        </w:tc>
        <w:tc>
          <w:tcPr>
            <w:tcW w:w="1029" w:type="dxa"/>
            <w:tcBorders>
              <w:top w:val="single" w:color="auto" w:sz="4" w:space="0"/>
              <w:left w:val="single" w:color="auto" w:sz="4" w:space="0"/>
              <w:bottom w:val="single" w:color="auto" w:sz="4" w:space="0"/>
              <w:right w:val="single" w:color="auto" w:sz="4" w:space="0"/>
            </w:tcBorders>
            <w:vAlign w:val="center"/>
          </w:tcPr>
          <w:p w14:paraId="5BA05DEE">
            <w:pPr>
              <w:spacing w:line="440" w:lineRule="exact"/>
              <w:jc w:val="center"/>
              <w:rPr>
                <w:rFonts w:ascii="宋体" w:hAnsi="宋体"/>
              </w:rPr>
            </w:pPr>
            <w:r>
              <w:rPr>
                <w:rFonts w:hint="eastAsia" w:ascii="宋体" w:hAnsi="宋体"/>
              </w:rPr>
              <w:t>数量</w:t>
            </w:r>
          </w:p>
        </w:tc>
        <w:tc>
          <w:tcPr>
            <w:tcW w:w="1051" w:type="dxa"/>
            <w:tcBorders>
              <w:top w:val="single" w:color="auto" w:sz="4" w:space="0"/>
              <w:left w:val="single" w:color="auto" w:sz="4" w:space="0"/>
              <w:bottom w:val="single" w:color="auto" w:sz="4" w:space="0"/>
            </w:tcBorders>
            <w:vAlign w:val="center"/>
          </w:tcPr>
          <w:p w14:paraId="240FBDAE">
            <w:pPr>
              <w:spacing w:line="440" w:lineRule="exact"/>
              <w:jc w:val="center"/>
              <w:rPr>
                <w:rFonts w:hint="default" w:ascii="宋体" w:hAnsi="宋体"/>
                <w:lang w:val="en-US" w:eastAsia="zh-CN"/>
              </w:rPr>
            </w:pPr>
            <w:r>
              <w:rPr>
                <w:rFonts w:hint="eastAsia" w:ascii="宋体" w:hAnsi="宋体"/>
                <w:lang w:val="en-US" w:eastAsia="zh-CN"/>
              </w:rPr>
              <w:t>单位</w:t>
            </w:r>
          </w:p>
        </w:tc>
        <w:tc>
          <w:tcPr>
            <w:tcW w:w="1467" w:type="dxa"/>
            <w:tcBorders>
              <w:top w:val="single" w:color="auto" w:sz="4" w:space="0"/>
              <w:left w:val="single" w:color="auto" w:sz="4" w:space="0"/>
              <w:bottom w:val="single" w:color="auto" w:sz="4" w:space="0"/>
            </w:tcBorders>
            <w:vAlign w:val="center"/>
          </w:tcPr>
          <w:p w14:paraId="2D913216">
            <w:pPr>
              <w:spacing w:line="440" w:lineRule="exact"/>
              <w:jc w:val="center"/>
              <w:rPr>
                <w:rFonts w:hint="eastAsia" w:ascii="宋体" w:hAnsi="宋体" w:eastAsia="宋体"/>
                <w:lang w:val="en-US" w:eastAsia="zh-CN"/>
              </w:rPr>
            </w:pPr>
            <w:r>
              <w:rPr>
                <w:rFonts w:hint="eastAsia" w:ascii="宋体" w:hAnsi="宋体"/>
                <w:lang w:val="en-US" w:eastAsia="zh-CN"/>
              </w:rPr>
              <w:t>单价（元/月）</w:t>
            </w:r>
          </w:p>
        </w:tc>
        <w:tc>
          <w:tcPr>
            <w:tcW w:w="1551" w:type="dxa"/>
            <w:tcBorders>
              <w:top w:val="single" w:color="auto" w:sz="4" w:space="0"/>
              <w:left w:val="single" w:color="auto" w:sz="4" w:space="0"/>
              <w:bottom w:val="single" w:color="auto" w:sz="4" w:space="0"/>
            </w:tcBorders>
            <w:vAlign w:val="center"/>
          </w:tcPr>
          <w:p w14:paraId="5E18E249">
            <w:pPr>
              <w:spacing w:line="440" w:lineRule="exact"/>
              <w:jc w:val="center"/>
              <w:rPr>
                <w:rFonts w:hint="default" w:ascii="宋体" w:hAnsi="宋体" w:eastAsia="宋体"/>
                <w:lang w:val="en-US" w:eastAsia="zh-CN"/>
              </w:rPr>
            </w:pPr>
            <w:r>
              <w:rPr>
                <w:rFonts w:hint="eastAsia" w:ascii="宋体" w:hAnsi="宋体"/>
                <w:lang w:val="en-US" w:eastAsia="zh-CN"/>
              </w:rPr>
              <w:t>合计（元/年）</w:t>
            </w:r>
          </w:p>
        </w:tc>
        <w:tc>
          <w:tcPr>
            <w:tcW w:w="812" w:type="dxa"/>
            <w:tcBorders>
              <w:top w:val="single" w:color="auto" w:sz="4" w:space="0"/>
              <w:left w:val="single" w:color="auto" w:sz="4" w:space="0"/>
              <w:bottom w:val="single" w:color="auto" w:sz="4" w:space="0"/>
            </w:tcBorders>
            <w:vAlign w:val="center"/>
          </w:tcPr>
          <w:p w14:paraId="4ADEC52E">
            <w:pPr>
              <w:spacing w:line="440" w:lineRule="exact"/>
              <w:jc w:val="center"/>
              <w:rPr>
                <w:rFonts w:hint="default" w:ascii="宋体" w:hAnsi="宋体"/>
                <w:lang w:val="en-US" w:eastAsia="zh-CN"/>
              </w:rPr>
            </w:pPr>
            <w:r>
              <w:rPr>
                <w:rFonts w:hint="eastAsia" w:ascii="宋体" w:hAnsi="宋体"/>
                <w:lang w:val="en-US" w:eastAsia="zh-CN"/>
              </w:rPr>
              <w:t>备注</w:t>
            </w:r>
          </w:p>
        </w:tc>
      </w:tr>
      <w:tr w14:paraId="6252F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772F5A1">
            <w:pPr>
              <w:spacing w:line="440" w:lineRule="exact"/>
              <w:jc w:val="center"/>
              <w:rPr>
                <w:rFonts w:ascii="宋体" w:hAnsi="宋体" w:cs="宋体"/>
                <w:szCs w:val="21"/>
              </w:rPr>
            </w:pPr>
            <w:r>
              <w:rPr>
                <w:rFonts w:hint="eastAsia" w:ascii="宋体" w:hAnsi="宋体" w:cs="宋体"/>
                <w:szCs w:val="21"/>
              </w:rPr>
              <w:t>1</w:t>
            </w:r>
          </w:p>
        </w:tc>
        <w:tc>
          <w:tcPr>
            <w:tcW w:w="3915" w:type="dxa"/>
            <w:tcBorders>
              <w:top w:val="single" w:color="auto" w:sz="4" w:space="0"/>
              <w:left w:val="single" w:color="auto" w:sz="4" w:space="0"/>
              <w:bottom w:val="single" w:color="auto" w:sz="4" w:space="0"/>
              <w:right w:val="single" w:color="auto" w:sz="4" w:space="0"/>
            </w:tcBorders>
            <w:vAlign w:val="center"/>
          </w:tcPr>
          <w:p w14:paraId="55DA3129">
            <w:pPr>
              <w:spacing w:line="440" w:lineRule="exact"/>
              <w:jc w:val="center"/>
              <w:rPr>
                <w:rFonts w:ascii="宋体" w:hAnsi="宋体"/>
                <w:b w:val="0"/>
                <w:bCs w:val="0"/>
              </w:rPr>
            </w:pPr>
            <w:r>
              <w:rPr>
                <w:rFonts w:hint="eastAsia" w:ascii="宋体" w:hAnsi="宋体" w:cs="宋体"/>
                <w:b w:val="0"/>
                <w:bCs w:val="0"/>
                <w:color w:val="000000"/>
                <w:kern w:val="0"/>
                <w:sz w:val="24"/>
              </w:rPr>
              <w:t>固话服务</w:t>
            </w:r>
          </w:p>
        </w:tc>
        <w:tc>
          <w:tcPr>
            <w:tcW w:w="1029" w:type="dxa"/>
            <w:tcBorders>
              <w:top w:val="single" w:color="auto" w:sz="4" w:space="0"/>
              <w:left w:val="single" w:color="auto" w:sz="4" w:space="0"/>
              <w:bottom w:val="single" w:color="auto" w:sz="4" w:space="0"/>
              <w:right w:val="single" w:color="auto" w:sz="4" w:space="0"/>
            </w:tcBorders>
            <w:vAlign w:val="center"/>
          </w:tcPr>
          <w:p w14:paraId="78BBB74F">
            <w:pPr>
              <w:spacing w:line="440" w:lineRule="exact"/>
              <w:jc w:val="center"/>
              <w:rPr>
                <w:rFonts w:hint="eastAsia" w:ascii="宋体" w:hAnsi="宋体" w:eastAsia="宋体" w:cs="宋体"/>
                <w:b w:val="0"/>
                <w:bCs w:val="0"/>
                <w:szCs w:val="21"/>
                <w:lang w:val="en-US" w:eastAsia="zh-CN"/>
              </w:rPr>
            </w:pPr>
          </w:p>
        </w:tc>
        <w:tc>
          <w:tcPr>
            <w:tcW w:w="1051" w:type="dxa"/>
            <w:tcBorders>
              <w:top w:val="single" w:color="auto" w:sz="4" w:space="0"/>
              <w:left w:val="single" w:color="auto" w:sz="4" w:space="0"/>
              <w:bottom w:val="single" w:color="auto" w:sz="4" w:space="0"/>
            </w:tcBorders>
            <w:vAlign w:val="center"/>
          </w:tcPr>
          <w:p w14:paraId="06A776B4">
            <w:pPr>
              <w:spacing w:line="440" w:lineRule="exact"/>
              <w:jc w:val="center"/>
              <w:rPr>
                <w:rFonts w:hint="eastAsia" w:ascii="宋体" w:hAnsi="宋体" w:eastAsia="宋体"/>
                <w:b w:val="0"/>
                <w:bCs w:val="0"/>
                <w:lang w:val="en-US" w:eastAsia="zh-CN"/>
              </w:rPr>
            </w:pPr>
          </w:p>
        </w:tc>
        <w:tc>
          <w:tcPr>
            <w:tcW w:w="1467" w:type="dxa"/>
            <w:tcBorders>
              <w:top w:val="single" w:color="auto" w:sz="4" w:space="0"/>
              <w:left w:val="single" w:color="auto" w:sz="4" w:space="0"/>
              <w:bottom w:val="single" w:color="auto" w:sz="4" w:space="0"/>
            </w:tcBorders>
            <w:vAlign w:val="center"/>
          </w:tcPr>
          <w:p w14:paraId="003377A2">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701A0011">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447AAA33">
            <w:pPr>
              <w:spacing w:line="440" w:lineRule="exact"/>
              <w:jc w:val="center"/>
              <w:rPr>
                <w:rFonts w:ascii="宋体" w:hAnsi="宋体"/>
                <w:b/>
                <w:bCs/>
              </w:rPr>
            </w:pPr>
          </w:p>
        </w:tc>
      </w:tr>
      <w:tr w14:paraId="0DFD4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322E0C0">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915" w:type="dxa"/>
            <w:tcBorders>
              <w:top w:val="single" w:color="auto" w:sz="4" w:space="0"/>
              <w:left w:val="single" w:color="auto" w:sz="4" w:space="0"/>
              <w:bottom w:val="single" w:color="auto" w:sz="4" w:space="0"/>
              <w:right w:val="single" w:color="auto" w:sz="4" w:space="0"/>
            </w:tcBorders>
            <w:vAlign w:val="center"/>
          </w:tcPr>
          <w:p w14:paraId="6828AEE6">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1930DE6B">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3251670B">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3E404780">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659734DD">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2B0DB20F">
            <w:pPr>
              <w:spacing w:line="440" w:lineRule="exact"/>
              <w:jc w:val="center"/>
              <w:rPr>
                <w:rFonts w:ascii="宋体" w:hAnsi="宋体"/>
                <w:b/>
                <w:bCs/>
              </w:rPr>
            </w:pPr>
          </w:p>
        </w:tc>
      </w:tr>
      <w:tr w14:paraId="7B00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2A2C402">
            <w:pPr>
              <w:spacing w:line="440" w:lineRule="exact"/>
              <w:jc w:val="center"/>
              <w:rPr>
                <w:rFonts w:hint="eastAsia" w:ascii="宋体" w:hAnsi="宋体" w:eastAsia="宋体" w:cs="宋体"/>
                <w:szCs w:val="21"/>
                <w:lang w:eastAsia="zh-CN"/>
              </w:rPr>
            </w:pPr>
            <w:r>
              <w:rPr>
                <w:rFonts w:hint="eastAsia" w:ascii="微软雅黑" w:hAnsi="微软雅黑" w:eastAsia="微软雅黑" w:cs="微软雅黑"/>
                <w:szCs w:val="21"/>
                <w:lang w:eastAsia="zh-CN"/>
              </w:rPr>
              <w:t>……</w:t>
            </w:r>
          </w:p>
        </w:tc>
        <w:tc>
          <w:tcPr>
            <w:tcW w:w="3915" w:type="dxa"/>
            <w:tcBorders>
              <w:top w:val="single" w:color="auto" w:sz="4" w:space="0"/>
              <w:left w:val="single" w:color="auto" w:sz="4" w:space="0"/>
              <w:bottom w:val="single" w:color="auto" w:sz="4" w:space="0"/>
              <w:right w:val="single" w:color="auto" w:sz="4" w:space="0"/>
            </w:tcBorders>
            <w:vAlign w:val="center"/>
          </w:tcPr>
          <w:p w14:paraId="5B0A60BC">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5B6B9288">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5BCF6AB6">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55A2F355">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2377141A">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31BC85CA">
            <w:pPr>
              <w:spacing w:line="440" w:lineRule="exact"/>
              <w:jc w:val="center"/>
              <w:rPr>
                <w:rFonts w:ascii="宋体" w:hAnsi="宋体"/>
                <w:b/>
                <w:bCs/>
              </w:rPr>
            </w:pPr>
          </w:p>
        </w:tc>
      </w:tr>
      <w:tr w14:paraId="6B256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10504" w:type="dxa"/>
            <w:gridSpan w:val="7"/>
            <w:tcBorders>
              <w:top w:val="single" w:color="auto" w:sz="4" w:space="0"/>
              <w:left w:val="single" w:color="auto" w:sz="4" w:space="0"/>
              <w:bottom w:val="single" w:color="auto" w:sz="4" w:space="0"/>
            </w:tcBorders>
            <w:vAlign w:val="center"/>
          </w:tcPr>
          <w:p w14:paraId="7FE2245D">
            <w:pPr>
              <w:spacing w:line="440" w:lineRule="exact"/>
              <w:jc w:val="left"/>
              <w:rPr>
                <w:rFonts w:ascii="宋体" w:hAnsi="宋体"/>
                <w:b/>
                <w:bCs/>
              </w:rPr>
            </w:pPr>
            <w:r>
              <w:rPr>
                <w:rFonts w:hint="eastAsia" w:ascii="宋体" w:hAnsi="宋体" w:cs="宋体"/>
                <w:b/>
                <w:kern w:val="0"/>
                <w:szCs w:val="21"/>
                <w:lang w:bidi="ar"/>
              </w:rPr>
              <w:t>投标报价（即合计金额）：（大写）</w:t>
            </w:r>
            <w:r>
              <w:rPr>
                <w:rFonts w:hint="eastAsia" w:ascii="宋体" w:hAnsi="宋体" w:cs="宋体"/>
                <w:kern w:val="0"/>
                <w:szCs w:val="20"/>
                <w:u w:val="single"/>
                <w:lang w:bidi="ar"/>
              </w:rPr>
              <w:t xml:space="preserve">     </w:t>
            </w:r>
            <w:r>
              <w:rPr>
                <w:rFonts w:hint="eastAsia" w:ascii="宋体" w:hAnsi="宋体" w:cs="宋体"/>
                <w:kern w:val="0"/>
                <w:szCs w:val="20"/>
                <w:u w:val="single"/>
                <w:lang w:val="en-US" w:eastAsia="zh-CN" w:bidi="ar"/>
              </w:rPr>
              <w:t xml:space="preserve">         </w:t>
            </w:r>
            <w:r>
              <w:rPr>
                <w:rFonts w:hint="eastAsia" w:ascii="宋体" w:hAnsi="宋体" w:cs="宋体"/>
                <w:b/>
                <w:kern w:val="0"/>
                <w:szCs w:val="21"/>
                <w:lang w:bidi="ar"/>
              </w:rPr>
              <w:t>元人民币（¥</w:t>
            </w:r>
            <w:r>
              <w:rPr>
                <w:rFonts w:hint="eastAsia" w:ascii="宋体" w:hAnsi="宋体" w:cs="宋体"/>
                <w:kern w:val="0"/>
                <w:szCs w:val="20"/>
                <w:u w:val="single"/>
                <w:lang w:bidi="ar"/>
              </w:rPr>
              <w:t xml:space="preserve">     </w:t>
            </w:r>
            <w:r>
              <w:rPr>
                <w:rFonts w:hint="eastAsia" w:ascii="宋体" w:hAnsi="宋体" w:cs="宋体"/>
                <w:b/>
                <w:kern w:val="0"/>
                <w:szCs w:val="21"/>
                <w:lang w:bidi="ar"/>
              </w:rPr>
              <w:t>）</w:t>
            </w:r>
          </w:p>
        </w:tc>
      </w:tr>
      <w:tr w14:paraId="3698D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2" w:hRule="atLeast"/>
          <w:jc w:val="center"/>
        </w:trPr>
        <w:tc>
          <w:tcPr>
            <w:tcW w:w="10504" w:type="dxa"/>
            <w:gridSpan w:val="7"/>
            <w:tcBorders>
              <w:top w:val="single" w:color="auto" w:sz="4" w:space="0"/>
              <w:left w:val="single" w:color="auto" w:sz="4" w:space="0"/>
              <w:bottom w:val="single" w:color="auto" w:sz="4" w:space="0"/>
            </w:tcBorders>
            <w:vAlign w:val="center"/>
          </w:tcPr>
          <w:p w14:paraId="3047EF13">
            <w:pPr>
              <w:spacing w:line="440" w:lineRule="exact"/>
              <w:ind w:firstLine="480" w:firstLineChars="200"/>
              <w:jc w:val="left"/>
              <w:rPr>
                <w:rFonts w:ascii="宋体" w:hAnsi="宋体"/>
                <w:b/>
                <w:bCs/>
                <w:color w:val="auto"/>
              </w:rPr>
            </w:pPr>
            <w:r>
              <w:rPr>
                <w:rFonts w:hint="eastAsia" w:ascii="宋体" w:hAnsi="宋体" w:cs="宋体"/>
                <w:color w:val="auto"/>
                <w:kern w:val="0"/>
                <w:sz w:val="24"/>
              </w:rPr>
              <w:t>说明：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tc>
      </w:tr>
    </w:tbl>
    <w:p w14:paraId="5ECCE3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1.</w:t>
      </w:r>
      <w:r>
        <w:rPr>
          <w:rFonts w:ascii="宋体" w:hAnsi="宋体" w:cs="宋体"/>
          <w:color w:val="auto"/>
          <w:sz w:val="24"/>
        </w:rPr>
        <w:t>投标人必须就“</w:t>
      </w:r>
      <w:r>
        <w:rPr>
          <w:rFonts w:hint="eastAsia" w:ascii="宋体" w:hAnsi="宋体" w:cs="宋体"/>
          <w:color w:val="auto"/>
          <w:sz w:val="24"/>
        </w:rPr>
        <w:t>项目需求和说明</w:t>
      </w:r>
      <w:r>
        <w:rPr>
          <w:rFonts w:ascii="宋体" w:hAnsi="宋体" w:cs="宋体"/>
          <w:color w:val="auto"/>
          <w:sz w:val="24"/>
        </w:rPr>
        <w:t>”中的</w:t>
      </w:r>
      <w:r>
        <w:rPr>
          <w:rFonts w:hint="eastAsia" w:ascii="宋体" w:hAnsi="宋体" w:cs="宋体"/>
          <w:color w:val="auto"/>
          <w:sz w:val="24"/>
          <w:lang w:val="en-US" w:eastAsia="zh-CN"/>
        </w:rPr>
        <w:t>技术要求逐项报价，</w:t>
      </w:r>
      <w:r>
        <w:rPr>
          <w:rFonts w:ascii="宋体" w:hAnsi="宋体" w:cs="宋体"/>
          <w:color w:val="auto"/>
          <w:sz w:val="24"/>
        </w:rPr>
        <w:t>否则，其投标文件按无效处理。</w:t>
      </w:r>
    </w:p>
    <w:p w14:paraId="4587B7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2.</w:t>
      </w:r>
      <w:r>
        <w:rPr>
          <w:rFonts w:ascii="宋体" w:hAnsi="宋体" w:cs="宋体"/>
          <w:color w:val="auto"/>
          <w:sz w:val="24"/>
        </w:rPr>
        <w:t>投标人应根据所提供的</w:t>
      </w:r>
      <w:r>
        <w:rPr>
          <w:rFonts w:hint="eastAsia" w:ascii="宋体" w:hAnsi="宋体" w:cs="宋体"/>
          <w:color w:val="auto"/>
          <w:sz w:val="24"/>
        </w:rPr>
        <w:t>货物及</w:t>
      </w:r>
      <w:r>
        <w:rPr>
          <w:rFonts w:ascii="宋体" w:hAnsi="宋体" w:cs="宋体"/>
          <w:color w:val="auto"/>
          <w:sz w:val="24"/>
        </w:rPr>
        <w:t>服务如实填写报价表的各项内容。</w:t>
      </w:r>
    </w:p>
    <w:p w14:paraId="4811FA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Ansi="宋体"/>
          <w:color w:val="auto"/>
          <w:sz w:val="24"/>
        </w:rPr>
      </w:pPr>
      <w:r>
        <w:rPr>
          <w:rFonts w:ascii="宋体" w:hAnsi="宋体" w:cs="宋体"/>
          <w:color w:val="auto"/>
          <w:sz w:val="24"/>
        </w:rPr>
        <w:t>3.报价表须由法定代表人、负责人或相应的委托代理人签字或盖章</w:t>
      </w:r>
      <w:r>
        <w:rPr>
          <w:rFonts w:hint="eastAsia" w:ascii="宋体" w:hAnsi="宋体" w:cs="宋体"/>
          <w:color w:val="auto"/>
          <w:sz w:val="24"/>
        </w:rPr>
        <w:t>，</w:t>
      </w:r>
      <w:r>
        <w:rPr>
          <w:rFonts w:ascii="宋体" w:hAnsi="宋体" w:cs="宋体"/>
          <w:color w:val="auto"/>
          <w:sz w:val="24"/>
        </w:rPr>
        <w:t>并加盖投标人公章。当本表由多页构成时，需逐页加盖投标人公章。</w:t>
      </w:r>
    </w:p>
    <w:p w14:paraId="74B6AA2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4"/>
          <w:szCs w:val="24"/>
        </w:rPr>
      </w:pPr>
      <w:r>
        <w:rPr>
          <w:rFonts w:hint="eastAsia" w:hAnsi="宋体"/>
          <w:color w:val="auto"/>
          <w:sz w:val="24"/>
          <w:szCs w:val="24"/>
        </w:rPr>
        <w:t>二、我方承诺已具备</w:t>
      </w:r>
      <w:r>
        <w:rPr>
          <w:rFonts w:hint="eastAsia" w:hAnsi="宋体" w:cs="宋体"/>
          <w:color w:val="auto"/>
          <w:sz w:val="24"/>
          <w:szCs w:val="24"/>
        </w:rPr>
        <w:t>招标</w:t>
      </w:r>
      <w:r>
        <w:rPr>
          <w:rFonts w:hint="eastAsia" w:hAnsi="宋体"/>
          <w:color w:val="auto"/>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color w:val="auto"/>
          <w:sz w:val="24"/>
        </w:rPr>
        <w:t>三、</w:t>
      </w:r>
      <w:r>
        <w:rPr>
          <w:rFonts w:hint="eastAsia" w:ascii="宋体" w:hAnsi="宋体" w:cs="宋体"/>
          <w:color w:val="auto"/>
          <w:sz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1"/>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1"/>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4CDCF603">
      <w:pPr>
        <w:spacing w:line="400" w:lineRule="exact"/>
        <w:jc w:val="center"/>
        <w:rPr>
          <w:rFonts w:hint="eastAsia" w:ascii="宋体" w:hAnsi="宋体" w:cs="宋体"/>
          <w:b/>
          <w:sz w:val="30"/>
          <w:szCs w:val="30"/>
        </w:rPr>
      </w:pPr>
    </w:p>
    <w:p w14:paraId="2DE3BD99">
      <w:pPr>
        <w:spacing w:line="400" w:lineRule="exact"/>
        <w:jc w:val="center"/>
        <w:rPr>
          <w:rFonts w:hint="eastAsia" w:ascii="宋体" w:hAnsi="宋体" w:cs="宋体"/>
          <w:b/>
          <w:sz w:val="30"/>
          <w:szCs w:val="30"/>
        </w:rPr>
      </w:pPr>
    </w:p>
    <w:p w14:paraId="431B163B">
      <w:pPr>
        <w:spacing w:line="400" w:lineRule="exact"/>
        <w:jc w:val="center"/>
        <w:rPr>
          <w:rFonts w:hint="eastAsia" w:ascii="宋体" w:hAnsi="宋体" w:cs="宋体"/>
          <w:b/>
          <w:sz w:val="30"/>
          <w:szCs w:val="30"/>
        </w:rPr>
      </w:pPr>
    </w:p>
    <w:p w14:paraId="34471CDD">
      <w:pPr>
        <w:spacing w:line="400" w:lineRule="exact"/>
        <w:jc w:val="center"/>
        <w:rPr>
          <w:rFonts w:hint="eastAsia" w:ascii="宋体" w:hAnsi="宋体" w:cs="宋体"/>
          <w:b/>
          <w:sz w:val="30"/>
          <w:szCs w:val="30"/>
        </w:rPr>
      </w:pPr>
    </w:p>
    <w:p w14:paraId="3B178DAD">
      <w:pPr>
        <w:spacing w:line="400" w:lineRule="exact"/>
        <w:jc w:val="center"/>
        <w:rPr>
          <w:rFonts w:hint="eastAsia" w:ascii="宋体" w:hAnsi="宋体" w:cs="宋体"/>
          <w:b/>
          <w:sz w:val="30"/>
          <w:szCs w:val="30"/>
        </w:rPr>
      </w:pPr>
    </w:p>
    <w:p w14:paraId="465FC513">
      <w:pPr>
        <w:spacing w:line="400" w:lineRule="exact"/>
        <w:jc w:val="center"/>
        <w:rPr>
          <w:rFonts w:hint="eastAsia" w:ascii="宋体" w:hAnsi="宋体" w:cs="宋体"/>
          <w:b/>
          <w:sz w:val="30"/>
          <w:szCs w:val="30"/>
        </w:rPr>
      </w:pPr>
    </w:p>
    <w:p w14:paraId="7C57710D">
      <w:pPr>
        <w:spacing w:line="400" w:lineRule="exact"/>
        <w:jc w:val="center"/>
        <w:rPr>
          <w:rFonts w:hint="eastAsia" w:ascii="宋体" w:hAnsi="宋体" w:cs="宋体"/>
          <w:b/>
          <w:sz w:val="30"/>
          <w:szCs w:val="30"/>
        </w:rPr>
      </w:pPr>
    </w:p>
    <w:p w14:paraId="5DDF75AB">
      <w:pPr>
        <w:spacing w:line="400" w:lineRule="exact"/>
        <w:jc w:val="center"/>
        <w:rPr>
          <w:rFonts w:hint="eastAsia" w:ascii="宋体" w:hAnsi="宋体" w:cs="宋体"/>
          <w:b/>
          <w:sz w:val="30"/>
          <w:szCs w:val="30"/>
        </w:rPr>
      </w:pPr>
    </w:p>
    <w:p w14:paraId="213CD4F0">
      <w:pPr>
        <w:spacing w:line="400" w:lineRule="exact"/>
        <w:jc w:val="center"/>
        <w:rPr>
          <w:rFonts w:hint="eastAsia" w:ascii="宋体" w:hAnsi="宋体" w:cs="宋体"/>
          <w:b/>
          <w:sz w:val="30"/>
          <w:szCs w:val="30"/>
        </w:rPr>
      </w:pPr>
    </w:p>
    <w:p w14:paraId="18DEF93E">
      <w:pPr>
        <w:spacing w:line="400" w:lineRule="exact"/>
        <w:jc w:val="center"/>
        <w:rPr>
          <w:rFonts w:hint="eastAsia" w:ascii="宋体" w:hAnsi="宋体" w:cs="宋体"/>
          <w:b/>
          <w:sz w:val="30"/>
          <w:szCs w:val="30"/>
        </w:rPr>
      </w:pPr>
    </w:p>
    <w:p w14:paraId="67832916">
      <w:pPr>
        <w:spacing w:line="400" w:lineRule="exact"/>
        <w:jc w:val="center"/>
        <w:rPr>
          <w:rFonts w:hint="eastAsia" w:ascii="宋体" w:hAnsi="宋体" w:cs="宋体"/>
          <w:b/>
          <w:sz w:val="30"/>
          <w:szCs w:val="30"/>
        </w:rPr>
      </w:pPr>
    </w:p>
    <w:p w14:paraId="3B3404B2">
      <w:pPr>
        <w:spacing w:line="400" w:lineRule="exact"/>
        <w:jc w:val="center"/>
        <w:rPr>
          <w:rFonts w:hint="eastAsia" w:ascii="宋体" w:hAnsi="宋体" w:cs="宋体"/>
          <w:b/>
          <w:sz w:val="30"/>
          <w:szCs w:val="30"/>
        </w:rPr>
      </w:pPr>
    </w:p>
    <w:p w14:paraId="7C8DD3D7">
      <w:pPr>
        <w:spacing w:line="400" w:lineRule="exact"/>
        <w:jc w:val="center"/>
        <w:rPr>
          <w:rFonts w:hint="eastAsia" w:ascii="宋体" w:hAnsi="宋体" w:cs="宋体"/>
          <w:b/>
          <w:sz w:val="30"/>
          <w:szCs w:val="30"/>
        </w:rPr>
      </w:pPr>
    </w:p>
    <w:p w14:paraId="7FF80644">
      <w:pPr>
        <w:spacing w:line="400" w:lineRule="exact"/>
        <w:jc w:val="center"/>
        <w:rPr>
          <w:rFonts w:hint="eastAsia" w:ascii="宋体" w:hAnsi="宋体" w:cs="宋体"/>
          <w:b/>
          <w:sz w:val="30"/>
          <w:szCs w:val="30"/>
        </w:rPr>
      </w:pPr>
    </w:p>
    <w:p w14:paraId="0D7F4E07">
      <w:pPr>
        <w:spacing w:line="400" w:lineRule="exact"/>
        <w:jc w:val="center"/>
        <w:rPr>
          <w:rFonts w:hint="eastAsia" w:ascii="宋体" w:hAnsi="宋体" w:cs="宋体"/>
          <w:b/>
          <w:sz w:val="30"/>
          <w:szCs w:val="30"/>
        </w:rPr>
      </w:pPr>
    </w:p>
    <w:p w14:paraId="7D9C2F73">
      <w:pPr>
        <w:spacing w:line="400" w:lineRule="exact"/>
        <w:jc w:val="center"/>
        <w:rPr>
          <w:rFonts w:hint="eastAsia" w:ascii="宋体" w:hAnsi="宋体" w:cs="宋体"/>
          <w:b/>
          <w:sz w:val="30"/>
          <w:szCs w:val="30"/>
        </w:rPr>
      </w:pPr>
    </w:p>
    <w:p w14:paraId="506D4115">
      <w:pPr>
        <w:spacing w:line="400" w:lineRule="exact"/>
        <w:jc w:val="center"/>
        <w:rPr>
          <w:rFonts w:hint="eastAsia" w:ascii="宋体" w:hAnsi="宋体" w:cs="宋体"/>
          <w:b/>
          <w:sz w:val="30"/>
          <w:szCs w:val="30"/>
        </w:rPr>
      </w:pPr>
    </w:p>
    <w:p w14:paraId="30B023C7">
      <w:pPr>
        <w:spacing w:line="400" w:lineRule="exact"/>
        <w:jc w:val="center"/>
        <w:rPr>
          <w:rFonts w:hint="eastAsia" w:ascii="宋体" w:hAnsi="宋体" w:cs="宋体"/>
          <w:b/>
          <w:sz w:val="30"/>
          <w:szCs w:val="30"/>
        </w:rPr>
      </w:pPr>
    </w:p>
    <w:p w14:paraId="2C97BA05">
      <w:pPr>
        <w:spacing w:line="400" w:lineRule="exact"/>
        <w:jc w:val="center"/>
        <w:rPr>
          <w:rFonts w:hint="eastAsia" w:ascii="宋体" w:hAnsi="宋体" w:cs="宋体"/>
          <w:b/>
          <w:sz w:val="30"/>
          <w:szCs w:val="30"/>
        </w:rPr>
      </w:pPr>
    </w:p>
    <w:p w14:paraId="267794DD">
      <w:pPr>
        <w:spacing w:line="400" w:lineRule="exact"/>
        <w:jc w:val="center"/>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49146FC1">
      <w:pPr>
        <w:spacing w:line="400" w:lineRule="exact"/>
        <w:rPr>
          <w:rFonts w:hint="eastAsia" w:hAnsi="宋体" w:cs="宋体"/>
          <w:sz w:val="24"/>
          <w:u w:val="single"/>
        </w:rPr>
      </w:pPr>
    </w:p>
    <w:tbl>
      <w:tblPr>
        <w:tblStyle w:val="1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25"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spacing w:val="1"/>
                <w:sz w:val="24"/>
              </w:rPr>
            </w:pPr>
          </w:p>
        </w:tc>
        <w:tc>
          <w:tcPr>
            <w:tcW w:w="2532"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825"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532" w:type="dxa"/>
          </w:tcPr>
          <w:p w14:paraId="56ACDDE0">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25" w:type="dxa"/>
          </w:tcPr>
          <w:p w14:paraId="40C8BE54">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kern w:val="0"/>
                <w:sz w:val="24"/>
              </w:rPr>
            </w:pPr>
          </w:p>
        </w:tc>
        <w:tc>
          <w:tcPr>
            <w:tcW w:w="2532" w:type="dxa"/>
          </w:tcPr>
          <w:p w14:paraId="5DD2784A">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6E5DA677">
            <w:pPr>
              <w:pStyle w:val="26"/>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532" w:type="dxa"/>
          </w:tcPr>
          <w:p w14:paraId="6AFB7655">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4BF78700">
            <w:pPr>
              <w:pStyle w:val="26"/>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790"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292CE66F">
      <w:pPr>
        <w:spacing w:line="400" w:lineRule="exact"/>
        <w:rPr>
          <w:rFonts w:hint="eastAsia" w:hAnsi="宋体" w:cs="宋体"/>
          <w:sz w:val="24"/>
          <w:u w:val="single"/>
        </w:rPr>
      </w:pPr>
    </w:p>
    <w:tbl>
      <w:tblPr>
        <w:tblStyle w:val="1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85"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18D2C6E">
            <w:pPr>
              <w:spacing w:line="400" w:lineRule="exact"/>
              <w:rPr>
                <w:rFonts w:asciiTheme="minorEastAsia" w:hAnsiTheme="minorEastAsia" w:eastAsiaTheme="minorEastAsia" w:cstheme="minorEastAsia"/>
                <w:b/>
                <w:bCs/>
                <w:spacing w:val="1"/>
                <w:sz w:val="24"/>
              </w:rPr>
            </w:pPr>
          </w:p>
        </w:tc>
        <w:tc>
          <w:tcPr>
            <w:tcW w:w="2532"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885"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532" w:type="dxa"/>
          </w:tcPr>
          <w:p w14:paraId="3395D84A">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85" w:type="dxa"/>
          </w:tcPr>
          <w:p w14:paraId="044561EF">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6430E47B">
            <w:pPr>
              <w:spacing w:line="400" w:lineRule="exact"/>
              <w:jc w:val="left"/>
              <w:rPr>
                <w:rFonts w:asciiTheme="minorEastAsia" w:hAnsiTheme="minorEastAsia" w:eastAsiaTheme="minorEastAsia" w:cstheme="minorEastAsia"/>
                <w:kern w:val="0"/>
                <w:sz w:val="24"/>
              </w:rPr>
            </w:pPr>
          </w:p>
        </w:tc>
        <w:tc>
          <w:tcPr>
            <w:tcW w:w="2532" w:type="dxa"/>
          </w:tcPr>
          <w:p w14:paraId="19CF29D1">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17654006">
            <w:pPr>
              <w:pStyle w:val="26"/>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532" w:type="dxa"/>
          </w:tcPr>
          <w:p w14:paraId="58A539BA">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4F4439A1">
            <w:pPr>
              <w:pStyle w:val="26"/>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850"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3BB3503D">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4"/>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CF1D"/>
    <w:multiLevelType w:val="singleLevel"/>
    <w:tmpl w:val="FDFFCF1D"/>
    <w:lvl w:ilvl="0" w:tentative="0">
      <w:start w:val="8"/>
      <w:numFmt w:val="chineseCounting"/>
      <w:suff w:val="space"/>
      <w:lvlText w:val="第%1条"/>
      <w:lvlJc w:val="left"/>
      <w:rPr>
        <w:rFonts w:hint="eastAsia"/>
      </w:rPr>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76E42AD"/>
    <w:rsid w:val="0E0E5D0B"/>
    <w:rsid w:val="10B747E4"/>
    <w:rsid w:val="14337207"/>
    <w:rsid w:val="1C3A73D8"/>
    <w:rsid w:val="24712846"/>
    <w:rsid w:val="263B2C98"/>
    <w:rsid w:val="27AA16CB"/>
    <w:rsid w:val="2C242ED7"/>
    <w:rsid w:val="38E946AA"/>
    <w:rsid w:val="3BDF5F05"/>
    <w:rsid w:val="3DA2223B"/>
    <w:rsid w:val="3E841BEA"/>
    <w:rsid w:val="48D53E3D"/>
    <w:rsid w:val="4D756E58"/>
    <w:rsid w:val="4D77007F"/>
    <w:rsid w:val="52636C17"/>
    <w:rsid w:val="57657263"/>
    <w:rsid w:val="5AA862C2"/>
    <w:rsid w:val="5BB86E78"/>
    <w:rsid w:val="61F53F7B"/>
    <w:rsid w:val="63253C81"/>
    <w:rsid w:val="63636D7B"/>
    <w:rsid w:val="69B83B3A"/>
    <w:rsid w:val="6BE4292B"/>
    <w:rsid w:val="6D846E57"/>
    <w:rsid w:val="6F5536E8"/>
    <w:rsid w:val="7C22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7"/>
    <w:qFormat/>
    <w:uiPriority w:val="0"/>
    <w:pPr>
      <w:jc w:val="left"/>
    </w:pPr>
  </w:style>
  <w:style w:type="paragraph" w:styleId="6">
    <w:name w:val="Body Text"/>
    <w:basedOn w:val="1"/>
    <w:next w:val="7"/>
    <w:qFormat/>
    <w:uiPriority w:val="0"/>
    <w:pPr>
      <w:spacing w:after="120"/>
    </w:pPr>
  </w:style>
  <w:style w:type="paragraph" w:styleId="7">
    <w:name w:val="toc 2"/>
    <w:basedOn w:val="1"/>
    <w:next w:val="1"/>
    <w:qFormat/>
    <w:uiPriority w:val="39"/>
    <w:pPr>
      <w:ind w:left="420" w:leftChars="200"/>
    </w:pPr>
  </w:style>
  <w:style w:type="paragraph" w:styleId="8">
    <w:name w:val="Body Text Indent"/>
    <w:basedOn w:val="1"/>
    <w:qFormat/>
    <w:uiPriority w:val="0"/>
    <w:pPr>
      <w:spacing w:line="460" w:lineRule="exact"/>
      <w:ind w:firstLine="560"/>
    </w:pPr>
    <w:rPr>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toc 3"/>
    <w:basedOn w:val="1"/>
    <w:next w:val="1"/>
    <w:unhideWhenUsed/>
    <w:qFormat/>
    <w:uiPriority w:val="39"/>
    <w:pPr>
      <w:ind w:left="840" w:leftChars="400"/>
    </w:pPr>
  </w:style>
  <w:style w:type="paragraph" w:styleId="11">
    <w:name w:val="Plain Text"/>
    <w:basedOn w:val="1"/>
    <w:next w:val="4"/>
    <w:qFormat/>
    <w:uiPriority w:val="0"/>
    <w:rPr>
      <w:rFonts w:ascii="宋体" w:hAnsi="Courier New"/>
      <w:kern w:val="0"/>
      <w:sz w:val="20"/>
      <w:szCs w:val="20"/>
    </w:rPr>
  </w:style>
  <w:style w:type="paragraph" w:styleId="12">
    <w:name w:val="Date"/>
    <w:basedOn w:val="1"/>
    <w:next w:val="1"/>
    <w:unhideWhenUsed/>
    <w:qFormat/>
    <w:uiPriority w:val="99"/>
    <w:pPr>
      <w:ind w:left="100" w:leftChars="2500"/>
    </w:pPr>
    <w:rPr>
      <w:rFonts w:ascii="Calibri" w:hAnsi="Calibri"/>
      <w:szCs w:val="22"/>
      <w:lang w:val="zh-CN"/>
    </w:rPr>
  </w:style>
  <w:style w:type="paragraph" w:styleId="13">
    <w:name w:val="Balloon Text"/>
    <w:basedOn w:val="1"/>
    <w:link w:val="29"/>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annotation subject"/>
    <w:basedOn w:val="5"/>
    <w:next w:val="5"/>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引用1"/>
    <w:basedOn w:val="1"/>
    <w:next w:val="1"/>
    <w:qFormat/>
    <w:uiPriority w:val="0"/>
    <w:pPr>
      <w:ind w:left="864" w:right="864"/>
      <w:jc w:val="center"/>
    </w:pPr>
    <w:rPr>
      <w:i/>
      <w:iCs/>
      <w:color w:val="404040"/>
      <w:szCs w:val="21"/>
    </w:rPr>
  </w:style>
  <w:style w:type="paragraph" w:customStyle="1" w:styleId="24">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列出段落1"/>
    <w:basedOn w:val="1"/>
    <w:qFormat/>
    <w:uiPriority w:val="34"/>
    <w:pPr>
      <w:ind w:left="850"/>
    </w:pPr>
    <w:rPr>
      <w:rFonts w:ascii="Calibri" w:hAnsi="Calibri"/>
      <w:szCs w:val="21"/>
    </w:rPr>
  </w:style>
  <w:style w:type="paragraph" w:customStyle="1" w:styleId="26">
    <w:name w:val="List Paragraph_40b67d30-6b8b-4697-8f49-97c11e174001"/>
    <w:basedOn w:val="1"/>
    <w:qFormat/>
    <w:uiPriority w:val="0"/>
    <w:pPr>
      <w:ind w:firstLine="420" w:firstLineChars="200"/>
    </w:pPr>
    <w:rPr>
      <w:rFonts w:ascii="Calibri" w:hAnsi="Calibri" w:cs="宋体"/>
      <w:szCs w:val="22"/>
    </w:rPr>
  </w:style>
  <w:style w:type="character" w:customStyle="1" w:styleId="27">
    <w:name w:val="批注文字 字符"/>
    <w:basedOn w:val="20"/>
    <w:link w:val="5"/>
    <w:qFormat/>
    <w:uiPriority w:val="0"/>
    <w:rPr>
      <w:rFonts w:ascii="Times New Roman" w:hAnsi="Times New Roman" w:eastAsia="宋体" w:cs="Times New Roman"/>
      <w:kern w:val="2"/>
      <w:sz w:val="21"/>
      <w:szCs w:val="24"/>
    </w:rPr>
  </w:style>
  <w:style w:type="character" w:customStyle="1" w:styleId="28">
    <w:name w:val="批注主题 字符"/>
    <w:basedOn w:val="27"/>
    <w:link w:val="17"/>
    <w:qFormat/>
    <w:uiPriority w:val="0"/>
    <w:rPr>
      <w:rFonts w:ascii="Times New Roman" w:hAnsi="Times New Roman" w:eastAsia="宋体" w:cs="Times New Roman"/>
      <w:b/>
      <w:bCs/>
      <w:kern w:val="2"/>
      <w:sz w:val="21"/>
      <w:szCs w:val="24"/>
    </w:rPr>
  </w:style>
  <w:style w:type="character" w:customStyle="1" w:styleId="29">
    <w:name w:val="批注框文本 字符"/>
    <w:basedOn w:val="20"/>
    <w:link w:val="13"/>
    <w:qFormat/>
    <w:uiPriority w:val="0"/>
    <w:rPr>
      <w:rFonts w:ascii="Times New Roman" w:hAnsi="Times New Roman" w:eastAsia="宋体" w:cs="Times New Roman"/>
      <w:kern w:val="2"/>
      <w:sz w:val="18"/>
      <w:szCs w:val="18"/>
    </w:rPr>
  </w:style>
  <w:style w:type="paragraph" w:customStyle="1" w:styleId="30">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12761</Words>
  <Characters>13497</Characters>
  <Lines>162</Lines>
  <Paragraphs>45</Paragraphs>
  <TotalTime>1</TotalTime>
  <ScaleCrop>false</ScaleCrop>
  <LinksUpToDate>false</LinksUpToDate>
  <CharactersWithSpaces>14124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2025-07-30T01:47:22Z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A7FACA96C9164D2EA3147770602B28EA_13</vt:lpwstr>
  </property>
  <property fmtid="{D5CDD505-2E9C-101B-9397-08002B2CF9AE}" pid="4" name="KSOTemplateDocerSaveRecord">
    <vt:lpwstr>eyJoZGlkIjoiZDBlYzBkYTEwODIwYzhjZjA1MTAxNTFkOTI0NzUzNjkiLCJ1c2VySWQiOiIyMjgyNjQ3NTgifQ==</vt:lpwstr>
  </property>
</Properties>
</file>