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0"/>
        <w:spacing w:line="400" w:lineRule="exact"/>
        <w:jc w:val="center"/>
        <w:rPr>
          <w:rFonts w:ascii="Arial" w:hAnsi="Arial" w:eastAsia="楷体_GB2312" w:cs="Arial"/>
          <w:b/>
          <w:bCs/>
          <w:sz w:val="56"/>
          <w:szCs w:val="72"/>
        </w:rPr>
      </w:pPr>
    </w:p>
    <w:p w14:paraId="27362294">
      <w:pPr>
        <w:pStyle w:val="10"/>
        <w:spacing w:line="400" w:lineRule="exact"/>
        <w:jc w:val="center"/>
        <w:rPr>
          <w:rFonts w:ascii="Arial" w:hAnsi="Arial" w:eastAsia="楷体_GB2312" w:cs="Arial"/>
          <w:b/>
          <w:bCs/>
          <w:sz w:val="56"/>
          <w:szCs w:val="72"/>
        </w:rPr>
      </w:pPr>
    </w:p>
    <w:p w14:paraId="62D9450E">
      <w:pPr>
        <w:pStyle w:val="10"/>
        <w:spacing w:line="400" w:lineRule="exact"/>
        <w:jc w:val="center"/>
        <w:rPr>
          <w:rFonts w:ascii="Arial" w:hAnsi="Arial" w:eastAsia="楷体_GB2312" w:cs="Arial"/>
          <w:b/>
          <w:bCs/>
          <w:sz w:val="56"/>
          <w:szCs w:val="72"/>
        </w:rPr>
      </w:pPr>
    </w:p>
    <w:p w14:paraId="443B1A41">
      <w:pPr>
        <w:pStyle w:val="10"/>
        <w:spacing w:line="400" w:lineRule="exact"/>
        <w:jc w:val="center"/>
        <w:rPr>
          <w:rFonts w:ascii="Arial" w:hAnsi="Arial" w:eastAsia="楷体_GB2312" w:cs="Arial"/>
          <w:b/>
          <w:bCs/>
          <w:sz w:val="56"/>
          <w:szCs w:val="72"/>
        </w:rPr>
      </w:pPr>
    </w:p>
    <w:p w14:paraId="2A6B063B">
      <w:pPr>
        <w:pStyle w:val="10"/>
        <w:spacing w:line="400" w:lineRule="exact"/>
        <w:jc w:val="center"/>
        <w:rPr>
          <w:rFonts w:ascii="Arial" w:hAnsi="Arial" w:eastAsia="楷体_GB2312" w:cs="Arial"/>
          <w:b/>
          <w:bCs/>
          <w:sz w:val="56"/>
          <w:szCs w:val="72"/>
        </w:rPr>
      </w:pPr>
    </w:p>
    <w:p w14:paraId="66DADE5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4BD1881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宋体"/>
          <w:b/>
          <w:bCs/>
          <w:sz w:val="48"/>
          <w:szCs w:val="48"/>
          <w:lang w:val="en-US" w:eastAsia="zh-CN"/>
        </w:rPr>
      </w:pPr>
      <w:r>
        <w:rPr>
          <w:rFonts w:hint="eastAsia" w:hAnsi="宋体" w:cs="宋体"/>
          <w:b/>
          <w:bCs/>
          <w:sz w:val="48"/>
          <w:szCs w:val="48"/>
        </w:rPr>
        <w:t>象山社区基层一体化信息系统</w:t>
      </w:r>
      <w:r>
        <w:rPr>
          <w:rFonts w:hint="eastAsia" w:hAnsi="宋体" w:cs="宋体"/>
          <w:b/>
          <w:bCs/>
          <w:sz w:val="48"/>
          <w:szCs w:val="48"/>
          <w:lang w:val="en-US" w:eastAsia="zh-CN"/>
        </w:rPr>
        <w:t>项目（重）</w:t>
      </w:r>
    </w:p>
    <w:p w14:paraId="7671922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招标文件</w:t>
      </w:r>
    </w:p>
    <w:p w14:paraId="7E00859B">
      <w:pPr>
        <w:pStyle w:val="10"/>
        <w:spacing w:line="400" w:lineRule="exact"/>
        <w:jc w:val="center"/>
        <w:rPr>
          <w:rFonts w:ascii="Arial" w:hAnsi="Arial" w:eastAsia="楷体_GB2312" w:cs="Arial"/>
          <w:b/>
          <w:bCs/>
          <w:sz w:val="24"/>
          <w:szCs w:val="24"/>
        </w:rPr>
      </w:pPr>
    </w:p>
    <w:p w14:paraId="7512885C">
      <w:pPr>
        <w:pStyle w:val="10"/>
        <w:spacing w:line="400" w:lineRule="exact"/>
        <w:ind w:firstLine="2695"/>
        <w:rPr>
          <w:rFonts w:ascii="Arial" w:hAnsi="Arial" w:cs="Arial"/>
          <w:sz w:val="24"/>
          <w:szCs w:val="24"/>
        </w:rPr>
      </w:pPr>
    </w:p>
    <w:p w14:paraId="630637C4">
      <w:pPr>
        <w:pStyle w:val="10"/>
        <w:spacing w:line="400" w:lineRule="exact"/>
        <w:ind w:firstLine="2695"/>
        <w:rPr>
          <w:rFonts w:ascii="Arial" w:hAnsi="Arial" w:cs="Arial"/>
          <w:sz w:val="28"/>
        </w:rPr>
      </w:pPr>
      <w:r>
        <w:rPr>
          <w:rFonts w:ascii="Arial" w:hAnsi="Arial" w:cs="Arial"/>
          <w:sz w:val="28"/>
        </w:rPr>
        <w:cr/>
      </w:r>
    </w:p>
    <w:p w14:paraId="00964E45">
      <w:pPr>
        <w:pStyle w:val="10"/>
        <w:spacing w:line="400" w:lineRule="exact"/>
        <w:ind w:firstLine="2695"/>
        <w:rPr>
          <w:rFonts w:ascii="Arial" w:hAnsi="Arial" w:cs="Arial"/>
          <w:sz w:val="28"/>
        </w:rPr>
      </w:pPr>
    </w:p>
    <w:p w14:paraId="21456E68">
      <w:pPr>
        <w:pStyle w:val="10"/>
        <w:spacing w:line="400" w:lineRule="exact"/>
        <w:ind w:firstLine="2695"/>
        <w:rPr>
          <w:rFonts w:ascii="Arial" w:hAnsi="Arial" w:cs="Arial"/>
          <w:sz w:val="28"/>
        </w:rPr>
      </w:pPr>
    </w:p>
    <w:p w14:paraId="7FA94E3E">
      <w:pPr>
        <w:pStyle w:val="10"/>
        <w:spacing w:line="400" w:lineRule="exact"/>
        <w:ind w:firstLine="2695"/>
        <w:rPr>
          <w:rFonts w:ascii="Arial" w:hAnsi="Arial" w:cs="Arial"/>
          <w:sz w:val="28"/>
        </w:rPr>
      </w:pPr>
    </w:p>
    <w:p w14:paraId="1D2B8A4A">
      <w:pPr>
        <w:pStyle w:val="10"/>
        <w:spacing w:line="400" w:lineRule="exact"/>
        <w:ind w:firstLine="2695"/>
        <w:rPr>
          <w:rFonts w:ascii="Arial" w:hAnsi="Arial" w:cs="Arial"/>
          <w:sz w:val="28"/>
        </w:rPr>
      </w:pPr>
    </w:p>
    <w:p w14:paraId="2A64E804">
      <w:pPr>
        <w:pStyle w:val="10"/>
        <w:spacing w:line="400" w:lineRule="exact"/>
        <w:ind w:firstLine="2695"/>
        <w:rPr>
          <w:rFonts w:ascii="Arial" w:hAnsi="Arial" w:cs="Arial"/>
          <w:sz w:val="28"/>
        </w:rPr>
      </w:pPr>
    </w:p>
    <w:p w14:paraId="7C259E97">
      <w:pPr>
        <w:pStyle w:val="10"/>
        <w:spacing w:line="400" w:lineRule="exact"/>
        <w:rPr>
          <w:rFonts w:ascii="Arial" w:hAnsi="Arial" w:cs="Arial"/>
          <w:sz w:val="28"/>
        </w:rPr>
      </w:pPr>
    </w:p>
    <w:p w14:paraId="4A420F73">
      <w:pPr>
        <w:pStyle w:val="10"/>
        <w:spacing w:line="400" w:lineRule="exact"/>
        <w:rPr>
          <w:rFonts w:ascii="Arial" w:hAnsi="Arial" w:cs="Arial"/>
          <w:sz w:val="28"/>
        </w:rPr>
      </w:pPr>
    </w:p>
    <w:p w14:paraId="63578DB6">
      <w:pPr>
        <w:pStyle w:val="4"/>
        <w:spacing w:line="400" w:lineRule="exact"/>
        <w:rPr>
          <w:rFonts w:ascii="Arial" w:hAnsi="Arial" w:cs="Arial"/>
          <w:sz w:val="28"/>
        </w:rPr>
      </w:pPr>
      <w:bookmarkStart w:id="0" w:name="_GoBack"/>
      <w:bookmarkEnd w:id="0"/>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683B9EC8">
      <w:pPr>
        <w:spacing w:line="400" w:lineRule="exact"/>
        <w:rPr>
          <w:rFonts w:ascii="Arial" w:hAnsi="Arial" w:cs="Arial"/>
          <w:sz w:val="28"/>
        </w:rPr>
      </w:pPr>
    </w:p>
    <w:p w14:paraId="52473CEA">
      <w:pPr>
        <w:pStyle w:val="10"/>
        <w:spacing w:line="400" w:lineRule="exact"/>
        <w:rPr>
          <w:rFonts w:ascii="Arial" w:hAnsi="Arial" w:cs="Arial"/>
          <w:sz w:val="28"/>
        </w:rPr>
      </w:pPr>
    </w:p>
    <w:p w14:paraId="11F8CA2E">
      <w:pPr>
        <w:pStyle w:val="10"/>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30</w:t>
      </w:r>
      <w:r>
        <w:rPr>
          <w:rFonts w:hint="eastAsia" w:hAnsi="宋体" w:cs="宋体"/>
          <w:b/>
          <w:bCs/>
          <w:sz w:val="36"/>
          <w:szCs w:val="36"/>
        </w:rPr>
        <w:t>日</w:t>
      </w:r>
    </w:p>
    <w:p w14:paraId="10711324">
      <w:pPr>
        <w:pStyle w:val="10"/>
        <w:spacing w:line="400" w:lineRule="exact"/>
        <w:jc w:val="center"/>
        <w:rPr>
          <w:rFonts w:hAnsi="宋体" w:cs="宋体"/>
          <w:b/>
          <w:bCs/>
          <w:sz w:val="36"/>
          <w:szCs w:val="36"/>
        </w:rPr>
      </w:pPr>
    </w:p>
    <w:p w14:paraId="5CF80A0B">
      <w:pPr>
        <w:pStyle w:val="10"/>
        <w:spacing w:line="400" w:lineRule="exact"/>
        <w:rPr>
          <w:rFonts w:hAnsi="宋体" w:cs="宋体"/>
          <w:b/>
          <w:bCs/>
          <w:sz w:val="36"/>
          <w:szCs w:val="36"/>
        </w:rPr>
      </w:pPr>
    </w:p>
    <w:p w14:paraId="32A62A27">
      <w:pPr>
        <w:pStyle w:val="10"/>
        <w:spacing w:line="400" w:lineRule="exact"/>
        <w:rPr>
          <w:rFonts w:hAnsi="宋体" w:cs="宋体"/>
          <w:b/>
          <w:bCs/>
          <w:sz w:val="36"/>
          <w:szCs w:val="36"/>
        </w:rPr>
      </w:pPr>
    </w:p>
    <w:p w14:paraId="7BD052AE">
      <w:pPr>
        <w:pStyle w:val="23"/>
        <w:spacing w:before="0" w:line="400" w:lineRule="exact"/>
        <w:ind w:left="0"/>
        <w:jc w:val="both"/>
        <w:rPr>
          <w:rFonts w:ascii="Arial" w:hAnsi="宋体" w:eastAsia="宋体" w:cs="Arial"/>
          <w:b/>
          <w:bCs/>
          <w:color w:val="auto"/>
          <w:sz w:val="44"/>
          <w:szCs w:val="44"/>
          <w:lang w:val="zh-CN"/>
        </w:rPr>
      </w:pPr>
    </w:p>
    <w:p w14:paraId="0200D10E">
      <w:pPr>
        <w:pStyle w:val="23"/>
        <w:spacing w:before="0" w:line="400" w:lineRule="exact"/>
        <w:ind w:left="0"/>
        <w:jc w:val="center"/>
        <w:rPr>
          <w:rFonts w:ascii="Arial" w:hAnsi="宋体" w:eastAsia="宋体" w:cs="Arial"/>
          <w:b/>
          <w:bCs/>
          <w:color w:val="auto"/>
          <w:sz w:val="44"/>
          <w:szCs w:val="44"/>
          <w:lang w:val="zh-CN"/>
        </w:rPr>
      </w:pPr>
    </w:p>
    <w:p w14:paraId="7460B2AA">
      <w:pPr>
        <w:pStyle w:val="23"/>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9"/>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1"/>
          <w:rFonts w:ascii="Arial" w:cs="Arial"/>
          <w:sz w:val="24"/>
        </w:rPr>
        <w:t>第一章</w:t>
      </w:r>
      <w:r>
        <w:rPr>
          <w:rStyle w:val="21"/>
          <w:rFonts w:hint="eastAsia" w:ascii="Arial" w:cs="Arial"/>
          <w:sz w:val="24"/>
        </w:rPr>
        <w:t xml:space="preserve">  招标</w:t>
      </w:r>
      <w:r>
        <w:rPr>
          <w:rStyle w:val="21"/>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9"/>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1"/>
          <w:rFonts w:ascii="Arial" w:cs="Arial"/>
          <w:sz w:val="24"/>
        </w:rPr>
        <w:t>第</w:t>
      </w:r>
      <w:r>
        <w:rPr>
          <w:rStyle w:val="21"/>
          <w:rFonts w:hint="eastAsia" w:ascii="Arial" w:cs="Arial"/>
          <w:sz w:val="24"/>
        </w:rPr>
        <w:t>二</w:t>
      </w:r>
      <w:r>
        <w:rPr>
          <w:rStyle w:val="21"/>
          <w:rFonts w:ascii="Arial" w:cs="Arial"/>
          <w:sz w:val="24"/>
        </w:rPr>
        <w:t>章</w:t>
      </w:r>
      <w:r>
        <w:rPr>
          <w:rStyle w:val="21"/>
          <w:rFonts w:hint="eastAsia" w:ascii="Arial" w:cs="Arial"/>
          <w:sz w:val="24"/>
        </w:rPr>
        <w:t xml:space="preserve">  </w:t>
      </w:r>
      <w:r>
        <w:rPr>
          <w:rStyle w:val="21"/>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9"/>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18</w:t>
      </w:r>
    </w:p>
    <w:p w14:paraId="461DF260">
      <w:pPr>
        <w:pStyle w:val="9"/>
        <w:tabs>
          <w:tab w:val="right" w:leader="dot" w:pos="9628"/>
        </w:tabs>
        <w:spacing w:line="400" w:lineRule="exact"/>
        <w:ind w:left="0" w:leftChars="0"/>
        <w:rPr>
          <w:rFonts w:hint="eastAsia"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rPr>
        <w:t>2</w:t>
      </w:r>
      <w:r>
        <w:rPr>
          <w:rFonts w:hint="eastAsia" w:ascii="Arial" w:hAnsi="Arial" w:cs="Arial"/>
          <w:color w:val="0000FF"/>
          <w:sz w:val="24"/>
          <w:lang w:val="en-US" w:eastAsia="zh-CN"/>
        </w:rPr>
        <w:t>0</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08EC22F4">
      <w:pPr>
        <w:spacing w:line="400" w:lineRule="exact"/>
        <w:ind w:firstLine="480" w:firstLineChars="200"/>
        <w:rPr>
          <w:rFonts w:ascii="宋体" w:hAnsi="宋体" w:cs="宋体"/>
          <w:sz w:val="24"/>
        </w:rPr>
      </w:pPr>
      <w:r>
        <w:rPr>
          <w:rFonts w:hint="eastAsia" w:ascii="宋体" w:hAnsi="宋体" w:cs="宋体"/>
          <w:sz w:val="24"/>
        </w:rPr>
        <w:t>现有桂林市人民医院象山社区基层一体化信息系统</w:t>
      </w:r>
      <w:r>
        <w:rPr>
          <w:rFonts w:hint="eastAsia" w:ascii="宋体" w:hAnsi="宋体" w:cs="宋体"/>
          <w:bCs/>
          <w:sz w:val="24"/>
        </w:rPr>
        <w:t>采购</w:t>
      </w:r>
      <w:r>
        <w:rPr>
          <w:rFonts w:hint="eastAsia" w:ascii="宋体" w:hAnsi="宋体" w:cs="宋体"/>
          <w:sz w:val="24"/>
        </w:rPr>
        <w:t>项目</w:t>
      </w:r>
      <w:r>
        <w:rPr>
          <w:rFonts w:hint="eastAsia" w:ascii="宋体" w:hAnsi="宋体" w:cs="宋体"/>
          <w:sz w:val="24"/>
          <w:lang w:eastAsia="zh-CN"/>
        </w:rPr>
        <w:t>（</w:t>
      </w:r>
      <w:r>
        <w:rPr>
          <w:rFonts w:hint="eastAsia" w:ascii="宋体" w:hAnsi="宋体" w:cs="宋体"/>
          <w:sz w:val="24"/>
          <w:lang w:val="en-US" w:eastAsia="zh-CN"/>
        </w:rPr>
        <w:t>重）</w:t>
      </w:r>
      <w:r>
        <w:rPr>
          <w:rFonts w:hint="eastAsia" w:ascii="宋体" w:hAnsi="宋体" w:cs="宋体"/>
          <w:sz w:val="24"/>
        </w:rPr>
        <w:t>，为确保质优价廉，决定通过院内公开招标确定供应商，现将有关内容公告如下：</w:t>
      </w:r>
    </w:p>
    <w:p w14:paraId="6EB0837F">
      <w:pPr>
        <w:spacing w:line="400" w:lineRule="exact"/>
        <w:ind w:firstLine="482" w:firstLineChars="200"/>
        <w:rPr>
          <w:rFonts w:ascii="宋体" w:hAnsi="宋体" w:cs="宋体"/>
          <w:b/>
          <w:bCs/>
          <w:sz w:val="24"/>
        </w:rPr>
      </w:pPr>
      <w:r>
        <w:rPr>
          <w:rFonts w:hint="eastAsia" w:ascii="宋体" w:hAnsi="宋体" w:cs="宋体"/>
          <w:b/>
          <w:bCs/>
          <w:sz w:val="24"/>
        </w:rPr>
        <w:t>一、项目基本情况：</w:t>
      </w:r>
    </w:p>
    <w:p w14:paraId="39B84138">
      <w:pPr>
        <w:spacing w:line="400" w:lineRule="exact"/>
        <w:ind w:firstLine="482" w:firstLineChars="200"/>
        <w:rPr>
          <w:rFonts w:hint="default" w:ascii="宋体" w:hAnsi="宋体" w:eastAsia="宋体" w:cs="宋体"/>
          <w:sz w:val="24"/>
          <w:lang w:val="en-US" w:eastAsia="zh-CN"/>
        </w:rPr>
      </w:pPr>
      <w:r>
        <w:rPr>
          <w:rFonts w:hint="eastAsia" w:ascii="宋体" w:hAnsi="宋体" w:cs="宋体"/>
          <w:b/>
          <w:bCs/>
          <w:sz w:val="24"/>
        </w:rPr>
        <w:t>（一）项目名称：</w:t>
      </w:r>
      <w:r>
        <w:rPr>
          <w:rFonts w:hint="eastAsia" w:ascii="宋体" w:hAnsi="宋体" w:cs="宋体"/>
          <w:sz w:val="24"/>
        </w:rPr>
        <w:t>桂林市人民医院象山社区基层一体化信息系统</w:t>
      </w:r>
      <w:r>
        <w:rPr>
          <w:rFonts w:hint="eastAsia" w:ascii="宋体" w:hAnsi="宋体" w:cs="宋体"/>
          <w:sz w:val="24"/>
          <w:lang w:eastAsia="zh-CN"/>
        </w:rPr>
        <w:t>（</w:t>
      </w:r>
      <w:r>
        <w:rPr>
          <w:rFonts w:hint="eastAsia" w:ascii="宋体" w:hAnsi="宋体" w:cs="宋体"/>
          <w:sz w:val="24"/>
          <w:lang w:val="en-US" w:eastAsia="zh-CN"/>
        </w:rPr>
        <w:t>重）</w:t>
      </w:r>
    </w:p>
    <w:p w14:paraId="2ED70A2F">
      <w:pPr>
        <w:spacing w:line="40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XXK-2025-01</w:t>
      </w:r>
      <w:r>
        <w:rPr>
          <w:rFonts w:hint="eastAsia" w:ascii="宋体" w:hAnsi="宋体" w:cs="宋体"/>
          <w:sz w:val="24"/>
          <w:lang w:val="en-US" w:eastAsia="zh-CN"/>
        </w:rPr>
        <w:t>4</w:t>
      </w:r>
    </w:p>
    <w:p w14:paraId="7AE43F3E">
      <w:pPr>
        <w:spacing w:line="400" w:lineRule="exact"/>
        <w:ind w:left="480"/>
        <w:rPr>
          <w:rFonts w:ascii="宋体" w:hAnsi="宋体" w:cs="宋体"/>
          <w:b/>
          <w:bCs/>
          <w:sz w:val="24"/>
        </w:rPr>
      </w:pPr>
      <w:r>
        <w:rPr>
          <w:rFonts w:hint="eastAsia" w:ascii="宋体" w:hAnsi="宋体" w:cs="宋体"/>
          <w:b/>
          <w:bCs/>
          <w:sz w:val="24"/>
        </w:rPr>
        <w:t>（三）项目概况：</w:t>
      </w:r>
    </w:p>
    <w:p w14:paraId="31B7A628">
      <w:pPr>
        <w:spacing w:line="400" w:lineRule="exact"/>
        <w:ind w:firstLine="480" w:firstLineChars="200"/>
        <w:rPr>
          <w:rFonts w:ascii="宋体" w:hAnsi="宋体" w:cs="宋体"/>
          <w:sz w:val="24"/>
        </w:rPr>
      </w:pPr>
      <w:r>
        <w:rPr>
          <w:rFonts w:hint="eastAsia" w:ascii="宋体" w:hAnsi="宋体" w:cs="宋体"/>
          <w:sz w:val="24"/>
        </w:rPr>
        <w:t>1.通过院内公开招标确定桂林市人民医院象山社区基层一体化信息系统项目</w:t>
      </w:r>
      <w:r>
        <w:rPr>
          <w:rFonts w:hint="eastAsia" w:ascii="宋体" w:hAnsi="宋体" w:cs="宋体"/>
          <w:sz w:val="24"/>
          <w:lang w:eastAsia="zh-CN"/>
        </w:rPr>
        <w:t>（</w:t>
      </w:r>
      <w:r>
        <w:rPr>
          <w:rFonts w:hint="eastAsia" w:ascii="宋体" w:hAnsi="宋体" w:cs="宋体"/>
          <w:sz w:val="24"/>
          <w:lang w:val="en-US" w:eastAsia="zh-CN"/>
        </w:rPr>
        <w:t>重）</w:t>
      </w:r>
      <w:r>
        <w:rPr>
          <w:rFonts w:hint="eastAsia" w:ascii="宋体" w:hAnsi="宋体" w:cs="宋体"/>
          <w:sz w:val="24"/>
        </w:rPr>
        <w:t>供应商。</w:t>
      </w:r>
    </w:p>
    <w:p w14:paraId="464032CD">
      <w:pPr>
        <w:spacing w:line="400" w:lineRule="exact"/>
        <w:ind w:firstLine="480" w:firstLineChars="200"/>
        <w:rPr>
          <w:rFonts w:ascii="宋体" w:hAnsi="宋体" w:cs="宋体"/>
          <w:sz w:val="24"/>
        </w:rPr>
      </w:pPr>
      <w:r>
        <w:rPr>
          <w:rFonts w:hint="eastAsia" w:ascii="宋体" w:hAnsi="宋体" w:cs="宋体"/>
          <w:sz w:val="24"/>
        </w:rPr>
        <w:t>2.服务地点：桂林市人民医院</w:t>
      </w:r>
    </w:p>
    <w:p w14:paraId="71729597">
      <w:pPr>
        <w:spacing w:line="40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w:t>
      </w:r>
      <w:r>
        <w:rPr>
          <w:rFonts w:hint="eastAsia" w:ascii="宋体" w:hAnsi="宋体" w:eastAsia="宋体" w:cs="宋体"/>
          <w:b w:val="0"/>
          <w:bCs w:val="0"/>
          <w:color w:val="auto"/>
          <w:sz w:val="24"/>
          <w:szCs w:val="24"/>
          <w:lang w:val="en-US" w:eastAsia="zh-CN"/>
        </w:rPr>
        <w:t>人民币叁拾玖万贰仟元整（¥392000</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lang w:val="en-US" w:eastAsia="zh-CN"/>
        </w:rPr>
        <w:t>）</w:t>
      </w:r>
      <w:r>
        <w:rPr>
          <w:rFonts w:hint="eastAsia" w:ascii="宋体" w:hAnsi="宋体" w:cs="宋体"/>
          <w:bCs/>
          <w:sz w:val="24"/>
        </w:rPr>
        <w:t>，</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0A1456D2">
      <w:pPr>
        <w:spacing w:line="400" w:lineRule="exact"/>
        <w:ind w:firstLine="482" w:firstLineChars="200"/>
        <w:rPr>
          <w:rFonts w:ascii="宋体" w:hAnsi="宋体" w:cs="宋体"/>
          <w:b/>
          <w:bCs/>
          <w:sz w:val="24"/>
        </w:rPr>
      </w:pPr>
      <w:r>
        <w:rPr>
          <w:rFonts w:hint="eastAsia" w:ascii="宋体" w:hAnsi="宋体" w:cs="宋体"/>
          <w:b/>
          <w:bCs/>
          <w:sz w:val="24"/>
        </w:rPr>
        <w:t>二、供应商资质条件要求</w:t>
      </w:r>
    </w:p>
    <w:p w14:paraId="5ED31520">
      <w:pPr>
        <w:spacing w:line="40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233A1DCB">
      <w:pPr>
        <w:spacing w:line="40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77BB07E1">
      <w:pPr>
        <w:spacing w:line="40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03EB3D63">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4.本项目不接受联合体参与报价。</w:t>
      </w:r>
    </w:p>
    <w:p w14:paraId="1E27CC52">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特别说明：</w:t>
      </w:r>
    </w:p>
    <w:p w14:paraId="31A45572">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（1）与招标人存在利害关系可能影响招标公正性的法人、其他组织或者个人，不得参加投标。</w:t>
      </w:r>
    </w:p>
    <w:p w14:paraId="3E0B3C71">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（2）单位负责人为同一人或者存在控股、管理关系的不同单位，不得参加同一招标项目投标。</w:t>
      </w:r>
    </w:p>
    <w:p w14:paraId="19CAFAFC">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如投标人有违反上述规定的，相关投标按无效投标处理。</w:t>
      </w:r>
    </w:p>
    <w:p w14:paraId="4DE54241">
      <w:pPr>
        <w:spacing w:line="40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36790FE3">
      <w:pPr>
        <w:pStyle w:val="5"/>
        <w:spacing w:line="40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日至</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799A9C0B">
      <w:pPr>
        <w:spacing w:line="40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0F3F178D">
      <w:pPr>
        <w:spacing w:line="40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5C6AA5FF">
      <w:pPr>
        <w:spacing w:line="400" w:lineRule="exact"/>
        <w:ind w:firstLine="482" w:firstLineChars="200"/>
        <w:rPr>
          <w:rFonts w:ascii="宋体" w:hAnsi="宋体" w:cs="宋体"/>
          <w:b/>
          <w:bCs/>
          <w:sz w:val="24"/>
        </w:rPr>
      </w:pPr>
      <w:r>
        <w:rPr>
          <w:rFonts w:hint="eastAsia" w:ascii="宋体" w:hAnsi="宋体" w:cs="宋体"/>
          <w:b/>
          <w:bCs/>
          <w:sz w:val="24"/>
        </w:rPr>
        <w:t>四、采购活动要求</w:t>
      </w:r>
    </w:p>
    <w:p w14:paraId="05CEE51B">
      <w:pPr>
        <w:spacing w:line="40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21"/>
          <w:rFonts w:hint="eastAsia" w:ascii="宋体" w:hAnsi="宋体" w:cs="宋体"/>
          <w:b/>
          <w:bCs/>
          <w:color w:val="auto"/>
          <w:sz w:val="24"/>
        </w:rPr>
        <w:t>glsrmyyzbb@163.com</w:t>
      </w:r>
      <w:r>
        <w:rPr>
          <w:rStyle w:val="21"/>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03121050">
      <w:pPr>
        <w:spacing w:line="40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11443FEB">
      <w:pPr>
        <w:spacing w:line="400" w:lineRule="exact"/>
        <w:ind w:firstLine="480" w:firstLineChars="200"/>
        <w:rPr>
          <w:rFonts w:ascii="宋体" w:hAnsi="宋体" w:cs="宋体"/>
          <w:sz w:val="24"/>
        </w:rPr>
      </w:pPr>
      <w:r>
        <w:rPr>
          <w:rFonts w:hint="eastAsia" w:ascii="宋体" w:hAnsi="宋体" w:cs="宋体"/>
          <w:sz w:val="24"/>
        </w:rPr>
        <w:t>3.投标文件：</w:t>
      </w:r>
    </w:p>
    <w:p w14:paraId="7951B5BB">
      <w:pPr>
        <w:spacing w:line="400" w:lineRule="exact"/>
        <w:ind w:firstLine="480" w:firstLineChars="200"/>
        <w:rPr>
          <w:rFonts w:ascii="宋体" w:hAnsi="宋体" w:cs="宋体"/>
          <w:sz w:val="24"/>
        </w:rPr>
      </w:pPr>
      <w:r>
        <w:rPr>
          <w:rFonts w:hint="eastAsia" w:ascii="宋体" w:hAnsi="宋体" w:cs="宋体"/>
          <w:sz w:val="24"/>
        </w:rPr>
        <w:t>(1)投标文件组成：必须含有但不限于</w:t>
      </w:r>
      <w:r>
        <w:rPr>
          <w:rFonts w:hint="eastAsia" w:ascii="宋体" w:hAnsi="宋体" w:cs="宋体"/>
          <w:sz w:val="24"/>
          <w:lang w:val="en-US" w:eastAsia="zh-CN"/>
        </w:rPr>
        <w:t>投标函（含报价表）、</w:t>
      </w:r>
      <w:r>
        <w:rPr>
          <w:rFonts w:hint="eastAsia" w:ascii="宋体" w:hAnsi="宋体" w:cs="宋体"/>
          <w:sz w:val="24"/>
        </w:rPr>
        <w:t>响应</w:t>
      </w:r>
      <w:r>
        <w:rPr>
          <w:rFonts w:hint="eastAsia" w:ascii="宋体" w:hAnsi="宋体" w:cs="宋体"/>
          <w:sz w:val="24"/>
          <w:lang w:val="en-US" w:eastAsia="zh-CN"/>
        </w:rPr>
        <w:t>表</w:t>
      </w:r>
      <w:r>
        <w:rPr>
          <w:rFonts w:hint="eastAsia" w:ascii="宋体" w:hAnsi="宋体" w:cs="宋体"/>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w:t>
      </w:r>
      <w:r>
        <w:rPr>
          <w:rFonts w:hint="eastAsia" w:ascii="宋体" w:hAnsi="宋体" w:cs="宋体"/>
          <w:sz w:val="24"/>
          <w:lang w:eastAsia="zh-CN"/>
        </w:rPr>
        <w:t>、</w:t>
      </w:r>
      <w:r>
        <w:rPr>
          <w:rFonts w:hint="eastAsia" w:ascii="宋体" w:hAnsi="宋体" w:cs="宋体"/>
          <w:sz w:val="24"/>
        </w:rPr>
        <w:t>中国政府采购网(www.ccgp.gov.cn)”上打印的信用查询记录相关信息</w:t>
      </w:r>
      <w:r>
        <w:rPr>
          <w:rFonts w:hint="eastAsia" w:asciiTheme="minorEastAsia" w:hAnsiTheme="minorEastAsia" w:eastAsiaTheme="minorEastAsia" w:cstheme="minorEastAsia"/>
          <w:color w:val="auto"/>
          <w:sz w:val="24"/>
          <w:szCs w:val="24"/>
          <w:highlight w:val="none"/>
          <w:lang w:val="en-US" w:eastAsia="zh-CN"/>
        </w:rPr>
        <w:t>及</w:t>
      </w:r>
      <w:r>
        <w:rPr>
          <w:rFonts w:hint="eastAsia" w:ascii="宋体" w:hAnsi="宋体" w:cs="宋体"/>
          <w:sz w:val="24"/>
        </w:rPr>
        <w:t>结合本项目的评标办法视自身情况自行提交相关证明</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宋体" w:hAnsi="宋体" w:cs="宋体"/>
          <w:sz w:val="24"/>
        </w:rPr>
        <w:t>联系人</w:t>
      </w:r>
      <w:r>
        <w:rPr>
          <w:rFonts w:hint="eastAsia" w:ascii="宋体" w:hAnsi="宋体" w:cs="宋体"/>
          <w:sz w:val="24"/>
          <w:lang w:val="en-US" w:eastAsia="zh-CN"/>
        </w:rPr>
        <w:t>和</w:t>
      </w:r>
      <w:r>
        <w:rPr>
          <w:rFonts w:hint="eastAsia" w:ascii="宋体" w:hAnsi="宋体" w:cs="宋体"/>
          <w:sz w:val="24"/>
        </w:rPr>
        <w:t>电话</w:t>
      </w:r>
      <w:r>
        <w:rPr>
          <w:rFonts w:hint="eastAsia" w:ascii="宋体" w:hAnsi="宋体" w:cs="宋体"/>
          <w:sz w:val="24"/>
          <w:lang w:val="en-US" w:eastAsia="zh-CN"/>
        </w:rPr>
        <w:t>等</w:t>
      </w:r>
      <w:r>
        <w:rPr>
          <w:rFonts w:hint="eastAsia" w:ascii="宋体" w:hAnsi="宋体" w:cs="宋体"/>
          <w:sz w:val="24"/>
        </w:rPr>
        <w:t>材料。投标人应完整准备上述投标文件的材料，否则由此引起的不利后果由投标人承担。</w:t>
      </w:r>
    </w:p>
    <w:p w14:paraId="55F86206">
      <w:pPr>
        <w:spacing w:line="40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15C0D498">
      <w:pPr>
        <w:numPr>
          <w:ilvl w:val="0"/>
          <w:numId w:val="0"/>
        </w:numPr>
        <w:spacing w:line="400" w:lineRule="exact"/>
        <w:ind w:firstLine="480" w:firstLineChars="20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投标文件份数：正本一份，副本六份。</w:t>
      </w:r>
    </w:p>
    <w:p w14:paraId="559BCBBC">
      <w:pPr>
        <w:spacing w:line="40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4026E973">
      <w:pPr>
        <w:spacing w:line="40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54D04586">
      <w:pPr>
        <w:spacing w:line="400" w:lineRule="exact"/>
        <w:ind w:firstLine="482" w:firstLineChars="200"/>
        <w:rPr>
          <w:rFonts w:ascii="宋体" w:hAnsi="宋体" w:cs="宋体"/>
          <w:b/>
          <w:bCs/>
          <w:sz w:val="24"/>
        </w:rPr>
      </w:pPr>
      <w:r>
        <w:rPr>
          <w:rFonts w:hint="eastAsia" w:ascii="宋体" w:hAnsi="宋体" w:cs="宋体"/>
          <w:b/>
          <w:bCs/>
          <w:sz w:val="24"/>
        </w:rPr>
        <w:t>五、信息公告发布媒体</w:t>
      </w:r>
    </w:p>
    <w:p w14:paraId="026ECB0D">
      <w:pPr>
        <w:spacing w:line="40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059D49BF">
      <w:pPr>
        <w:spacing w:line="400" w:lineRule="exact"/>
        <w:ind w:firstLine="482" w:firstLineChars="200"/>
        <w:rPr>
          <w:rFonts w:ascii="宋体" w:hAnsi="宋体" w:cs="宋体"/>
          <w:sz w:val="24"/>
        </w:rPr>
      </w:pPr>
      <w:r>
        <w:rPr>
          <w:rFonts w:hint="eastAsia" w:ascii="宋体" w:hAnsi="宋体" w:cs="宋体"/>
          <w:b/>
          <w:bCs/>
          <w:sz w:val="24"/>
        </w:rPr>
        <w:t>六、联系方式</w:t>
      </w:r>
    </w:p>
    <w:p w14:paraId="47179C5C">
      <w:pPr>
        <w:spacing w:line="400" w:lineRule="exact"/>
        <w:ind w:firstLine="480" w:firstLineChars="200"/>
        <w:rPr>
          <w:rFonts w:ascii="宋体" w:hAnsi="宋体" w:cs="宋体"/>
          <w:sz w:val="24"/>
        </w:rPr>
      </w:pPr>
      <w:r>
        <w:rPr>
          <w:rFonts w:hint="eastAsia" w:ascii="宋体" w:hAnsi="宋体" w:cs="宋体"/>
          <w:sz w:val="24"/>
        </w:rPr>
        <w:t>1.联系人：罗老师、戴老师</w:t>
      </w:r>
    </w:p>
    <w:p w14:paraId="65DCC0E6">
      <w:pPr>
        <w:spacing w:line="400" w:lineRule="exact"/>
        <w:ind w:firstLine="480" w:firstLineChars="200"/>
        <w:rPr>
          <w:rFonts w:ascii="宋体" w:hAnsi="宋体" w:cs="宋体"/>
          <w:sz w:val="24"/>
        </w:rPr>
      </w:pPr>
      <w:r>
        <w:rPr>
          <w:rFonts w:hint="eastAsia" w:ascii="宋体" w:hAnsi="宋体" w:cs="宋体"/>
          <w:sz w:val="24"/>
        </w:rPr>
        <w:t>2.联系电话：0773-2803316</w:t>
      </w:r>
    </w:p>
    <w:p w14:paraId="0E34CFE9">
      <w:pPr>
        <w:tabs>
          <w:tab w:val="left" w:pos="6583"/>
        </w:tabs>
        <w:spacing w:line="40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194CA20E">
      <w:pPr>
        <w:tabs>
          <w:tab w:val="left" w:pos="5623"/>
        </w:tabs>
        <w:spacing w:line="40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p>
    <w:p w14:paraId="28524887">
      <w:pPr>
        <w:spacing w:line="400" w:lineRule="exact"/>
        <w:rPr>
          <w:rFonts w:ascii="宋体" w:hAnsi="宋体" w:cs="宋体"/>
          <w:sz w:val="24"/>
        </w:rPr>
      </w:pPr>
      <w:r>
        <w:rPr>
          <w:rFonts w:hint="eastAsia" w:ascii="宋体" w:hAnsi="宋体" w:cs="宋体"/>
          <w:b/>
          <w:bCs/>
          <w:w w:val="95"/>
          <w:sz w:val="24"/>
        </w:rPr>
        <w:br w:type="page"/>
      </w:r>
    </w:p>
    <w:p w14:paraId="77B520B5">
      <w:pPr>
        <w:pStyle w:val="2"/>
        <w:spacing w:line="400" w:lineRule="exact"/>
        <w:jc w:val="center"/>
        <w:rPr>
          <w:sz w:val="30"/>
          <w:szCs w:val="30"/>
        </w:rPr>
      </w:pPr>
      <w:r>
        <w:rPr>
          <w:rFonts w:hint="eastAsia"/>
          <w:w w:val="95"/>
          <w:sz w:val="30"/>
          <w:szCs w:val="30"/>
        </w:rPr>
        <w:t xml:space="preserve">第二章  项目需求和说明 </w:t>
      </w:r>
    </w:p>
    <w:p w14:paraId="7AB4AC66">
      <w:pPr>
        <w:spacing w:line="400" w:lineRule="exact"/>
        <w:ind w:firstLine="482" w:firstLineChars="200"/>
        <w:rPr>
          <w:rFonts w:hint="default" w:ascii="宋体" w:hAnsi="宋体" w:eastAsia="宋体" w:cs="宋体"/>
          <w:sz w:val="24"/>
          <w:lang w:val="en-US" w:eastAsia="zh-CN"/>
        </w:rPr>
      </w:pPr>
      <w:r>
        <w:rPr>
          <w:rFonts w:hint="eastAsia" w:ascii="宋体" w:hAnsi="宋体" w:cs="宋体"/>
          <w:b/>
          <w:bCs/>
          <w:sz w:val="24"/>
        </w:rPr>
        <w:t>一、项目名称：</w:t>
      </w:r>
      <w:r>
        <w:rPr>
          <w:rFonts w:hint="eastAsia" w:ascii="宋体" w:hAnsi="宋体" w:cs="宋体"/>
          <w:sz w:val="24"/>
        </w:rPr>
        <w:t>桂林市人民医院象山社区基层一体化信息系统</w:t>
      </w:r>
      <w:r>
        <w:rPr>
          <w:rFonts w:hint="eastAsia" w:ascii="宋体" w:hAnsi="宋体" w:cs="宋体"/>
          <w:sz w:val="24"/>
          <w:lang w:eastAsia="zh-CN"/>
        </w:rPr>
        <w:t>（</w:t>
      </w:r>
      <w:r>
        <w:rPr>
          <w:rFonts w:hint="eastAsia" w:ascii="宋体" w:hAnsi="宋体" w:cs="宋体"/>
          <w:sz w:val="24"/>
          <w:lang w:val="en-US" w:eastAsia="zh-CN"/>
        </w:rPr>
        <w:t>重）</w:t>
      </w:r>
    </w:p>
    <w:p w14:paraId="4DEE0972">
      <w:pPr>
        <w:spacing w:line="400" w:lineRule="exact"/>
        <w:ind w:firstLine="482" w:firstLineChars="200"/>
        <w:rPr>
          <w:rFonts w:hint="eastAsia" w:ascii="宋体" w:hAnsi="宋体" w:cs="宋体"/>
          <w:sz w:val="24"/>
          <w:lang w:val="en-US" w:eastAsia="zh-CN"/>
        </w:rPr>
      </w:pPr>
      <w:r>
        <w:rPr>
          <w:rFonts w:hint="eastAsia" w:ascii="宋体" w:hAnsi="宋体" w:cs="宋体"/>
          <w:b/>
          <w:bCs/>
          <w:sz w:val="24"/>
        </w:rPr>
        <w:t>二、项目编号：</w:t>
      </w:r>
      <w:r>
        <w:rPr>
          <w:rFonts w:hint="eastAsia" w:ascii="宋体" w:hAnsi="宋体" w:cs="宋体"/>
          <w:sz w:val="24"/>
        </w:rPr>
        <w:t>XXK-2025-0</w:t>
      </w:r>
      <w:r>
        <w:rPr>
          <w:rFonts w:hint="eastAsia" w:ascii="宋体" w:hAnsi="宋体" w:cs="宋体"/>
          <w:sz w:val="24"/>
          <w:lang w:val="en-US" w:eastAsia="zh-CN"/>
        </w:rPr>
        <w:t>14</w:t>
      </w:r>
    </w:p>
    <w:p w14:paraId="5433ABD1">
      <w:pPr>
        <w:spacing w:line="400" w:lineRule="exact"/>
        <w:ind w:firstLine="482" w:firstLineChars="200"/>
        <w:rPr>
          <w:rFonts w:hint="eastAsia" w:ascii="宋体" w:hAnsi="宋体" w:cs="宋体"/>
          <w:b/>
          <w:sz w:val="24"/>
          <w:lang w:val="en-US" w:eastAsia="zh-CN"/>
        </w:rPr>
      </w:pPr>
      <w:r>
        <w:rPr>
          <w:rFonts w:hint="eastAsia" w:ascii="宋体" w:hAnsi="宋体" w:cs="宋体"/>
          <w:b/>
          <w:sz w:val="24"/>
        </w:rPr>
        <w:t>三、</w:t>
      </w:r>
      <w:r>
        <w:rPr>
          <w:rFonts w:hint="eastAsia" w:ascii="宋体" w:hAnsi="宋体" w:cs="宋体"/>
          <w:b/>
          <w:sz w:val="24"/>
          <w:lang w:val="en-US" w:eastAsia="zh-CN"/>
        </w:rPr>
        <w:t>采购需求</w:t>
      </w:r>
    </w:p>
    <w:p w14:paraId="47A43256">
      <w:pPr>
        <w:spacing w:line="400" w:lineRule="exact"/>
        <w:ind w:firstLine="482" w:firstLineChars="200"/>
        <w:rPr>
          <w:rFonts w:hint="eastAsia" w:eastAsia="方正大标宋简体"/>
          <w:sz w:val="30"/>
          <w:szCs w:val="30"/>
        </w:rPr>
      </w:pPr>
      <w:r>
        <w:rPr>
          <w:rFonts w:hint="eastAsia" w:ascii="宋体" w:hAnsi="宋体" w:cs="宋体"/>
          <w:b/>
          <w:sz w:val="24"/>
        </w:rPr>
        <w:t>（一）技术要求</w:t>
      </w:r>
      <w:r>
        <w:rPr>
          <w:rFonts w:hint="eastAsia" w:eastAsia="方正大标宋简体"/>
          <w:sz w:val="30"/>
          <w:szCs w:val="30"/>
        </w:rPr>
        <w:t xml:space="preserve">      </w:t>
      </w:r>
    </w:p>
    <w:tbl>
      <w:tblPr>
        <w:tblStyle w:val="18"/>
        <w:tblpPr w:leftFromText="180" w:rightFromText="180" w:vertAnchor="text" w:horzAnchor="page" w:tblpX="970" w:tblpY="603"/>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750"/>
        <w:gridCol w:w="6690"/>
        <w:gridCol w:w="435"/>
        <w:gridCol w:w="450"/>
        <w:gridCol w:w="1005"/>
        <w:gridCol w:w="855"/>
      </w:tblGrid>
      <w:tr w14:paraId="662C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tblHeader/>
        </w:trPr>
        <w:tc>
          <w:tcPr>
            <w:tcW w:w="435" w:type="dxa"/>
            <w:shd w:val="clear" w:color="auto" w:fill="auto"/>
            <w:vAlign w:val="center"/>
          </w:tcPr>
          <w:p w14:paraId="66C43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750" w:type="dxa"/>
            <w:shd w:val="clear" w:color="auto" w:fill="auto"/>
            <w:vAlign w:val="center"/>
          </w:tcPr>
          <w:p w14:paraId="79CFA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功能需求</w:t>
            </w:r>
          </w:p>
        </w:tc>
        <w:tc>
          <w:tcPr>
            <w:tcW w:w="6690" w:type="dxa"/>
            <w:shd w:val="clear" w:color="auto" w:fill="auto"/>
            <w:vAlign w:val="center"/>
          </w:tcPr>
          <w:p w14:paraId="189A8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需求内容</w:t>
            </w:r>
          </w:p>
        </w:tc>
        <w:tc>
          <w:tcPr>
            <w:tcW w:w="435" w:type="dxa"/>
            <w:shd w:val="clear" w:color="auto" w:fill="auto"/>
            <w:vAlign w:val="center"/>
          </w:tcPr>
          <w:p w14:paraId="001C5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450" w:type="dxa"/>
            <w:shd w:val="clear" w:color="auto" w:fill="auto"/>
            <w:vAlign w:val="center"/>
          </w:tcPr>
          <w:p w14:paraId="65C89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05" w:type="dxa"/>
            <w:shd w:val="clear" w:color="auto" w:fill="auto"/>
            <w:vAlign w:val="center"/>
          </w:tcPr>
          <w:p w14:paraId="0EFC4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控制单价</w:t>
            </w:r>
          </w:p>
          <w:p w14:paraId="32DF2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（万元）</w:t>
            </w:r>
          </w:p>
        </w:tc>
        <w:tc>
          <w:tcPr>
            <w:tcW w:w="855" w:type="dxa"/>
            <w:shd w:val="clear" w:color="auto" w:fill="auto"/>
            <w:vAlign w:val="center"/>
          </w:tcPr>
          <w:p w14:paraId="4E3A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总价</w:t>
            </w:r>
          </w:p>
          <w:p w14:paraId="4F3204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（万元）</w:t>
            </w:r>
          </w:p>
        </w:tc>
      </w:tr>
      <w:tr w14:paraId="0BB4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435" w:type="dxa"/>
            <w:shd w:val="clear" w:color="auto" w:fill="auto"/>
            <w:vAlign w:val="center"/>
          </w:tcPr>
          <w:p w14:paraId="61491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0" w:type="dxa"/>
            <w:shd w:val="clear" w:color="auto" w:fill="auto"/>
            <w:vAlign w:val="center"/>
          </w:tcPr>
          <w:p w14:paraId="223BA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基层医院信息管理系统（HIS）</w:t>
            </w:r>
          </w:p>
        </w:tc>
        <w:tc>
          <w:tcPr>
            <w:tcW w:w="6690" w:type="dxa"/>
            <w:shd w:val="clear" w:color="auto" w:fill="auto"/>
            <w:vAlign w:val="center"/>
          </w:tcPr>
          <w:p w14:paraId="139B0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层医院信息管理系统（HIS）具有门急诊、住院、药房等基本业务管理功能。系统需嵌入《国家基本药物处方集》和《国家基本药物临床应用指南》等资料，以协助医务人员的诊疗工作。系统需满足门诊、住院、药房药库、物资管理、财务等实际业务需要，从而进一步规范基层医务人员诊疗行为，改善医疗服务质量。</w:t>
            </w:r>
          </w:p>
          <w:p w14:paraId="4B223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1"/>
                <w:szCs w:val="21"/>
              </w:rPr>
              <w:t>★</w:t>
            </w:r>
            <w:r>
              <w:rPr>
                <w:rFonts w:hint="eastAsia" w:ascii="宋体" w:hAnsi="宋体" w:cs="宋体"/>
                <w:b/>
                <w:bCs/>
                <w:color w:val="auto"/>
                <w:kern w:val="0"/>
                <w:sz w:val="21"/>
                <w:szCs w:val="21"/>
                <w:u w:val="none"/>
                <w:lang w:val="en-US" w:eastAsia="zh-CN" w:bidi="ar"/>
              </w:rPr>
              <w:t>系统</w:t>
            </w:r>
            <w:r>
              <w:rPr>
                <w:rFonts w:hint="eastAsia" w:ascii="宋体" w:hAnsi="宋体" w:cs="宋体"/>
                <w:b/>
                <w:bCs/>
                <w:i w:val="0"/>
                <w:iCs w:val="0"/>
                <w:color w:val="auto"/>
                <w:kern w:val="0"/>
                <w:sz w:val="21"/>
                <w:szCs w:val="21"/>
                <w:u w:val="none"/>
                <w:lang w:val="en-US" w:eastAsia="zh-CN" w:bidi="ar"/>
              </w:rPr>
              <w:t>与我院现有信息集成平台实现数据对接，包括但不限于病人信息，诊疗信息，检验检查结果等信息。</w:t>
            </w:r>
          </w:p>
          <w:p w14:paraId="346A2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▲系统需支持与电子病历、基本公共卫生服务系统、家庭医生签约服务系统</w:t>
            </w:r>
            <w:r>
              <w:rPr>
                <w:rFonts w:hint="eastAsia" w:ascii="宋体" w:hAnsi="宋体" w:cs="宋体"/>
                <w:i w:val="0"/>
                <w:iCs w:val="0"/>
                <w:color w:val="auto"/>
                <w:kern w:val="0"/>
                <w:sz w:val="21"/>
                <w:szCs w:val="21"/>
                <w:u w:val="none"/>
                <w:lang w:val="en-US" w:eastAsia="zh-CN" w:bidi="ar"/>
              </w:rPr>
              <w:t>、传染病前置软件、飞图影像、飞图检验检查互认、全民健康平台</w:t>
            </w:r>
            <w:r>
              <w:rPr>
                <w:rFonts w:hint="eastAsia" w:ascii="宋体" w:hAnsi="宋体" w:eastAsia="宋体" w:cs="宋体"/>
                <w:i w:val="0"/>
                <w:iCs w:val="0"/>
                <w:color w:val="auto"/>
                <w:kern w:val="0"/>
                <w:sz w:val="21"/>
                <w:szCs w:val="21"/>
                <w:u w:val="none"/>
                <w:lang w:val="en-US" w:eastAsia="zh-CN" w:bidi="ar"/>
              </w:rPr>
              <w:t>互联互通，</w:t>
            </w:r>
            <w:r>
              <w:rPr>
                <w:rFonts w:hint="eastAsia" w:ascii="宋体" w:hAnsi="宋体" w:eastAsia="宋体" w:cs="宋体"/>
                <w:b/>
                <w:bCs/>
                <w:i w:val="0"/>
                <w:iCs w:val="0"/>
                <w:color w:val="auto"/>
                <w:kern w:val="0"/>
                <w:sz w:val="21"/>
                <w:szCs w:val="21"/>
                <w:u w:val="none"/>
                <w:lang w:val="en-US" w:eastAsia="zh-CN" w:bidi="ar"/>
              </w:rPr>
              <w:t>并提供成熟度应用效果截图</w:t>
            </w:r>
            <w:r>
              <w:rPr>
                <w:rFonts w:hint="eastAsia" w:ascii="宋体" w:hAnsi="宋体" w:eastAsia="宋体" w:cs="宋体"/>
                <w:i w:val="0"/>
                <w:iCs w:val="0"/>
                <w:color w:val="auto"/>
                <w:kern w:val="0"/>
                <w:sz w:val="21"/>
                <w:szCs w:val="21"/>
                <w:u w:val="none"/>
                <w:lang w:val="en-US" w:eastAsia="zh-CN" w:bidi="ar"/>
              </w:rPr>
              <w:t>。系统需具备以下功能：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1.门诊业务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提供基于SOAP格式电子病历或全科诊疗记录服务。包括诊疗登记、书写SOAP、门诊病历、电子处方、治疗处置、收费管理等功能。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2.住院业务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提供住院业务的综合管理。主要包括住院病人入出转业务、住院医生站业务、住院护士站业务等。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3.门诊收费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门急诊挂号管理及收费功能。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4.药房管理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实现对药品的科室入库、发退领、盘点、报损、对账等进行管理。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5.药库管理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用于管理药品从入库、储存到出库、药品盘点、药品调价等过程的管理。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6.基本药物管理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对基本药物的信息、价格进行管理。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7.物资（耗材）管理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为开展业务活动及其他活动而储存的卫生材料、低值易耗品、其他材料、专项物资等低值易耗品的管理。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8.设备管理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针对设备固定资产的管理。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9.财务管理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对机构中资金的收入、支出以及国有资产进行管理和监督。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10.综合管理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统计分析与综合查询主要用于基层机构各部门及管理者对机构的业务收支、基本医疗服务、基本公共卫生服务情况等业务数据进行统计分析，提供各类统计图表，并可进一步查询获取详细的信息列表。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11.乡村一体化管理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对辖区内村</w:t>
            </w:r>
            <w:r>
              <w:rPr>
                <w:rFonts w:hint="eastAsia" w:ascii="宋体" w:hAnsi="宋体" w:cs="宋体"/>
                <w:i w:val="0"/>
                <w:iCs w:val="0"/>
                <w:color w:val="auto"/>
                <w:kern w:val="0"/>
                <w:sz w:val="21"/>
                <w:szCs w:val="21"/>
                <w:u w:val="none"/>
                <w:lang w:val="en-US" w:eastAsia="zh-CN" w:bidi="ar"/>
              </w:rPr>
              <w:t>卫生</w:t>
            </w:r>
            <w:r>
              <w:rPr>
                <w:rFonts w:hint="eastAsia" w:ascii="宋体" w:hAnsi="宋体" w:eastAsia="宋体" w:cs="宋体"/>
                <w:i w:val="0"/>
                <w:iCs w:val="0"/>
                <w:color w:val="auto"/>
                <w:kern w:val="0"/>
                <w:sz w:val="21"/>
                <w:szCs w:val="21"/>
                <w:u w:val="none"/>
                <w:lang w:val="en-US" w:eastAsia="zh-CN" w:bidi="ar"/>
              </w:rPr>
              <w:t>室开展工作监督、业务指导、药品配送等工作，主要包括门急诊收费管理、物资管理、设备管理、财务管理。以及统计、分析及查询和咨询等综合管理模块。以实现管理的规范化，标准化。</w:t>
            </w:r>
          </w:p>
        </w:tc>
        <w:tc>
          <w:tcPr>
            <w:tcW w:w="435" w:type="dxa"/>
            <w:shd w:val="clear" w:color="auto" w:fill="auto"/>
            <w:vAlign w:val="center"/>
          </w:tcPr>
          <w:p w14:paraId="76FB3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1F3A5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6D7CE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855" w:type="dxa"/>
            <w:shd w:val="clear" w:color="auto" w:fill="auto"/>
            <w:vAlign w:val="center"/>
          </w:tcPr>
          <w:p w14:paraId="1C543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r>
      <w:tr w14:paraId="68EE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0" w:hRule="atLeast"/>
        </w:trPr>
        <w:tc>
          <w:tcPr>
            <w:tcW w:w="435" w:type="dxa"/>
            <w:shd w:val="clear" w:color="auto" w:fill="auto"/>
            <w:vAlign w:val="center"/>
          </w:tcPr>
          <w:p w14:paraId="55B24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50" w:type="dxa"/>
            <w:shd w:val="clear" w:color="auto" w:fill="auto"/>
            <w:vAlign w:val="center"/>
          </w:tcPr>
          <w:p w14:paraId="67AA5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基层医学检验信息系统（LIS）</w:t>
            </w:r>
          </w:p>
        </w:tc>
        <w:tc>
          <w:tcPr>
            <w:tcW w:w="6690" w:type="dxa"/>
            <w:shd w:val="clear" w:color="auto" w:fill="auto"/>
            <w:vAlign w:val="center"/>
          </w:tcPr>
          <w:p w14:paraId="73AA8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实现医院检验室自动化、智能化检验仪器设备联机通讯；集中存储、管理和分析检验报告与数据；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1.检验申请模块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1）提供专业化检验申请模块，支持独立终端部署、嵌入式调用多种应用场景。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2）针对门诊、住院等多种应用场景，提供个性化应用页面，支持对接HIS系统快捷调取患者信息。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▲3）对检验医嘱分类管理，支持多条件医嘱检索，支持医嘱模板。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▲4）支持跟踪查询历史检验申请信息及状态，提供检验报告查询查阅。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5）提供特殊检验申请单录入模板。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2.标本备管-住院条码打印模块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1）提供在未打印标本条码的院患者列表，支持患者ID索引精准检索。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▲2）自动对检验申请项目分组共管，支持手动自定义编辑共管分管。</w:t>
            </w:r>
            <w:r>
              <w:rPr>
                <w:rFonts w:hint="eastAsia" w:ascii="宋体" w:hAnsi="宋体" w:eastAsia="宋体" w:cs="宋体"/>
                <w:i w:val="0"/>
                <w:iCs w:val="0"/>
                <w:color w:val="0000FF"/>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3）支持对已打印标本条码进行检索查询，支持补打及重编。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3.标本备管-门诊条码打印模块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1）支持患者ID索引快捷检索。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▲2）支持预设标本采集分组，自动过滤非本工作岗位采集标本。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3）提供当前打印标本条码记录缓存，减少误操作带来的冗余操作。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4.标本采集模块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1）支持标本条码扫描操作，快捷提取标本信息。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2）针对临床住院，提供已打印标本条码的患者列表。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▲3）提供退签拒签标本提醒，支持快捷检索待重采集标本。</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4）提供标本重采集快捷操作入口，完成标本补打及重采登记。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5.标本转运模块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1）提供标本转运送检双签认证，登记记录标本交接人与转运人。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▲2）自动对转运标本产生送检批次，可在交接操作过程中自动对送检批次打印清单，便于标本交接核对。</w:t>
            </w:r>
          </w:p>
          <w:p w14:paraId="6F4810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标本签收模块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1）提供标本送检签收双签认证，登记记录标本转运人与签收人。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2）支持批次标本签收，提供签收标本信息核对。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▲3）自动对批次签收标本产生签收批次，可在签收操作过程中自动对签收批次打印清单，便于核对。</w:t>
            </w:r>
          </w:p>
          <w:p w14:paraId="6721A9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▲4）提供标本自动拆分，根据实际检测情况自动打印实验室内标本条码。</w:t>
            </w:r>
          </w:p>
          <w:p w14:paraId="777505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7.</w:t>
            </w:r>
            <w:r>
              <w:rPr>
                <w:rFonts w:hint="eastAsia" w:ascii="宋体" w:hAnsi="宋体" w:eastAsia="宋体" w:cs="宋体"/>
                <w:i w:val="0"/>
                <w:iCs w:val="0"/>
                <w:color w:val="auto"/>
                <w:kern w:val="0"/>
                <w:sz w:val="21"/>
                <w:szCs w:val="21"/>
                <w:u w:val="none"/>
                <w:lang w:val="en-US" w:eastAsia="zh-CN" w:bidi="ar"/>
              </w:rPr>
              <w:t>标本退签模块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1）根据实际应用需求提供多种功能：不合格标本退签重采、不合格标本登记、项目退费退签。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2）不合格标本登记仅对标本不合格情况进行登记，不做标本退签。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▲3）不合格标本退签重采在的登记标本不合格情况的同时记录退签通知信息，并对临床发出提醒。</w:t>
            </w:r>
          </w:p>
          <w:p w14:paraId="05BC013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4）项目退费是检验项目申请的取消退费或项目退费申请确认。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5）标本退签过程中，自动判断标本是否登记上机检测，提示是否作废报告。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8.标本管理模块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1）支持查询追踪标本信息，提供标本全流程记录查阅。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▲2）实现对标本周转过程的全流程监管与记录，对标本TAT进行实时监控，自动分析计算标本周转时间。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3）支持自定义分组分类对标本检测项目周转时间进行配置，并依据设置对标本TAT数据进行超时分析和百分位数计算。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9.常规检测模块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1）提供多种登记上机方式：依据标本条码、病人ID等多种关键索引登记上机，检索在院患者或已签收标本信息登记上机，纯手工录入信息登记上机等。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2）提供报告列表多条件筛选查询，支持报告流程状态快速筛选及汇总数量，提供多种标识标记标本报告的特殊信息。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3）支持自定义配置参考值及适用对象，自动获取检验项目的参考值，自动对结果分析判读。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▲4）提供历史结果对比、特定项目检验结果对比、历史报告追踪等多种检测数据分析检索工具。</w:t>
            </w:r>
          </w:p>
          <w:p w14:paraId="1FEDCB8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5）提供常用结果枚举、自动计算、科学计数法换算、报告剪切复制、结果批量修改等报告结果编辑工具。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6）支持图片文件上传编辑。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▲7）支持同标本复检、跨仪器复检等多种复检方式。</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8）提供标本及报告过程记录、项目结果修改记录查询。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9）提供检验项目临床试验含义知识库，解析检测结果的生理、病理表现，提高检测报告可读性，</w:t>
            </w:r>
            <w:r>
              <w:rPr>
                <w:rFonts w:hint="eastAsia" w:ascii="宋体" w:hAnsi="宋体" w:cs="宋体"/>
                <w:i w:val="0"/>
                <w:iCs w:val="0"/>
                <w:color w:val="auto"/>
                <w:kern w:val="0"/>
                <w:sz w:val="21"/>
                <w:szCs w:val="21"/>
                <w:u w:val="none"/>
                <w:lang w:val="en-US" w:eastAsia="zh-CN" w:bidi="ar"/>
              </w:rPr>
              <w:t>适</w:t>
            </w:r>
            <w:r>
              <w:rPr>
                <w:rFonts w:hint="eastAsia" w:ascii="宋体" w:hAnsi="宋体" w:eastAsia="宋体" w:cs="宋体"/>
                <w:i w:val="0"/>
                <w:iCs w:val="0"/>
                <w:color w:val="auto"/>
                <w:kern w:val="0"/>
                <w:sz w:val="21"/>
                <w:szCs w:val="21"/>
                <w:u w:val="none"/>
                <w:lang w:val="en-US" w:eastAsia="zh-CN" w:bidi="ar"/>
              </w:rPr>
              <w:t>用于检验科室的标本检测与临床申请科室的报告查阅。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10.报告审核管理模块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1）报告审核支持多级审核制度、CA认证与电子签名。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2）提供报告完整性、合理性分析，对不符合审核规则的报告进行提醒。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3）提供实验室检测报告集中审核及发布，支持对报告依据结果进行分类过滤筛选。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4）支持特殊报告模板维护。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11.报告查阅模块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1）支持独立终端部署与嵌入式调用。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2）支持根据使用者进行查询权限控制。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3）支持查阅项目试验含义知识库。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▲4）支持对检测项目历史结果对比。</w:t>
            </w:r>
          </w:p>
          <w:p w14:paraId="4B18B2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▲5）支持查询标本流转过程。</w:t>
            </w:r>
          </w:p>
          <w:p w14:paraId="46B4F9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6）支持下载检测报告PDF。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12.数据统计分析模块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1）整合数据，统计分析。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▲2）支持标本量、报告量、危急报告、不合格标本、检验项目结果、微生物细菌药敏、WHONET、传染病等多类数据统计分析。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3）支持各类统计数据的图表分析，如饼状图、变化曲线图、柱状图等。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4）支持统计数据形成数据报表或导出电子表格。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5）支持根据实验室的具体要求和特色化管理需求自定义统计分析报表。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13.排班与交接班模块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支持排班交班分班管理。</w:t>
            </w:r>
          </w:p>
        </w:tc>
        <w:tc>
          <w:tcPr>
            <w:tcW w:w="435" w:type="dxa"/>
            <w:shd w:val="clear" w:color="auto" w:fill="auto"/>
            <w:vAlign w:val="center"/>
          </w:tcPr>
          <w:p w14:paraId="20780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3A6EF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0EF28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855" w:type="dxa"/>
            <w:shd w:val="clear" w:color="auto" w:fill="auto"/>
            <w:vAlign w:val="center"/>
          </w:tcPr>
          <w:p w14:paraId="1EB62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r>
      <w:tr w14:paraId="5A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435" w:type="dxa"/>
            <w:shd w:val="clear" w:color="auto" w:fill="auto"/>
            <w:vAlign w:val="center"/>
          </w:tcPr>
          <w:p w14:paraId="1EEB5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50" w:type="dxa"/>
            <w:shd w:val="clear" w:color="auto" w:fill="auto"/>
            <w:vAlign w:val="center"/>
          </w:tcPr>
          <w:p w14:paraId="32AF0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移动公卫系统（含两卡制</w:t>
            </w:r>
            <w:r>
              <w:rPr>
                <w:rFonts w:hint="eastAsia" w:ascii="宋体" w:hAnsi="宋体" w:cs="宋体"/>
                <w:i w:val="0"/>
                <w:iCs w:val="0"/>
                <w:color w:val="auto"/>
                <w:kern w:val="0"/>
                <w:sz w:val="21"/>
                <w:szCs w:val="21"/>
                <w:u w:val="none"/>
                <w:lang w:val="en-US" w:eastAsia="zh-CN" w:bidi="ar"/>
              </w:rPr>
              <w:t>管理系统及</w:t>
            </w:r>
            <w:r>
              <w:rPr>
                <w:rFonts w:hint="eastAsia" w:ascii="宋体" w:hAnsi="宋体" w:eastAsia="宋体" w:cs="宋体"/>
                <w:i w:val="0"/>
                <w:iCs w:val="0"/>
                <w:color w:val="auto"/>
                <w:kern w:val="0"/>
                <w:sz w:val="21"/>
                <w:szCs w:val="21"/>
                <w:u w:val="none"/>
                <w:lang w:val="en-US" w:eastAsia="zh-CN" w:bidi="ar"/>
              </w:rPr>
              <w:t>人脸识别）</w:t>
            </w:r>
          </w:p>
        </w:tc>
        <w:tc>
          <w:tcPr>
            <w:tcW w:w="6690" w:type="dxa"/>
            <w:shd w:val="clear" w:color="auto" w:fill="auto"/>
            <w:vAlign w:val="center"/>
          </w:tcPr>
          <w:p w14:paraId="0D3AE0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移动公卫系统主要是为村医/家庭医生做基本公共卫生服务时提供基本公卫服务数据的录</w:t>
            </w:r>
          </w:p>
          <w:p w14:paraId="766A72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入软件。乡镇卫生院和村卫生室的医生手持移动端进行公共卫生服务时，可实时在线调阅居民</w:t>
            </w:r>
          </w:p>
          <w:p w14:paraId="6CD881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健康档案、记录随访数据，随访数据在 PAD 录入后将同步上传到基本公卫系统，保证公卫数据</w:t>
            </w:r>
          </w:p>
          <w:p w14:paraId="78576C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采集的实时性、一致性。系统需具备以下功能：</w:t>
            </w:r>
          </w:p>
          <w:p w14:paraId="2CCB72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1.新增家庭</w:t>
            </w:r>
          </w:p>
          <w:p w14:paraId="3A8A36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管理家庭信息，包含查询家庭、新增家庭电子档案录入家庭基本信息、编辑家庭基本信息、以</w:t>
            </w:r>
          </w:p>
          <w:p w14:paraId="2FB141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及新增家庭成员。</w:t>
            </w:r>
          </w:p>
          <w:p w14:paraId="15937C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2.新增成员</w:t>
            </w:r>
          </w:p>
          <w:p w14:paraId="57718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添加及维护居民档案信息，包括基本信息、各类人群专项档案信息以及体检信息。</w:t>
            </w:r>
          </w:p>
          <w:p w14:paraId="5626E6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3.高血压随访管理</w:t>
            </w:r>
          </w:p>
          <w:p w14:paraId="42A318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新增、编辑、修改、删除高血压患者随访记录。</w:t>
            </w:r>
          </w:p>
          <w:p w14:paraId="76FF2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4.二型糖尿病随访管理</w:t>
            </w:r>
          </w:p>
          <w:p w14:paraId="6E3C1C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新增、编辑、修改、删除糖尿病患者随访记录。</w:t>
            </w:r>
          </w:p>
          <w:p w14:paraId="34187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5.肺结核管理</w:t>
            </w:r>
          </w:p>
          <w:p w14:paraId="6D858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新增、编辑、修改、删除肺结核患者随访记录。</w:t>
            </w:r>
          </w:p>
          <w:p w14:paraId="7EB9E2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6.冠心病管理</w:t>
            </w:r>
          </w:p>
          <w:p w14:paraId="22498D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新增、编辑、修改、删除冠心病患者随访记录。</w:t>
            </w:r>
          </w:p>
          <w:p w14:paraId="28C5D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7.脑卒中管理</w:t>
            </w:r>
          </w:p>
          <w:p w14:paraId="21832E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新增、编辑、修改、删除脑卒中患者随访记录。</w:t>
            </w:r>
          </w:p>
          <w:p w14:paraId="7C036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8.残疾人管理</w:t>
            </w:r>
          </w:p>
          <w:p w14:paraId="3F357E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新增、编辑、修改、删除残疾人随访记录。</w:t>
            </w:r>
          </w:p>
          <w:p w14:paraId="4D2276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9.老年人管理</w:t>
            </w:r>
          </w:p>
          <w:p w14:paraId="539307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通过老年人管理功能，实现老年人自理能力评估、老人抑郁调查、老人认知调查等。</w:t>
            </w:r>
          </w:p>
          <w:p w14:paraId="07C5BD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10.严重精神障碍患者管理</w:t>
            </w:r>
          </w:p>
          <w:p w14:paraId="4F2ECB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新增、编辑、修改、删除严重精神障碍患者随访记录。</w:t>
            </w:r>
          </w:p>
          <w:p w14:paraId="6246B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11.儿童管理</w:t>
            </w:r>
          </w:p>
          <w:p w14:paraId="5B1C07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 0~6 岁儿童随访记录。</w:t>
            </w:r>
          </w:p>
          <w:p w14:paraId="1244B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12.孕产妇管理</w:t>
            </w:r>
          </w:p>
          <w:p w14:paraId="08556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通过妇女健康管理功能，实现孕产妇登记、第一次产前随访、第 2~5 次产前随访、分娩登记、</w:t>
            </w:r>
          </w:p>
          <w:p w14:paraId="06A7A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产后访视、产后 42 天随访管理。</w:t>
            </w:r>
          </w:p>
          <w:p w14:paraId="0F2680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13.体检管理</w:t>
            </w:r>
          </w:p>
          <w:p w14:paraId="00AA9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新增、编辑、修改、删除残体检记录。</w:t>
            </w:r>
          </w:p>
          <w:p w14:paraId="248E2E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14.老年人中医药健康管理</w:t>
            </w:r>
          </w:p>
          <w:p w14:paraId="4A4AD4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通过老年人中医保健管理功能，实现老年人中医药健康管理服务内容的新增，对老年人中医保</w:t>
            </w:r>
          </w:p>
          <w:p w14:paraId="6FDFE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健随访等</w:t>
            </w:r>
          </w:p>
          <w:p w14:paraId="4EB02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15.查询统计</w:t>
            </w:r>
          </w:p>
          <w:p w14:paraId="1D173F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可按时间段，查询统计各类人群服务数量。</w:t>
            </w:r>
          </w:p>
          <w:p w14:paraId="2B72D8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16.数据上传管理</w:t>
            </w:r>
          </w:p>
          <w:p w14:paraId="0CE0AB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通过上传功能将数据上传到冠新公卫系统中。</w:t>
            </w:r>
          </w:p>
          <w:p w14:paraId="72E60A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17.两卡制人脸识别通过移动终端进行活体检测，并提交采集的身份信息及人脸照片到中心，实现人脸识别；用于本公共卫生服务的真实性确认环节。</w:t>
            </w:r>
          </w:p>
        </w:tc>
        <w:tc>
          <w:tcPr>
            <w:tcW w:w="435" w:type="dxa"/>
            <w:shd w:val="clear" w:color="auto" w:fill="auto"/>
            <w:vAlign w:val="center"/>
          </w:tcPr>
          <w:p w14:paraId="3E1AF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p>
        </w:tc>
        <w:tc>
          <w:tcPr>
            <w:tcW w:w="450" w:type="dxa"/>
            <w:shd w:val="clear" w:color="auto" w:fill="auto"/>
            <w:vAlign w:val="center"/>
          </w:tcPr>
          <w:p w14:paraId="4FB81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3E23A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c>
          <w:tcPr>
            <w:tcW w:w="855" w:type="dxa"/>
            <w:shd w:val="clear" w:color="auto" w:fill="auto"/>
            <w:vAlign w:val="center"/>
          </w:tcPr>
          <w:p w14:paraId="1CDB8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r>
      <w:tr w14:paraId="18C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5" w:hRule="atLeast"/>
        </w:trPr>
        <w:tc>
          <w:tcPr>
            <w:tcW w:w="435" w:type="dxa"/>
            <w:shd w:val="clear" w:color="auto" w:fill="auto"/>
            <w:vAlign w:val="center"/>
          </w:tcPr>
          <w:p w14:paraId="0141F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50" w:type="dxa"/>
            <w:shd w:val="clear" w:color="auto" w:fill="auto"/>
            <w:vAlign w:val="center"/>
          </w:tcPr>
          <w:p w14:paraId="19F0A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基层数据智能采集系统</w:t>
            </w:r>
          </w:p>
        </w:tc>
        <w:tc>
          <w:tcPr>
            <w:tcW w:w="6690" w:type="dxa"/>
            <w:shd w:val="clear" w:color="auto" w:fill="auto"/>
            <w:vAlign w:val="center"/>
          </w:tcPr>
          <w:p w14:paraId="26AD7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系统需支持通过接口对接的方式与LIS和PACS系统进行对接，实现检查检验的结构化数据的自动上传。</w:t>
            </w:r>
          </w:p>
        </w:tc>
        <w:tc>
          <w:tcPr>
            <w:tcW w:w="435" w:type="dxa"/>
            <w:shd w:val="clear" w:color="auto" w:fill="auto"/>
            <w:vAlign w:val="center"/>
          </w:tcPr>
          <w:p w14:paraId="569E6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7A38D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67A3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5.8</w:t>
            </w:r>
          </w:p>
        </w:tc>
        <w:tc>
          <w:tcPr>
            <w:tcW w:w="855" w:type="dxa"/>
            <w:shd w:val="clear" w:color="auto" w:fill="auto"/>
            <w:vAlign w:val="center"/>
          </w:tcPr>
          <w:p w14:paraId="654A6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5.8</w:t>
            </w:r>
          </w:p>
        </w:tc>
      </w:tr>
      <w:tr w14:paraId="0A77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0" w:hRule="atLeast"/>
        </w:trPr>
        <w:tc>
          <w:tcPr>
            <w:tcW w:w="435" w:type="dxa"/>
            <w:shd w:val="clear" w:color="auto" w:fill="auto"/>
            <w:vAlign w:val="center"/>
          </w:tcPr>
          <w:p w14:paraId="2F2BD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50" w:type="dxa"/>
            <w:shd w:val="clear" w:color="auto" w:fill="auto"/>
            <w:vAlign w:val="center"/>
          </w:tcPr>
          <w:p w14:paraId="582F4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平板电脑</w:t>
            </w:r>
          </w:p>
        </w:tc>
        <w:tc>
          <w:tcPr>
            <w:tcW w:w="6690" w:type="dxa"/>
            <w:shd w:val="clear" w:color="auto" w:fill="auto"/>
            <w:vAlign w:val="center"/>
          </w:tcPr>
          <w:p w14:paraId="130AF9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CPU 内核：高通骁龙™888：≥八核</w:t>
            </w:r>
          </w:p>
          <w:p w14:paraId="345087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屏幕尺寸：≥11 英寸</w:t>
            </w:r>
          </w:p>
          <w:p w14:paraId="0049F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屏幕类型：IPS</w:t>
            </w:r>
          </w:p>
          <w:p w14:paraId="76D81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屏幕色彩：≥1670 万色</w:t>
            </w:r>
          </w:p>
          <w:p w14:paraId="4F22C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分辨率：≥2800×1840</w:t>
            </w:r>
          </w:p>
          <w:p w14:paraId="1EB75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屏幕像素密度：WQXGA2560x1600 像素，275PPI</w:t>
            </w:r>
          </w:p>
          <w:p w14:paraId="2521F3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对比度：1000:1（典型值）</w:t>
            </w:r>
          </w:p>
          <w:p w14:paraId="48F5F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亮度：300nits（典型值）</w:t>
            </w:r>
          </w:p>
          <w:p w14:paraId="44DBF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电池：≥8300mAh（典型值）</w:t>
            </w:r>
          </w:p>
          <w:p w14:paraId="01111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多点触控：≥10 点</w:t>
            </w:r>
          </w:p>
          <w:p w14:paraId="7C5C68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传输功能：支持 WLAN、USB、蓝牙、无线投屏、数据流量等</w:t>
            </w:r>
          </w:p>
          <w:p w14:paraId="0DE220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机身内存（ROM）：≥128GB</w:t>
            </w:r>
          </w:p>
          <w:p w14:paraId="12B31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运行内存（RAM）：≥8GB</w:t>
            </w:r>
          </w:p>
        </w:tc>
        <w:tc>
          <w:tcPr>
            <w:tcW w:w="435" w:type="dxa"/>
            <w:shd w:val="clear" w:color="auto" w:fill="auto"/>
            <w:vAlign w:val="center"/>
          </w:tcPr>
          <w:p w14:paraId="46493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p>
        </w:tc>
        <w:tc>
          <w:tcPr>
            <w:tcW w:w="450" w:type="dxa"/>
            <w:shd w:val="clear" w:color="auto" w:fill="auto"/>
            <w:vAlign w:val="center"/>
          </w:tcPr>
          <w:p w14:paraId="6AE66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0C862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c>
          <w:tcPr>
            <w:tcW w:w="855" w:type="dxa"/>
            <w:shd w:val="clear" w:color="auto" w:fill="auto"/>
            <w:vAlign w:val="center"/>
          </w:tcPr>
          <w:p w14:paraId="2339A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r>
      <w:tr w14:paraId="2A5F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5" w:type="dxa"/>
            <w:shd w:val="clear" w:color="auto" w:fill="auto"/>
            <w:vAlign w:val="center"/>
          </w:tcPr>
          <w:p w14:paraId="69802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p>
        </w:tc>
        <w:tc>
          <w:tcPr>
            <w:tcW w:w="750" w:type="dxa"/>
            <w:shd w:val="clear" w:color="auto" w:fill="auto"/>
            <w:vAlign w:val="center"/>
          </w:tcPr>
          <w:p w14:paraId="46A3D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蓝牙指纹身份证读卡器</w:t>
            </w:r>
          </w:p>
        </w:tc>
        <w:tc>
          <w:tcPr>
            <w:tcW w:w="6690" w:type="dxa"/>
            <w:shd w:val="clear" w:color="auto" w:fill="auto"/>
            <w:vAlign w:val="center"/>
          </w:tcPr>
          <w:p w14:paraId="1A8357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连接方式：USB2.0 接口有线连接和蓝牙无线传输二合一</w:t>
            </w:r>
          </w:p>
          <w:p w14:paraId="518F3F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1.读取证件类型：居民身份证、港澳台居住证、外国人永久居住证；</w:t>
            </w:r>
          </w:p>
          <w:p w14:paraId="1C45A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2.读卡距离：0-3cm；</w:t>
            </w:r>
          </w:p>
          <w:p w14:paraId="191591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3.阅读时间：&lt;1.0s（带指纹信息证件&lt;1.5s）；</w:t>
            </w:r>
          </w:p>
          <w:p w14:paraId="2A5E88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4.天线能量输出：</w:t>
            </w:r>
          </w:p>
          <w:p w14:paraId="615344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（1）天线表面磁场强度（Hmax）≤7.5A/mrms；</w:t>
            </w:r>
          </w:p>
          <w:p w14:paraId="30FAD1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（2）天线表面法线方向 5cm 处电磁场强度（Hmin）≥1.5A/mrms；</w:t>
            </w:r>
          </w:p>
          <w:p w14:paraId="69EDC2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5.工作频率(fc)13.56MHz±7kHz</w:t>
            </w:r>
          </w:p>
          <w:p w14:paraId="5E70E1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6.蓝牙接口：遵循 BluetoothV2.0、V4.0 双模+EDR 蓝牙规范，Class2 功率级别。内置≥2.4GPCB</w:t>
            </w:r>
          </w:p>
          <w:p w14:paraId="5A290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蓝牙射频天线空旷、无遮挡地带，收发距离≥20 米，具备加密与安全验证功能；</w:t>
            </w:r>
          </w:p>
          <w:p w14:paraId="30FC69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7.指纹采集器参数（采集器选配内置或外接）。</w:t>
            </w:r>
          </w:p>
          <w:p w14:paraId="762033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（1）传感器类型：半导体电容式；</w:t>
            </w:r>
          </w:p>
          <w:p w14:paraId="3EC169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（2）采集模式：按压式；</w:t>
            </w:r>
          </w:p>
          <w:p w14:paraId="13954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（3）传感器大小：23.0*35.0mm；</w:t>
            </w:r>
          </w:p>
          <w:p w14:paraId="0F1857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（3）有效图像尺寸：≥12.8*18.0mm；</w:t>
            </w:r>
          </w:p>
          <w:p w14:paraId="300C24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（4）图像大小：256*360pixel；</w:t>
            </w:r>
          </w:p>
          <w:p w14:paraId="0A7232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（5）图像分辨率：≥508dpi；</w:t>
            </w:r>
          </w:p>
          <w:p w14:paraId="346A26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（6）比对方式：1：1；</w:t>
            </w:r>
          </w:p>
          <w:p w14:paraId="12649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（7）比对时间：≤0.1s；</w:t>
            </w:r>
          </w:p>
          <w:p w14:paraId="68C268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8.USB 接口：USB2.0 接口规范；</w:t>
            </w:r>
          </w:p>
          <w:p w14:paraId="1653FD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9.适用平台：Android/IOS/WindowsXP、Windows7、Windows10 等常见操作系统/Linux/UNIX；</w:t>
            </w:r>
          </w:p>
          <w:p w14:paraId="3BE5F7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10.充电器：DC5V/2.0A；</w:t>
            </w:r>
          </w:p>
          <w:p w14:paraId="2BFDF3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11.充电接口：typec 采用 PC-USB 或 5V/2A 电源适配器充电器，电流不能超过 2.0A；</w:t>
            </w:r>
          </w:p>
          <w:p w14:paraId="78C84A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12.电池：≥4000mAh 锂电池；</w:t>
            </w:r>
          </w:p>
          <w:p w14:paraId="1D5E1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13.工作温度：0℃～50℃；</w:t>
            </w:r>
          </w:p>
          <w:p w14:paraId="1AA848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14.工作相对湿度：20%～90%RH；</w:t>
            </w:r>
          </w:p>
          <w:p w14:paraId="5D1165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15.贮运温度及相对湿度：-10℃～55℃；20%～93%</w:t>
            </w:r>
            <w:r>
              <w:rPr>
                <w:rFonts w:hint="eastAsia" w:ascii="宋体" w:hAnsi="宋体" w:cs="宋体"/>
                <w:i w:val="0"/>
                <w:iCs w:val="0"/>
                <w:color w:val="auto"/>
                <w:sz w:val="21"/>
                <w:szCs w:val="21"/>
                <w:u w:val="none"/>
                <w:lang w:eastAsia="zh-CN"/>
              </w:rPr>
              <w:t>。</w:t>
            </w:r>
          </w:p>
        </w:tc>
        <w:tc>
          <w:tcPr>
            <w:tcW w:w="435" w:type="dxa"/>
            <w:shd w:val="clear" w:color="auto" w:fill="auto"/>
            <w:vAlign w:val="center"/>
          </w:tcPr>
          <w:p w14:paraId="33D9A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50" w:type="dxa"/>
            <w:shd w:val="clear" w:color="auto" w:fill="auto"/>
            <w:vAlign w:val="center"/>
          </w:tcPr>
          <w:p w14:paraId="189E2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7ED4F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855" w:type="dxa"/>
            <w:shd w:val="clear" w:color="auto" w:fill="auto"/>
            <w:vAlign w:val="center"/>
          </w:tcPr>
          <w:p w14:paraId="0434E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r>
      <w:tr w14:paraId="696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435" w:type="dxa"/>
            <w:shd w:val="clear" w:color="auto" w:fill="auto"/>
            <w:vAlign w:val="center"/>
          </w:tcPr>
          <w:p w14:paraId="7F1CD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7</w:t>
            </w:r>
          </w:p>
        </w:tc>
        <w:tc>
          <w:tcPr>
            <w:tcW w:w="750" w:type="dxa"/>
            <w:shd w:val="clear" w:color="auto" w:fill="auto"/>
            <w:vAlign w:val="center"/>
          </w:tcPr>
          <w:p w14:paraId="5F1C8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蓝牙条码打印机</w:t>
            </w:r>
          </w:p>
        </w:tc>
        <w:tc>
          <w:tcPr>
            <w:tcW w:w="6690" w:type="dxa"/>
            <w:shd w:val="clear" w:color="auto" w:fill="auto"/>
            <w:vAlign w:val="center"/>
          </w:tcPr>
          <w:p w14:paraId="04541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1.分辨率：≥8 点/毫米(203DPI)；</w:t>
            </w:r>
          </w:p>
          <w:p w14:paraId="1C32A7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2.打印模式：热感式；</w:t>
            </w:r>
          </w:p>
          <w:p w14:paraId="1EB50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3.最大打印速度：50.8 毫米(2")/秒；最大打印宽度：72 毫米(2.83")；最大打印长度：2,794</w:t>
            </w:r>
          </w:p>
          <w:p w14:paraId="304769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毫米(110”)；</w:t>
            </w:r>
          </w:p>
          <w:p w14:paraId="61B922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5.内存：≥16MBFlashmemory，≥64MBSDRAM；</w:t>
            </w:r>
          </w:p>
          <w:p w14:paraId="00822C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6.接口：USB2.0，内接式蓝牙 4.2；</w:t>
            </w:r>
          </w:p>
          <w:p w14:paraId="209DB7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7.电池：充电式电池(7.4VDC,≥2000mAh 锂电池)；</w:t>
            </w:r>
          </w:p>
          <w:p w14:paraId="191FF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8.电源规格：交流输入 AC100-240V,2.0A,50-60Hz；直流输出 DC5V,2.0A；</w:t>
            </w:r>
          </w:p>
          <w:p w14:paraId="78013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9.传感器：纸张间距传感器、黑线标记传感器、印字头抬起传感器</w:t>
            </w:r>
            <w:r>
              <w:rPr>
                <w:rFonts w:hint="eastAsia" w:ascii="宋体" w:hAnsi="宋体" w:cs="宋体"/>
                <w:i w:val="0"/>
                <w:iCs w:val="0"/>
                <w:color w:val="auto"/>
                <w:sz w:val="21"/>
                <w:szCs w:val="21"/>
                <w:u w:val="none"/>
                <w:lang w:eastAsia="zh-CN"/>
              </w:rPr>
              <w:t>；</w:t>
            </w:r>
          </w:p>
          <w:p w14:paraId="472F1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10.内建字型：≥八种位图字体、可透过软件下载 Windows 字型</w:t>
            </w:r>
            <w:r>
              <w:rPr>
                <w:rFonts w:hint="eastAsia" w:ascii="宋体" w:hAnsi="宋体" w:cs="宋体"/>
                <w:i w:val="0"/>
                <w:iCs w:val="0"/>
                <w:color w:val="auto"/>
                <w:sz w:val="21"/>
                <w:szCs w:val="21"/>
                <w:u w:val="none"/>
                <w:lang w:eastAsia="zh-CN"/>
              </w:rPr>
              <w:t>；</w:t>
            </w:r>
          </w:p>
          <w:p w14:paraId="4F153F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11.使用环境条件：操作环境:0~40°C,湿度(非凝结)10~85%，储存环境:-20~60°C 湿度(非凝结)5~90%</w:t>
            </w:r>
            <w:r>
              <w:rPr>
                <w:rFonts w:hint="eastAsia" w:ascii="宋体" w:hAnsi="宋体" w:cs="宋体"/>
                <w:i w:val="0"/>
                <w:iCs w:val="0"/>
                <w:color w:val="auto"/>
                <w:sz w:val="21"/>
                <w:szCs w:val="21"/>
                <w:u w:val="none"/>
                <w:lang w:eastAsia="zh-CN"/>
              </w:rPr>
              <w:t>。</w:t>
            </w:r>
          </w:p>
        </w:tc>
        <w:tc>
          <w:tcPr>
            <w:tcW w:w="435" w:type="dxa"/>
            <w:shd w:val="clear" w:color="auto" w:fill="auto"/>
            <w:vAlign w:val="center"/>
          </w:tcPr>
          <w:p w14:paraId="5B09C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50" w:type="dxa"/>
            <w:shd w:val="clear" w:color="auto" w:fill="auto"/>
            <w:vAlign w:val="center"/>
          </w:tcPr>
          <w:p w14:paraId="451A4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0731C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855" w:type="dxa"/>
            <w:shd w:val="clear" w:color="auto" w:fill="auto"/>
            <w:vAlign w:val="center"/>
          </w:tcPr>
          <w:p w14:paraId="29383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r>
      <w:tr w14:paraId="533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9765" w:type="dxa"/>
            <w:gridSpan w:val="6"/>
            <w:shd w:val="clear" w:color="auto" w:fill="auto"/>
            <w:vAlign w:val="center"/>
          </w:tcPr>
          <w:p w14:paraId="1D49D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lang w:val="en-US" w:eastAsia="zh-CN"/>
              </w:rPr>
              <w:t>合计</w:t>
            </w:r>
          </w:p>
        </w:tc>
        <w:tc>
          <w:tcPr>
            <w:tcW w:w="855" w:type="dxa"/>
            <w:shd w:val="clear" w:color="auto" w:fill="auto"/>
            <w:vAlign w:val="center"/>
          </w:tcPr>
          <w:p w14:paraId="22F0D3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39.2</w:t>
            </w:r>
          </w:p>
        </w:tc>
      </w:tr>
      <w:tr w14:paraId="1D4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620" w:type="dxa"/>
            <w:gridSpan w:val="7"/>
            <w:shd w:val="clear" w:color="auto" w:fill="auto"/>
            <w:vAlign w:val="center"/>
          </w:tcPr>
          <w:p w14:paraId="6D972A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rPr>
              <w:t>注：</w:t>
            </w:r>
            <w:r>
              <w:rPr>
                <w:rFonts w:hint="eastAsia" w:ascii="宋体" w:hAnsi="宋体" w:cs="宋体"/>
                <w:color w:val="auto"/>
                <w:sz w:val="21"/>
                <w:szCs w:val="21"/>
              </w:rPr>
              <w:t>投标公司请认真评估本项目所有技术要求表</w:t>
            </w:r>
            <w:r>
              <w:rPr>
                <w:rFonts w:hint="eastAsia" w:ascii="宋体" w:hAnsi="宋体" w:cs="宋体"/>
                <w:color w:val="auto"/>
                <w:sz w:val="21"/>
                <w:szCs w:val="21"/>
                <w:lang w:eastAsia="zh-CN"/>
              </w:rPr>
              <w:t>，</w:t>
            </w:r>
            <w:r>
              <w:rPr>
                <w:rFonts w:hint="eastAsia" w:ascii="宋体" w:hAnsi="宋体" w:cs="宋体"/>
                <w:color w:val="auto"/>
                <w:sz w:val="21"/>
                <w:szCs w:val="21"/>
              </w:rPr>
              <w:t>“▲”均要求投标供应商提供截图证明等文件，否则被视为不响应</w:t>
            </w:r>
            <w:r>
              <w:rPr>
                <w:rFonts w:hint="eastAsia" w:ascii="宋体" w:hAnsi="宋体" w:cs="宋体"/>
                <w:color w:val="auto"/>
                <w:sz w:val="21"/>
                <w:szCs w:val="21"/>
                <w:lang w:val="en-US" w:eastAsia="zh-CN"/>
              </w:rPr>
              <w:t>该条款</w:t>
            </w:r>
            <w:r>
              <w:rPr>
                <w:rFonts w:hint="eastAsia" w:ascii="宋体" w:hAnsi="宋体" w:cs="宋体"/>
                <w:color w:val="auto"/>
                <w:sz w:val="21"/>
                <w:szCs w:val="21"/>
                <w:lang w:eastAsia="zh-CN"/>
              </w:rPr>
              <w:t>。</w:t>
            </w:r>
            <w:r>
              <w:rPr>
                <w:rFonts w:hint="eastAsia" w:ascii="宋体" w:hAnsi="宋体" w:cs="宋体"/>
                <w:color w:val="auto"/>
                <w:sz w:val="21"/>
                <w:szCs w:val="21"/>
              </w:rPr>
              <w:t>“★”均为实际响应要求，需按要求响应</w:t>
            </w:r>
            <w:r>
              <w:rPr>
                <w:rFonts w:hint="eastAsia" w:ascii="宋体" w:hAnsi="宋体" w:cs="宋体"/>
                <w:color w:val="auto"/>
                <w:sz w:val="21"/>
                <w:szCs w:val="21"/>
                <w:lang w:val="en-US" w:eastAsia="zh-CN"/>
              </w:rPr>
              <w:t>并</w:t>
            </w:r>
            <w:r>
              <w:rPr>
                <w:rFonts w:hint="eastAsia" w:ascii="宋体" w:hAnsi="宋体" w:cs="宋体"/>
                <w:color w:val="auto"/>
                <w:sz w:val="21"/>
                <w:szCs w:val="21"/>
              </w:rPr>
              <w:t>提供截图证明等文件，若有任意一项偏离，投标文件作否决投标处理。</w:t>
            </w:r>
          </w:p>
        </w:tc>
      </w:tr>
    </w:tbl>
    <w:p w14:paraId="7E6001A1">
      <w:pPr>
        <w:pStyle w:val="15"/>
        <w:rPr>
          <w:rFonts w:hint="eastAsia" w:ascii="宋体" w:hAnsi="宋体" w:eastAsia="宋体" w:cs="宋体"/>
          <w:b/>
          <w:bCs w:val="0"/>
          <w:color w:val="auto"/>
          <w:kern w:val="2"/>
          <w:sz w:val="24"/>
          <w:szCs w:val="24"/>
          <w:lang w:val="en-US" w:eastAsia="zh-CN" w:bidi="ar-SA"/>
        </w:rPr>
      </w:pPr>
    </w:p>
    <w:p w14:paraId="20F3C129">
      <w:pPr>
        <w:pStyle w:val="15"/>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（二）商务要求</w:t>
      </w:r>
    </w:p>
    <w:tbl>
      <w:tblPr>
        <w:tblStyle w:val="18"/>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8134"/>
      </w:tblGrid>
      <w:tr w14:paraId="648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468" w:type="dxa"/>
            <w:shd w:val="clear" w:color="auto" w:fill="auto"/>
            <w:vAlign w:val="center"/>
          </w:tcPr>
          <w:p w14:paraId="60133E2B">
            <w:pPr>
              <w:snapToGrid w:val="0"/>
              <w:spacing w:line="336" w:lineRule="exact"/>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1.供应商资质</w:t>
            </w:r>
          </w:p>
        </w:tc>
        <w:tc>
          <w:tcPr>
            <w:tcW w:w="8134" w:type="dxa"/>
            <w:shd w:val="clear" w:color="auto" w:fill="auto"/>
            <w:vAlign w:val="center"/>
          </w:tcPr>
          <w:p w14:paraId="3954397B">
            <w:pPr>
              <w:snapToGrid w:val="0"/>
              <w:spacing w:line="336" w:lineRule="exact"/>
              <w:rPr>
                <w:rFonts w:hint="eastAsia" w:asciiTheme="minorEastAsia" w:hAnsiTheme="minorEastAsia" w:eastAsiaTheme="minorEastAsia" w:cstheme="minorEastAsia"/>
                <w:b w:val="0"/>
                <w:bCs/>
                <w:color w:val="auto"/>
                <w:sz w:val="24"/>
                <w:szCs w:val="24"/>
                <w:lang w:val="en-US"/>
              </w:rPr>
            </w:pPr>
            <w:r>
              <w:rPr>
                <w:rFonts w:hint="eastAsia" w:asciiTheme="minorEastAsia" w:hAnsiTheme="minorEastAsia" w:eastAsiaTheme="minorEastAsia" w:cstheme="minorEastAsia"/>
                <w:color w:val="auto"/>
                <w:sz w:val="24"/>
                <w:szCs w:val="24"/>
              </w:rPr>
              <w:t>国内注册【依法在市场监督管理部门（或行政审批部门）登记注册】的，具</w:t>
            </w:r>
            <w:r>
              <w:rPr>
                <w:rFonts w:hint="eastAsia" w:asciiTheme="minorEastAsia" w:hAnsiTheme="minorEastAsia" w:eastAsiaTheme="minorEastAsia" w:cstheme="minorEastAsia"/>
                <w:color w:val="auto"/>
                <w:sz w:val="24"/>
                <w:szCs w:val="24"/>
                <w:lang w:val="en-US" w:eastAsia="zh-CN"/>
              </w:rPr>
              <w:t>备合法</w:t>
            </w:r>
            <w:r>
              <w:rPr>
                <w:rFonts w:hint="eastAsia" w:asciiTheme="minorEastAsia" w:hAnsiTheme="minorEastAsia" w:eastAsiaTheme="minorEastAsia" w:cstheme="minorEastAsia"/>
                <w:color w:val="auto"/>
                <w:sz w:val="24"/>
                <w:szCs w:val="24"/>
              </w:rPr>
              <w:t>资格的供应商</w:t>
            </w:r>
            <w:r>
              <w:rPr>
                <w:rFonts w:hint="eastAsia" w:asciiTheme="minorEastAsia" w:hAnsiTheme="minorEastAsia" w:eastAsiaTheme="minorEastAsia" w:cstheme="minorEastAsia"/>
                <w:color w:val="auto"/>
                <w:sz w:val="24"/>
                <w:szCs w:val="24"/>
                <w:lang w:eastAsia="zh-CN"/>
              </w:rPr>
              <w:t>。</w:t>
            </w:r>
          </w:p>
        </w:tc>
      </w:tr>
      <w:tr w14:paraId="02A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2468" w:type="dxa"/>
            <w:shd w:val="clear" w:color="auto" w:fill="auto"/>
            <w:vAlign w:val="center"/>
          </w:tcPr>
          <w:p w14:paraId="2A7CC117">
            <w:pPr>
              <w:snapToGrid w:val="0"/>
              <w:spacing w:line="336" w:lineRule="exact"/>
              <w:jc w:val="center"/>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提供免费技术培训</w:t>
            </w:r>
          </w:p>
          <w:p w14:paraId="2F957187">
            <w:pPr>
              <w:jc w:val="center"/>
              <w:rPr>
                <w:rFonts w:hint="eastAsia" w:asciiTheme="minorEastAsia" w:hAnsiTheme="minorEastAsia" w:eastAsiaTheme="minorEastAsia" w:cstheme="minorEastAsia"/>
                <w:b w:val="0"/>
                <w:bCs/>
                <w:color w:val="auto"/>
                <w:kern w:val="2"/>
                <w:sz w:val="24"/>
                <w:szCs w:val="24"/>
                <w:lang w:val="en-US" w:eastAsia="zh-CN" w:bidi="ar-SA"/>
              </w:rPr>
            </w:pPr>
          </w:p>
        </w:tc>
        <w:tc>
          <w:tcPr>
            <w:tcW w:w="8134" w:type="dxa"/>
            <w:shd w:val="clear" w:color="auto" w:fill="auto"/>
            <w:vAlign w:val="center"/>
          </w:tcPr>
          <w:p w14:paraId="6BC2C8E1">
            <w:pPr>
              <w:snapToGrid w:val="0"/>
              <w:spacing w:line="336" w:lineRule="exac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color w:val="auto"/>
                <w:sz w:val="24"/>
                <w:szCs w:val="24"/>
              </w:rPr>
              <w:t>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r>
      <w:tr w14:paraId="2B9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468" w:type="dxa"/>
            <w:shd w:val="clear" w:color="auto" w:fill="auto"/>
            <w:vAlign w:val="center"/>
          </w:tcPr>
          <w:p w14:paraId="59FDE80F">
            <w:pPr>
              <w:snapToGrid w:val="0"/>
              <w:spacing w:line="336" w:lineRule="exact"/>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交付地点</w:t>
            </w:r>
          </w:p>
        </w:tc>
        <w:tc>
          <w:tcPr>
            <w:tcW w:w="8134" w:type="dxa"/>
            <w:shd w:val="clear" w:color="auto" w:fill="auto"/>
            <w:vAlign w:val="center"/>
          </w:tcPr>
          <w:p w14:paraId="5F0D145C">
            <w:pPr>
              <w:snapToGrid w:val="0"/>
              <w:spacing w:line="336"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①交付期：自签订合同之日起</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rPr>
              <w:t>日历日内验收合格并交付采购人使用。</w:t>
            </w:r>
          </w:p>
          <w:p w14:paraId="4558604E">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rPr>
              <w:t>招标人指定地点。</w:t>
            </w:r>
          </w:p>
        </w:tc>
      </w:tr>
      <w:tr w14:paraId="09E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2468" w:type="dxa"/>
            <w:shd w:val="clear" w:color="auto" w:fill="auto"/>
            <w:vAlign w:val="center"/>
          </w:tcPr>
          <w:p w14:paraId="14358007">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付款方式</w:t>
            </w:r>
          </w:p>
        </w:tc>
        <w:tc>
          <w:tcPr>
            <w:tcW w:w="8134" w:type="dxa"/>
            <w:shd w:val="clear" w:color="auto" w:fill="auto"/>
            <w:vAlign w:val="center"/>
          </w:tcPr>
          <w:p w14:paraId="0AA83085">
            <w:pPr>
              <w:spacing w:line="360" w:lineRule="exact"/>
              <w:ind w:right="-55" w:rightChars="-26"/>
              <w:rPr>
                <w:rFonts w:hint="eastAsia" w:ascii="宋体" w:hAnsi="宋体" w:eastAsia="宋体" w:cs="宋体"/>
                <w:bCs/>
                <w:sz w:val="24"/>
                <w:szCs w:val="24"/>
              </w:rPr>
            </w:pPr>
            <w:r>
              <w:rPr>
                <w:rFonts w:hint="eastAsia" w:ascii="微软雅黑" w:hAnsi="微软雅黑" w:eastAsia="微软雅黑" w:cs="微软雅黑"/>
                <w:bCs/>
                <w:sz w:val="24"/>
                <w:szCs w:val="24"/>
              </w:rPr>
              <w:t>①</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color w:val="000000" w:themeColor="text1"/>
                <w:sz w:val="24"/>
                <w:u w:val="none"/>
                <w:lang w:val="en-US" w:eastAsia="zh-CN"/>
                <w14:textFill>
                  <w14:solidFill>
                    <w14:schemeClr w14:val="tx1"/>
                  </w14:solidFill>
                </w14:textFill>
              </w:rPr>
              <w:t>后</w:t>
            </w:r>
            <w:r>
              <w:rPr>
                <w:rFonts w:hint="eastAsia" w:ascii="宋体" w:hAnsi="宋体"/>
                <w:sz w:val="24"/>
              </w:rPr>
              <w:t>，</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日后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），一次性支付给乙方；合同总额中包含</w:t>
            </w:r>
            <w:r>
              <w:rPr>
                <w:rFonts w:hint="eastAsia" w:ascii="宋体" w:hAnsi="宋体"/>
                <w:sz w:val="24"/>
                <w:lang w:val="en-US" w:eastAsia="zh-CN"/>
              </w:rPr>
              <w:t>不少于</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hint="eastAsia" w:ascii="宋体" w:hAnsi="宋体"/>
                <w:sz w:val="24"/>
                <w:u w:val="single"/>
                <w:lang w:val="en-US" w:eastAsia="zh-CN"/>
              </w:rPr>
              <w:t>6</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6D54B2EF">
            <w:pPr>
              <w:snapToGrid w:val="0"/>
              <w:spacing w:line="336" w:lineRule="exact"/>
              <w:rPr>
                <w:rFonts w:hint="eastAsia" w:asciiTheme="minorEastAsia" w:hAnsiTheme="minorEastAsia" w:eastAsiaTheme="minorEastAsia" w:cstheme="minorEastAsia"/>
                <w:bCs/>
                <w:color w:val="auto"/>
                <w:sz w:val="24"/>
                <w:szCs w:val="24"/>
              </w:rPr>
            </w:pPr>
            <w:r>
              <w:rPr>
                <w:rFonts w:hint="eastAsia" w:ascii="微软雅黑" w:hAnsi="微软雅黑" w:eastAsia="微软雅黑" w:cs="微软雅黑"/>
                <w:bCs/>
                <w:sz w:val="24"/>
                <w:szCs w:val="24"/>
              </w:rPr>
              <w:t>②</w:t>
            </w:r>
            <w:r>
              <w:rPr>
                <w:rFonts w:hint="eastAsia" w:ascii="宋体" w:hAnsi="宋体" w:eastAsia="宋体" w:cs="宋体"/>
                <w:bCs/>
                <w:sz w:val="24"/>
                <w:szCs w:val="24"/>
              </w:rPr>
              <w:t>中标人申请款项时需同时开具正式足额发票给招标人，否则招标人可以拒绝付款。</w:t>
            </w:r>
          </w:p>
        </w:tc>
      </w:tr>
      <w:tr w14:paraId="76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2468" w:type="dxa"/>
            <w:shd w:val="clear" w:color="auto" w:fill="auto"/>
            <w:vAlign w:val="center"/>
          </w:tcPr>
          <w:p w14:paraId="5A00F4EB">
            <w:pPr>
              <w:snapToGrid w:val="0"/>
              <w:spacing w:line="336"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验收标准</w:t>
            </w:r>
          </w:p>
          <w:p w14:paraId="43726854">
            <w:pPr>
              <w:jc w:val="center"/>
              <w:rPr>
                <w:rFonts w:hint="eastAsia" w:asciiTheme="minorEastAsia" w:hAnsiTheme="minorEastAsia" w:eastAsiaTheme="minorEastAsia" w:cstheme="minorEastAsia"/>
                <w:b w:val="0"/>
                <w:bCs/>
                <w:color w:val="auto"/>
                <w:sz w:val="24"/>
                <w:szCs w:val="24"/>
              </w:rPr>
            </w:pPr>
          </w:p>
        </w:tc>
        <w:tc>
          <w:tcPr>
            <w:tcW w:w="8134" w:type="dxa"/>
            <w:shd w:val="clear" w:color="auto" w:fill="auto"/>
            <w:vAlign w:val="center"/>
          </w:tcPr>
          <w:p w14:paraId="550C8BFF">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微软雅黑" w:hAnsi="微软雅黑" w:eastAsia="微软雅黑" w:cs="微软雅黑"/>
                <w:color w:val="auto"/>
                <w:spacing w:val="-2"/>
                <w:sz w:val="24"/>
                <w:szCs w:val="24"/>
              </w:rPr>
              <w:t>①</w:t>
            </w:r>
            <w:r>
              <w:rPr>
                <w:rFonts w:hint="eastAsia" w:asciiTheme="minorEastAsia" w:hAnsiTheme="minorEastAsia" w:eastAsiaTheme="minorEastAsia" w:cstheme="minorEastAsia"/>
                <w:color w:val="auto"/>
                <w:spacing w:val="-2"/>
                <w:sz w:val="24"/>
                <w:szCs w:val="24"/>
              </w:rPr>
              <w:t>依据</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文件要求的采购需求、</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报价响应文件承诺以及国家现行相关标准、规范履行合同。</w:t>
            </w:r>
          </w:p>
          <w:p w14:paraId="760B6B7C">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微软雅黑" w:hAnsi="微软雅黑" w:eastAsia="微软雅黑" w:cs="微软雅黑"/>
                <w:color w:val="auto"/>
                <w:spacing w:val="-2"/>
                <w:sz w:val="24"/>
                <w:szCs w:val="24"/>
              </w:rPr>
              <w:t>②</w:t>
            </w:r>
            <w:r>
              <w:rPr>
                <w:rFonts w:hint="eastAsia" w:asciiTheme="minorEastAsia" w:hAnsiTheme="minorEastAsia" w:eastAsiaTheme="minorEastAsia" w:cstheme="minorEastAsia"/>
                <w:color w:val="auto"/>
                <w:spacing w:val="-2"/>
                <w:sz w:val="24"/>
                <w:szCs w:val="24"/>
              </w:rPr>
              <w:t>采购人依照国家相关法律法规及行业规定及询价文件要求</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报价响应文件承诺进行验收。</w:t>
            </w:r>
          </w:p>
        </w:tc>
      </w:tr>
      <w:tr w14:paraId="7384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468" w:type="dxa"/>
            <w:shd w:val="clear" w:color="auto" w:fill="auto"/>
            <w:vAlign w:val="center"/>
          </w:tcPr>
          <w:p w14:paraId="1AF9F7FE">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6.报价要求</w:t>
            </w:r>
          </w:p>
        </w:tc>
        <w:tc>
          <w:tcPr>
            <w:tcW w:w="8134" w:type="dxa"/>
            <w:shd w:val="clear" w:color="auto" w:fill="auto"/>
            <w:vAlign w:val="center"/>
          </w:tcPr>
          <w:p w14:paraId="28F1B5A5">
            <w:pPr>
              <w:widowControl/>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pacing w:val="-2"/>
                <w:sz w:val="24"/>
                <w:szCs w:val="24"/>
              </w:rPr>
              <w:t>本项目采用综合单价方式报价，综合单价应综合考虑完成本项目产生的所有成本、税金及合理利润，具体包含但不限于完成采购标的包含的所有人工费用、差旅费、交通费、故障诊断费</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培训费、保险、税金、利润等所有成本费用。在合同实施时，采购人将不予支付完成本项目必须的但成交人没有列入的费用，并认为此费用已包括在报价中。</w:t>
            </w:r>
          </w:p>
        </w:tc>
      </w:tr>
      <w:tr w14:paraId="497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68" w:type="dxa"/>
            <w:shd w:val="clear" w:color="auto" w:fill="auto"/>
            <w:vAlign w:val="center"/>
          </w:tcPr>
          <w:p w14:paraId="127B986E">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7.最高限价</w:t>
            </w:r>
          </w:p>
        </w:tc>
        <w:tc>
          <w:tcPr>
            <w:tcW w:w="8134" w:type="dxa"/>
            <w:shd w:val="clear" w:color="auto" w:fill="auto"/>
            <w:vAlign w:val="center"/>
          </w:tcPr>
          <w:p w14:paraId="368C8CED">
            <w:pPr>
              <w:widowControl/>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pacing w:val="-2"/>
                <w:sz w:val="24"/>
                <w:szCs w:val="24"/>
              </w:rPr>
              <w:t>本项目预算金额为</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lang w:val="en-US" w:eastAsia="zh-CN"/>
              </w:rPr>
              <w:t>叁拾玖万贰仟元</w:t>
            </w:r>
            <w:r>
              <w:rPr>
                <w:rFonts w:hint="eastAsia" w:asciiTheme="minorEastAsia" w:hAnsiTheme="minorEastAsia" w:eastAsiaTheme="minorEastAsia" w:cstheme="minorEastAsia"/>
                <w:color w:val="auto"/>
                <w:sz w:val="24"/>
                <w:szCs w:val="24"/>
              </w:rPr>
              <w:t>整（¥</w:t>
            </w:r>
            <w:r>
              <w:rPr>
                <w:rFonts w:hint="eastAsia" w:asciiTheme="minorEastAsia" w:hAnsiTheme="minorEastAsia" w:eastAsiaTheme="minorEastAsia" w:cstheme="minorEastAsia"/>
                <w:color w:val="auto"/>
                <w:sz w:val="24"/>
                <w:szCs w:val="24"/>
                <w:lang w:val="en-US" w:eastAsia="zh-CN"/>
              </w:rPr>
              <w:t>392000.00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报价超出参考预算金额的，按无效处理。</w:t>
            </w:r>
          </w:p>
        </w:tc>
      </w:tr>
      <w:tr w14:paraId="629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468" w:type="dxa"/>
            <w:shd w:val="clear" w:color="auto" w:fill="auto"/>
            <w:vAlign w:val="center"/>
          </w:tcPr>
          <w:p w14:paraId="4C02CDB2">
            <w:pPr>
              <w:jc w:val="center"/>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zh-CN"/>
              </w:rPr>
              <w:t>其他要求</w:t>
            </w:r>
          </w:p>
        </w:tc>
        <w:tc>
          <w:tcPr>
            <w:tcW w:w="8134" w:type="dxa"/>
            <w:shd w:val="clear" w:color="auto" w:fill="auto"/>
            <w:vAlign w:val="center"/>
          </w:tcPr>
          <w:p w14:paraId="2B82B182">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z w:val="24"/>
                <w:szCs w:val="24"/>
              </w:rPr>
              <w:t>本项目所提供的软件必须具有合法的版权或使用权，如在本项目范围内使用过程中出现版权或使用权纠纷，应由中标人负责</w:t>
            </w:r>
            <w:r>
              <w:rPr>
                <w:rFonts w:hint="eastAsia" w:asciiTheme="minorEastAsia" w:hAnsiTheme="minorEastAsia" w:eastAsiaTheme="minorEastAsia" w:cstheme="minorEastAsia"/>
                <w:color w:val="auto"/>
                <w:sz w:val="24"/>
                <w:szCs w:val="24"/>
                <w:lang w:eastAsia="zh-CN"/>
              </w:rPr>
              <w:t>。</w:t>
            </w:r>
          </w:p>
        </w:tc>
      </w:tr>
    </w:tbl>
    <w:p w14:paraId="11FB9C26">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四、合同主要条款</w:t>
      </w:r>
    </w:p>
    <w:p w14:paraId="63EF5DF0">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u w:val="single"/>
        </w:rPr>
        <w:t xml:space="preserve">桂林市人民医院  </w:t>
      </w:r>
    </w:p>
    <w:p w14:paraId="70F3A93C">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注册地址：广西桂林市象山区文明路12号</w:t>
      </w:r>
    </w:p>
    <w:p w14:paraId="4EB055F6">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p>
    <w:p w14:paraId="5DDE9F3F">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rPr>
        <w:t xml:space="preserve">             </w:t>
      </w:r>
    </w:p>
    <w:p w14:paraId="40902EC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rPr>
        <w:t xml:space="preserve">              </w:t>
      </w:r>
    </w:p>
    <w:p w14:paraId="765F113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通讯地址：广西桂林市象山区文明路12号桂林市人民医院</w:t>
      </w:r>
    </w:p>
    <w:p w14:paraId="38240FB2">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p>
    <w:p w14:paraId="5A7AF9CD">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u w:val="single"/>
        </w:rPr>
        <w:t xml:space="preserve">                 </w:t>
      </w:r>
    </w:p>
    <w:p w14:paraId="3ACE1B0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r>
        <w:rPr>
          <w:rFonts w:hint="eastAsia" w:asciiTheme="minorEastAsia" w:hAnsiTheme="minorEastAsia" w:eastAsiaTheme="minorEastAsia" w:cstheme="minorEastAsia"/>
          <w:color w:val="auto"/>
          <w:sz w:val="24"/>
          <w:szCs w:val="24"/>
          <w:u w:val="single"/>
        </w:rPr>
        <w:t xml:space="preserve">                                       </w:t>
      </w:r>
    </w:p>
    <w:p w14:paraId="0FEF57BA">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p>
    <w:p w14:paraId="6C0523EE">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rPr>
        <w:t xml:space="preserve">           </w:t>
      </w:r>
    </w:p>
    <w:p w14:paraId="1C40457E">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联系电话： </w:t>
      </w:r>
      <w:r>
        <w:rPr>
          <w:rFonts w:hint="eastAsia" w:asciiTheme="minorEastAsia" w:hAnsiTheme="minorEastAsia" w:eastAsiaTheme="minorEastAsia" w:cstheme="minorEastAsia"/>
          <w:color w:val="auto"/>
          <w:sz w:val="24"/>
          <w:szCs w:val="24"/>
          <w:u w:val="single"/>
        </w:rPr>
        <w:t xml:space="preserve">             </w:t>
      </w:r>
    </w:p>
    <w:p w14:paraId="68B6B921">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通讯地址： </w:t>
      </w:r>
      <w:r>
        <w:rPr>
          <w:rFonts w:hint="eastAsia" w:asciiTheme="minorEastAsia" w:hAnsiTheme="minorEastAsia" w:eastAsiaTheme="minorEastAsia" w:cstheme="minorEastAsia"/>
          <w:color w:val="auto"/>
          <w:sz w:val="24"/>
          <w:szCs w:val="24"/>
          <w:u w:val="single"/>
          <w:shd w:val="clear" w:color="auto" w:fill="FFFFFF"/>
        </w:rPr>
        <w:t xml:space="preserve">                                         </w:t>
      </w:r>
    </w:p>
    <w:p w14:paraId="44E9165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根据《中华人民共和国民法典》及其他有关法律、法规，经甲、乙双方协商一致，就乙方向甲方提供以下软件产品一事签署本合同如下：</w:t>
      </w:r>
    </w:p>
    <w:p w14:paraId="3D0A919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合同标的</w:t>
      </w:r>
    </w:p>
    <w:p w14:paraId="597F6DF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08A9C9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软件总价：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元整）</w:t>
      </w:r>
    </w:p>
    <w:p w14:paraId="3E6C6D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结算资金来源：自有资金</w:t>
      </w:r>
    </w:p>
    <w:p w14:paraId="68955C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全部软件功能模块及价格清单详见本协议附件一。</w:t>
      </w:r>
    </w:p>
    <w:p w14:paraId="546A6B6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产品使用范围</w:t>
      </w:r>
    </w:p>
    <w:p w14:paraId="11A7C9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甲方采购乙方软件产品的用途为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CE4679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甲方仅可以在本院范围内使用乙方产品。如果甲方需要在超出本合同规定的使用范围以外使用乙方产品，应向乙方提出书面申请，并由双方另行签署合同或补充协议。</w:t>
      </w:r>
    </w:p>
    <w:p w14:paraId="116733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甲方权利义务</w:t>
      </w:r>
    </w:p>
    <w:p w14:paraId="3F3428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甲方应按乙方要求提供合同所规定的软件产品所需的硬件设备及硬件、网络环境，并有责任为乙方安装、调试及培训提供便利的工作条件。</w:t>
      </w:r>
    </w:p>
    <w:p w14:paraId="4F125DC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甲方有责任为乙方的安装工作进行内部各部门、各营业部的协调，调动相关资源。</w:t>
      </w:r>
    </w:p>
    <w:p w14:paraId="0EA504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 产品交付”的约定时间正常交付，则甲乙双方约定在原有交付约定时间基础上顺延。</w:t>
      </w:r>
    </w:p>
    <w:p w14:paraId="6BB7B2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甲方应按照本协议规定的时间按时足额的向乙方支付相关费用。</w:t>
      </w:r>
    </w:p>
    <w:p w14:paraId="0159F8D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非因产品质量问题或交付产品与合同规定不符的，甲方不得退回产品。</w:t>
      </w:r>
    </w:p>
    <w:p w14:paraId="73ACFA3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甲方应当按乙方所提供的相关软件的操作手册进行操作，以确保软件产品运行安全可靠。</w:t>
      </w:r>
    </w:p>
    <w:p w14:paraId="4E09131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第四条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乙方权利义务</w:t>
      </w:r>
    </w:p>
    <w:p w14:paraId="4D2D197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乙方承诺本合同软件由原厂商供应并完全符合厂商规定的质量、规格、性能及标准，乙方并保证本合同软件在正确安装、正常使用和维护的情况下运行良好。</w:t>
      </w:r>
    </w:p>
    <w:p w14:paraId="5636BD1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乙方承诺以上软件产品系经严格测试、成熟稳定、无病毒及重大缺陷的软件产品。</w:t>
      </w:r>
    </w:p>
    <w:p w14:paraId="0D01643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乙方承诺以上软件产品符合网络安全等级保护三级相关技术规范和要求，若不满足，乙方免费升级优化，直至满足。</w:t>
      </w:r>
    </w:p>
    <w:p w14:paraId="096F512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乙方承诺以上软件产品无任何著作权归属的纠纷，并承诺以上产品皆为可执行的软件产品，未在其中设置任何妨碍软件正常运行的限制措施。</w:t>
      </w:r>
    </w:p>
    <w:p w14:paraId="0E89FD1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乙方应为甲方提供相关软件产品及相应的技术文档，包含规格说明书、操作手册、项目实施文档、项目过程资产文档等，有责任对甲方相关人员进行管理、操作、使用及技术培训。</w:t>
      </w:r>
    </w:p>
    <w:p w14:paraId="5EBF621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乙方以优惠价格向甲方提供软件产品的版本升级服务，具体价款等内容由甲、乙双方协商后签署补充协议或服务协议。</w:t>
      </w:r>
    </w:p>
    <w:p w14:paraId="6F22635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乙方为甲方提供免费培训服务，以确保甲方人员能熟练使用和操作该产品。</w:t>
      </w:r>
    </w:p>
    <w:p w14:paraId="154AFFA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以上软件产品在项目实施及维护期间，乙方免费向第三方提供接口。</w:t>
      </w:r>
    </w:p>
    <w:p w14:paraId="793DFF0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乙方需安排符合甲方要求的项目人员到场进行项目管理和实施，如项目人员发生变动或离场的需提前一周先甲方申请，甲方认可后方允许变更或离场。 </w:t>
      </w:r>
    </w:p>
    <w:p w14:paraId="69EF7A9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5A6DC88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  产品交付</w:t>
      </w:r>
    </w:p>
    <w:p w14:paraId="40B379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交付时间：乙方应于合同签订后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个工作日内向甲方交付产品，产品以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为载体。</w:t>
      </w:r>
    </w:p>
    <w:p w14:paraId="404536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交付地点：桂林市</w:t>
      </w:r>
    </w:p>
    <w:p w14:paraId="3A44693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接收人名称：桂林市人民医院</w:t>
      </w:r>
    </w:p>
    <w:p w14:paraId="6D85BA2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地址：广西桂林市象山区文明路12号</w:t>
      </w:r>
    </w:p>
    <w:p w14:paraId="3E441D9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p>
    <w:p w14:paraId="56305AE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rPr>
        <w:tab/>
      </w:r>
    </w:p>
    <w:p w14:paraId="181C7EC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验收标准和方式</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p>
    <w:p w14:paraId="1839565E">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验收标准：产品验收范围应严格依据本合同及附件所界定的内容进行，验收合格与否应以附件《产品功能明细表》为验收标准。</w:t>
      </w:r>
    </w:p>
    <w:p w14:paraId="6AB30A18">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项目上线：完成系统全部功能模块安装部署并完成试运行，乙方完成用户培训，用户开始正常使用系统后，乙方提交项目上线报告，甲乙双方共同签署确认。</w:t>
      </w:r>
    </w:p>
    <w:p w14:paraId="71973287">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验收方式：在项目正式上线后，连续运行且无故障出现达到60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10个工作日内组织验收或提出修改意见。</w:t>
      </w:r>
    </w:p>
    <w:p w14:paraId="507A4FE4">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甲方接到验收报告后10个工作日内无正当理由不组织验收，且不能提出修改意见，则视作验收报告已被批准，甲方即应给乙方办理结算手续。</w:t>
      </w:r>
    </w:p>
    <w:p w14:paraId="7F57B890">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如验收不合格，乙方应当在收到甲方书面通知之日起 10 日内对系统进行修改完善直至合格，该情形不视为乙方逾期违约，并由双方约定新的验收时间重新进行验收。</w:t>
      </w:r>
    </w:p>
    <w:p w14:paraId="63506B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维保到期后，需提交《质保期到期验收单》方可提出质保申请。</w:t>
      </w:r>
    </w:p>
    <w:p w14:paraId="1F2EF7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第七条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货款支付</w:t>
      </w:r>
    </w:p>
    <w:p w14:paraId="6A4A19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ascii="宋体" w:hAnsi="宋体"/>
          <w:sz w:val="24"/>
        </w:rPr>
        <w:t>1</w:t>
      </w:r>
      <w:r>
        <w:rPr>
          <w:rFonts w:hint="eastAsia" w:ascii="宋体" w:hAnsi="宋体"/>
          <w:sz w:val="24"/>
          <w:lang w:val="en-US" w:eastAsia="zh-CN"/>
        </w:rPr>
        <w:t>.</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日后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一次性支付给乙方；合同总额中包含</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60CDFA8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乙方开户银行名称、地址和账号为：</w:t>
      </w:r>
    </w:p>
    <w:p w14:paraId="5910559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u w:val="single"/>
        </w:rPr>
        <w:t xml:space="preserve">                        </w:t>
      </w:r>
    </w:p>
    <w:p w14:paraId="62B0988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u w:val="single"/>
        </w:rPr>
        <w:t xml:space="preserve">                    </w:t>
      </w:r>
    </w:p>
    <w:p w14:paraId="2BD8A45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r>
        <w:rPr>
          <w:rFonts w:hint="eastAsia" w:asciiTheme="minorEastAsia" w:hAnsiTheme="minorEastAsia" w:eastAsiaTheme="minorEastAsia" w:cstheme="minorEastAsia"/>
          <w:color w:val="auto"/>
          <w:sz w:val="24"/>
          <w:szCs w:val="24"/>
          <w:u w:val="single"/>
        </w:rPr>
        <w:t xml:space="preserve">                         </w:t>
      </w:r>
    </w:p>
    <w:p w14:paraId="3124D4D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甲方开票信息：</w:t>
      </w:r>
    </w:p>
    <w:p w14:paraId="6D067A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名称：桂林市人民医院</w:t>
      </w:r>
    </w:p>
    <w:p w14:paraId="2C9EE8A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信用代码：12450300498668197M</w:t>
      </w:r>
    </w:p>
    <w:p w14:paraId="674FC8E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：广西桂林市文明路12号</w:t>
      </w:r>
    </w:p>
    <w:p w14:paraId="7ADAF9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开户行：桂林银行文明路支行</w:t>
      </w:r>
    </w:p>
    <w:p w14:paraId="3DB288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帐号：660012017474300020</w:t>
      </w:r>
    </w:p>
    <w:p w14:paraId="0529D3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第八条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售后服务</w:t>
      </w:r>
    </w:p>
    <w:p w14:paraId="30A313D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乙方承诺对甲方提供电话技术支持及远程维护服务</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人员驻场技术支持服务。</w:t>
      </w:r>
    </w:p>
    <w:p w14:paraId="7B3DDA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如乙方提供电话技术支持及远程维护服务的，每年应提供</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次现场巡检服务，并出具巡检报告。当出现短时间不能解决的系统重大事故时，乙方相应技术支持人员应当在24小时内进行现场处理。</w:t>
      </w:r>
    </w:p>
    <w:p w14:paraId="0EF9280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乙方承诺在项目维护期间，故障问题响应时间不超过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分钟/小时，一般软件问题处理时长不超过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小时/工作日，重大故障问题处理时长不超过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小时。</w:t>
      </w:r>
    </w:p>
    <w:p w14:paraId="07828BB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对于甲方在使用乙方相关软件产品过程中产生的个性化需求及由此产生的定制化开发要求，甲方应向乙方售后服务机构提出，乙方应及时给以评估和答复，必要时另行立项开发并签署相关协议。</w:t>
      </w:r>
    </w:p>
    <w:p w14:paraId="36368AC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从合同涉及的软件产品投入使用之日起，因甲方自身原因造成系统不能正常运行，要求乙方提供服务，乙方所产生的费用由甲方承担。</w:t>
      </w:r>
    </w:p>
    <w:p w14:paraId="6577B17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非乙方产品和服务本身引发的产品问题不在本合同的售后服务范围之内，包括但不限于：(</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)甲方未按使用规范使用乙方产品（包括操作失误、恶意删改数据等）；(</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)未经乙方同意，甲方或者第三方对乙方产品进行了任何方式的修改，或者与第三方软件产品合并使用；（</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）由于甲方原因（包括操作失误）或第三方产品的瑕疵或故障、甲方使用的硬件或网络出错或遭遇计算机病毒侵犯而导致系统瘫痪等。</w:t>
      </w:r>
    </w:p>
    <w:p w14:paraId="3BDFF7A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第九条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知识产权</w:t>
      </w:r>
    </w:p>
    <w:p w14:paraId="1A2C77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乙方承诺拥有本合同第一条所述的软件产品的完整的知识产权或合法的转售权。对于由乙方提供的计算机软件和程序，甲方被授予不可转让的、非独家的使用权。</w:t>
      </w:r>
    </w:p>
    <w:p w14:paraId="36FE59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对乙方提供的技术资料，甲方应负责保密并保证以本合同约定的方式使用，甲方的此项责任并不因本合同的终止及无效而解除。</w:t>
      </w:r>
    </w:p>
    <w:p w14:paraId="56BABBF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乙方对合同涉及的软件产品及相关文档拥有独立版权。甲方不得许可第三方使用或作他用，并不得向第三方公开及转让。</w:t>
      </w:r>
    </w:p>
    <w:p w14:paraId="54CAB4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甲方不得自行复制、仿制相关软件产品，并不得使用于本合同未涉及的其它地点。</w:t>
      </w:r>
    </w:p>
    <w:p w14:paraId="7F801E2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甲方不得对软件自行修改，对修改后软件的使用效果乙方不作质量保证，并且甲方亦不得向任何第三方提供修改后的版本。</w:t>
      </w:r>
    </w:p>
    <w:p w14:paraId="7112FCE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违约责任</w:t>
      </w:r>
    </w:p>
    <w:p w14:paraId="007C8E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甲方逾期付款，每逾期一日应支付乙方逾期总额2‰（千分之二）的违约金，违约金总额不超过合同总额的30%（百分之三十）。</w:t>
      </w:r>
    </w:p>
    <w:p w14:paraId="457645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乙方逾期交付产品，每逾期一日应支付甲方合同总额2‰（千分之二）的违约金，违约金总额不超过合同总额的30%（百分之三十）。逾期20天乙方仍未交货，甲方有权单方面取消合同。</w:t>
      </w:r>
    </w:p>
    <w:p w14:paraId="6554AD1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本合同软件产品实现的功能及性能以附件所载功能为准。对甲方不按技术规范操作、甲方软硬件问题、第三方软件问题等非本合同软件产品的原因而造成的甲方损失，乙方不承担任何违约责任和赔偿责任。</w:t>
      </w:r>
    </w:p>
    <w:p w14:paraId="7C80569D">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因乙方产品质量问题造成的甲方损失，由乙方承担违约责任，每次应支付甲方合同应付金额的2%（百分之二）的违约金，违约金总额不超过合同总额的10%（百分之十）。如对甲方造成损失，乙方负责赔偿。</w:t>
      </w:r>
    </w:p>
    <w:p w14:paraId="6287C56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甲方违反本协议关于版权保护的条款，对乙方提供的软件产品进行的任何的侵害性的行为给乙方造成损失的，乙方有权就损失部分要求甲方赔偿。</w:t>
      </w:r>
    </w:p>
    <w:p w14:paraId="0DAC46A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宋体" w:hAnsi="宋体" w:eastAsia="宋体" w:cs="宋体"/>
          <w:color w:val="000000"/>
          <w:kern w:val="0"/>
          <w:sz w:val="24"/>
          <w:szCs w:val="24"/>
          <w:lang w:val="en-US" w:eastAsia="zh-CN" w:bidi="ar"/>
        </w:rPr>
        <w:t>乙方没有按约定派驻人员，每人次支付合同总额 2‰（千分之二）的违约金。</w:t>
      </w:r>
    </w:p>
    <w:p w14:paraId="251F26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乙方不按售后服务条款执行，每次扣除质保金的30%。</w:t>
      </w:r>
    </w:p>
    <w:p w14:paraId="12CDAEE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8.乙方应该开具真实的发票，一旦查出发票作假，甲方有权解除协议并且甲方有权利不支付该笔发票款项。</w:t>
      </w:r>
    </w:p>
    <w:p w14:paraId="3711C8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第十一条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保密</w:t>
      </w:r>
    </w:p>
    <w:p w14:paraId="4035DF7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6DC9B7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第十二条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联系</w:t>
      </w:r>
    </w:p>
    <w:p w14:paraId="6E979E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根据本合同需要一方向另一方发出的全部通知以及双方的文件往来及与本合同有关的通知和要求等，必须用书面形式（含电子邮件），书面方式无法送达的，方可采取公告送达的方式。</w:t>
      </w:r>
    </w:p>
    <w:p w14:paraId="49A5486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一方变更本合同所载联系信息地址，应自变更之日起</w:t>
      </w:r>
      <w:r>
        <w:rPr>
          <w:rFonts w:hint="eastAsia" w:asciiTheme="minorEastAsia" w:hAnsiTheme="minorEastAsia" w:eastAsiaTheme="minorEastAsia" w:cstheme="minorEastAsia"/>
          <w:color w:val="auto"/>
          <w:sz w:val="24"/>
          <w:szCs w:val="24"/>
          <w:u w:val="single"/>
        </w:rPr>
        <w:t xml:space="preserve">   7   </w:t>
      </w:r>
      <w:r>
        <w:rPr>
          <w:rFonts w:hint="eastAsia" w:asciiTheme="minorEastAsia" w:hAnsiTheme="minorEastAsia" w:eastAsiaTheme="minorEastAsia" w:cstheme="minorEastAsia"/>
          <w:color w:val="auto"/>
          <w:sz w:val="24"/>
          <w:szCs w:val="24"/>
        </w:rPr>
        <w:t>日内，以书面形式通知对方；否则，由未通知方承担由此而引起的相关责任。</w:t>
      </w:r>
    </w:p>
    <w:p w14:paraId="64D7C06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第十三条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争议的处理方式</w:t>
      </w:r>
    </w:p>
    <w:p w14:paraId="43FC3A1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对于因本合同的解释及执行而产生之争议，应首先由双方通过友好协商或经由中立之第三方调解来解决。如争议未能于前述方式在开始协商后30日内解决，则任何一方可向甲方所在地人民法院提起诉讼。</w:t>
      </w:r>
    </w:p>
    <w:p w14:paraId="3E4D00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第十四条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其他</w:t>
      </w:r>
    </w:p>
    <w:p w14:paraId="2B0ED80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本合同未尽事宜，依照有关法律、法规执行，法律、法规未作规定的，甲乙双方可以达成书面补充合同。本合同的附件和补充合同均为本合同不可分割的组成部分，与本合同具有同等的法律效力。</w:t>
      </w:r>
    </w:p>
    <w:p w14:paraId="7381B9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52AC44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本合同自双方签字、盖章之日起生效。</w:t>
      </w:r>
    </w:p>
    <w:p w14:paraId="35C55A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本协议壹式伍份，甲方执叁份，乙方执贰份，具有同等法律效力。</w:t>
      </w:r>
    </w:p>
    <w:p w14:paraId="6F3EE4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本合同的附件一软件产品功能列表清单、附件二软件验收满意度调查表，为本合同不可分割的组成部分，与本合同具有同等的法律效力。</w:t>
      </w:r>
    </w:p>
    <w:p w14:paraId="62EE4E4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auto"/>
          <w:sz w:val="24"/>
          <w:szCs w:val="24"/>
          <w:lang w:val="en-US" w:eastAsia="zh-CN"/>
        </w:rPr>
      </w:pPr>
    </w:p>
    <w:p w14:paraId="0A1D09F1">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3977863B">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32A5326D">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甲方（盖章）：桂林市人民医院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乙方（盖章）： </w:t>
      </w:r>
    </w:p>
    <w:p w14:paraId="5245B530">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78A084A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法定代表人或授权代表（签字）：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法定代表人或授权代表（签字）：　</w:t>
      </w:r>
    </w:p>
    <w:p w14:paraId="0665067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p>
    <w:p w14:paraId="5EEAB2C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p>
    <w:p w14:paraId="7C109A5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w w:val="95"/>
          <w:sz w:val="30"/>
          <w:szCs w:val="30"/>
        </w:rPr>
      </w:pPr>
      <w:r>
        <w:rPr>
          <w:rFonts w:hint="eastAsia" w:asciiTheme="minorEastAsia" w:hAnsiTheme="minorEastAsia" w:eastAsiaTheme="minorEastAsia" w:cstheme="minorEastAsia"/>
          <w:color w:val="auto"/>
          <w:sz w:val="24"/>
          <w:szCs w:val="24"/>
        </w:rPr>
        <w:t xml:space="preserve">日期：    年    月    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    年    月    </w:t>
      </w:r>
    </w:p>
    <w:p w14:paraId="52EB93BD">
      <w:pPr>
        <w:pStyle w:val="2"/>
        <w:spacing w:line="400" w:lineRule="exact"/>
        <w:ind w:left="0" w:firstLine="3148" w:firstLineChars="1100"/>
        <w:rPr>
          <w:rFonts w:hint="eastAsia"/>
          <w:w w:val="95"/>
          <w:sz w:val="30"/>
          <w:szCs w:val="30"/>
        </w:rPr>
      </w:pPr>
    </w:p>
    <w:p w14:paraId="08C12C72">
      <w:pPr>
        <w:pStyle w:val="2"/>
        <w:spacing w:line="400" w:lineRule="exact"/>
        <w:ind w:left="0" w:firstLine="3148" w:firstLineChars="1100"/>
        <w:rPr>
          <w:rFonts w:hint="eastAsia"/>
          <w:w w:val="95"/>
          <w:sz w:val="30"/>
          <w:szCs w:val="30"/>
        </w:rPr>
      </w:pPr>
    </w:p>
    <w:p w14:paraId="54609236">
      <w:pPr>
        <w:pStyle w:val="2"/>
        <w:spacing w:line="400" w:lineRule="exact"/>
        <w:ind w:left="0" w:firstLine="3148" w:firstLineChars="1100"/>
        <w:rPr>
          <w:rFonts w:hint="eastAsia"/>
          <w:w w:val="95"/>
          <w:sz w:val="30"/>
          <w:szCs w:val="30"/>
        </w:rPr>
      </w:pPr>
    </w:p>
    <w:p w14:paraId="1FFE79FA">
      <w:pPr>
        <w:pStyle w:val="2"/>
        <w:spacing w:line="400" w:lineRule="exact"/>
        <w:ind w:left="0" w:firstLine="3148" w:firstLineChars="1100"/>
        <w:rPr>
          <w:rFonts w:hint="eastAsia"/>
          <w:w w:val="95"/>
          <w:sz w:val="30"/>
          <w:szCs w:val="30"/>
        </w:rPr>
      </w:pPr>
    </w:p>
    <w:p w14:paraId="72C8DE5D">
      <w:pPr>
        <w:pStyle w:val="2"/>
        <w:spacing w:line="400" w:lineRule="exact"/>
        <w:ind w:left="0" w:firstLine="3148" w:firstLineChars="1100"/>
        <w:rPr>
          <w:rFonts w:hint="eastAsia"/>
          <w:w w:val="95"/>
          <w:sz w:val="30"/>
          <w:szCs w:val="30"/>
        </w:rPr>
      </w:pPr>
    </w:p>
    <w:p w14:paraId="73F6B86B">
      <w:pPr>
        <w:pStyle w:val="2"/>
        <w:spacing w:line="400" w:lineRule="exact"/>
        <w:ind w:left="0" w:firstLine="3148" w:firstLineChars="1100"/>
        <w:rPr>
          <w:rFonts w:hint="eastAsia"/>
          <w:w w:val="95"/>
          <w:sz w:val="30"/>
          <w:szCs w:val="30"/>
        </w:rPr>
      </w:pPr>
    </w:p>
    <w:p w14:paraId="395C5529">
      <w:pPr>
        <w:pStyle w:val="2"/>
        <w:spacing w:line="400" w:lineRule="exact"/>
        <w:ind w:left="0" w:firstLine="3148" w:firstLineChars="1100"/>
        <w:rPr>
          <w:rFonts w:hint="eastAsia"/>
          <w:w w:val="95"/>
          <w:sz w:val="30"/>
          <w:szCs w:val="30"/>
        </w:rPr>
      </w:pPr>
    </w:p>
    <w:p w14:paraId="6645EC9C">
      <w:pPr>
        <w:pStyle w:val="2"/>
        <w:spacing w:line="400" w:lineRule="exact"/>
        <w:ind w:left="0" w:leftChars="0" w:firstLine="0" w:firstLineChars="0"/>
        <w:rPr>
          <w:rFonts w:hint="eastAsia"/>
          <w:w w:val="95"/>
          <w:sz w:val="30"/>
          <w:szCs w:val="30"/>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tbl>
      <w:tblPr>
        <w:tblStyle w:val="18"/>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90"/>
        <w:gridCol w:w="7027"/>
        <w:gridCol w:w="1101"/>
      </w:tblGrid>
      <w:tr w14:paraId="1B12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3C57CE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990" w:type="dxa"/>
            <w:vAlign w:val="center"/>
          </w:tcPr>
          <w:p w14:paraId="32C5F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7028" w:type="dxa"/>
            <w:vAlign w:val="center"/>
          </w:tcPr>
          <w:p w14:paraId="50D3B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1101" w:type="dxa"/>
            <w:vAlign w:val="center"/>
          </w:tcPr>
          <w:p w14:paraId="50B056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最高分值</w:t>
            </w:r>
          </w:p>
        </w:tc>
      </w:tr>
      <w:tr w14:paraId="4610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jc w:val="center"/>
        </w:trPr>
        <w:tc>
          <w:tcPr>
            <w:tcW w:w="870" w:type="dxa"/>
            <w:vAlign w:val="center"/>
          </w:tcPr>
          <w:p w14:paraId="3E0661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90" w:type="dxa"/>
            <w:vAlign w:val="center"/>
          </w:tcPr>
          <w:p w14:paraId="5D139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价格分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35分）</w:t>
            </w:r>
          </w:p>
        </w:tc>
        <w:tc>
          <w:tcPr>
            <w:tcW w:w="7028" w:type="dxa"/>
            <w:vAlign w:val="center"/>
          </w:tcPr>
          <w:p w14:paraId="5F9E8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报价评分采用低价优先法计算，即满足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文件要求且最低报价为评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基准价，其价格分为满分。其他</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人的报价分数统一按照下列公式计算：报价得分=(评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p w14:paraId="07CCE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spacing w:val="-2"/>
                <w:sz w:val="21"/>
                <w:szCs w:val="21"/>
              </w:rPr>
              <w:t>供应商报价超出参考预算金额的</w:t>
            </w:r>
            <w:r>
              <w:rPr>
                <w:rFonts w:hint="eastAsia" w:ascii="宋体" w:hAnsi="宋体" w:eastAsia="宋体" w:cs="宋体"/>
                <w:color w:val="auto"/>
                <w:sz w:val="21"/>
                <w:szCs w:val="21"/>
                <w:highlight w:val="none"/>
              </w:rPr>
              <w:t>为无效报价；</w:t>
            </w:r>
          </w:p>
          <w:p w14:paraId="0D4436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000000"/>
                <w:sz w:val="21"/>
                <w:szCs w:val="21"/>
                <w:lang w:bidi="ar"/>
              </w:rPr>
            </w:pPr>
            <w:r>
              <w:rPr>
                <w:rFonts w:hint="eastAsia" w:ascii="宋体" w:hAnsi="宋体" w:eastAsia="宋体" w:cs="宋体"/>
                <w:color w:val="auto"/>
                <w:sz w:val="21"/>
                <w:szCs w:val="21"/>
                <w:highlight w:val="none"/>
              </w:rPr>
              <w:t>（2）为了遏制恶意竞标，确保采购需求和科学择优，依据财政部令第87号文件第六十条规定，评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委员会认为</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人的报价明显低于其他通过符合性审查</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人的报价，有可能影响产品质量或者不能诚信履约的，必须在评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现场合理的时间内提供成本构成说明、相关证明材料原件、保证按</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文件服务内容及要求提供服务的承诺书。否则按无效</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处理。</w:t>
            </w:r>
          </w:p>
        </w:tc>
        <w:tc>
          <w:tcPr>
            <w:tcW w:w="1101" w:type="dxa"/>
            <w:vAlign w:val="center"/>
          </w:tcPr>
          <w:p w14:paraId="3B754C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r w14:paraId="1BD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70" w:type="dxa"/>
            <w:vMerge w:val="restart"/>
            <w:vAlign w:val="center"/>
          </w:tcPr>
          <w:p w14:paraId="6A1E6A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90" w:type="dxa"/>
            <w:vMerge w:val="restart"/>
            <w:vAlign w:val="center"/>
          </w:tcPr>
          <w:p w14:paraId="14232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cs="宋体"/>
                <w:sz w:val="21"/>
                <w:szCs w:val="21"/>
                <w:highlight w:val="none"/>
                <w:lang w:val="en-US" w:eastAsia="zh-CN"/>
              </w:rPr>
              <w:t>（9分）</w:t>
            </w:r>
          </w:p>
        </w:tc>
        <w:tc>
          <w:tcPr>
            <w:tcW w:w="7028" w:type="dxa"/>
            <w:vAlign w:val="center"/>
          </w:tcPr>
          <w:p w14:paraId="2D062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供应商具备质量管理体系认证证书(ISO9000)、信息技术服务管理体系认证证书(ISO20000)，每提供一项得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78C0A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文件中附加盖公章的证书复印件，否则不得分。）</w:t>
            </w:r>
          </w:p>
        </w:tc>
        <w:tc>
          <w:tcPr>
            <w:tcW w:w="1101" w:type="dxa"/>
            <w:vAlign w:val="center"/>
          </w:tcPr>
          <w:p w14:paraId="78FE86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42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continue"/>
            <w:vAlign w:val="center"/>
          </w:tcPr>
          <w:p w14:paraId="7BDE4F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545FCB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center"/>
          </w:tcPr>
          <w:p w14:paraId="62114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供应商提供自2022年至今相关</w:t>
            </w:r>
            <w:r>
              <w:rPr>
                <w:rFonts w:hint="eastAsia" w:ascii="宋体" w:hAnsi="宋体" w:eastAsia="宋体" w:cs="宋体"/>
                <w:color w:val="auto"/>
                <w:sz w:val="21"/>
                <w:szCs w:val="21"/>
                <w:highlight w:val="none"/>
              </w:rPr>
              <w:t>类似业绩，</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文件中附加盖公章的合同关键页复印件</w:t>
            </w:r>
            <w:r>
              <w:rPr>
                <w:rFonts w:hint="eastAsia" w:ascii="宋体" w:hAnsi="宋体" w:eastAsia="宋体" w:cs="宋体"/>
                <w:b/>
                <w:bCs/>
                <w:color w:val="auto"/>
                <w:sz w:val="21"/>
                <w:szCs w:val="21"/>
                <w:highlight w:val="none"/>
                <w:lang w:val="en-US" w:eastAsia="zh-CN"/>
              </w:rPr>
              <w:t>和验收证明</w:t>
            </w:r>
            <w:r>
              <w:rPr>
                <w:rFonts w:hint="eastAsia" w:ascii="宋体" w:hAnsi="宋体" w:eastAsia="宋体" w:cs="宋体"/>
                <w:b/>
                <w:bCs/>
                <w:color w:val="auto"/>
                <w:sz w:val="21"/>
                <w:szCs w:val="21"/>
                <w:highlight w:val="none"/>
              </w:rPr>
              <w:t>，否则不得分。）</w:t>
            </w:r>
          </w:p>
        </w:tc>
        <w:tc>
          <w:tcPr>
            <w:tcW w:w="1101" w:type="dxa"/>
            <w:vAlign w:val="center"/>
          </w:tcPr>
          <w:p w14:paraId="4EDFC1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14:paraId="363D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continue"/>
            <w:vAlign w:val="center"/>
          </w:tcPr>
          <w:p w14:paraId="4707E7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09AC8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center"/>
          </w:tcPr>
          <w:p w14:paraId="7EEC6B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供应商具有基层医疗机构管理系统、电子病历管理系统、数据采集系统、基层公卫系统</w:t>
            </w:r>
            <w:r>
              <w:rPr>
                <w:rFonts w:hint="eastAsia" w:ascii="宋体" w:hAnsi="宋体" w:eastAsia="宋体" w:cs="宋体"/>
                <w:color w:val="auto"/>
                <w:sz w:val="21"/>
                <w:szCs w:val="21"/>
                <w:highlight w:val="none"/>
              </w:rPr>
              <w:t>相关产品</w:t>
            </w:r>
            <w:r>
              <w:rPr>
                <w:rFonts w:hint="eastAsia" w:ascii="宋体" w:hAnsi="宋体" w:eastAsia="宋体" w:cs="宋体"/>
                <w:color w:val="auto"/>
                <w:sz w:val="21"/>
                <w:szCs w:val="21"/>
                <w:highlight w:val="none"/>
                <w:lang w:val="en-US" w:eastAsia="zh-CN"/>
              </w:rPr>
              <w:t>软件著作权证书</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分。注：须提供</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公告发布时间前取得</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证书复印件</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w:t>
            </w:r>
          </w:p>
        </w:tc>
        <w:tc>
          <w:tcPr>
            <w:tcW w:w="1101" w:type="dxa"/>
            <w:vAlign w:val="center"/>
          </w:tcPr>
          <w:p w14:paraId="124C25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14:paraId="176B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restart"/>
            <w:shd w:val="clear" w:color="auto" w:fill="auto"/>
            <w:vAlign w:val="center"/>
          </w:tcPr>
          <w:p w14:paraId="06FC9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990" w:type="dxa"/>
            <w:vMerge w:val="restart"/>
            <w:shd w:val="clear" w:color="auto" w:fill="auto"/>
            <w:vAlign w:val="center"/>
          </w:tcPr>
          <w:p w14:paraId="4AF7E1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技术响应情况</w:t>
            </w:r>
            <w:r>
              <w:rPr>
                <w:rFonts w:hint="eastAsia" w:ascii="宋体" w:hAnsi="宋体" w:cs="宋体"/>
                <w:sz w:val="21"/>
                <w:szCs w:val="21"/>
                <w:highlight w:val="none"/>
                <w:lang w:val="en-US" w:eastAsia="zh-CN"/>
              </w:rPr>
              <w:t>（37分）</w:t>
            </w:r>
          </w:p>
        </w:tc>
        <w:tc>
          <w:tcPr>
            <w:tcW w:w="7028" w:type="dxa"/>
            <w:vAlign w:val="center"/>
          </w:tcPr>
          <w:p w14:paraId="679584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技术参数要求中，▲项要求须提供平台系统界面的完整截图，且截图与实际功能相符的指标得2分，满分34分。</w:t>
            </w:r>
          </w:p>
        </w:tc>
        <w:tc>
          <w:tcPr>
            <w:tcW w:w="1101" w:type="dxa"/>
            <w:vAlign w:val="center"/>
          </w:tcPr>
          <w:p w14:paraId="44227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r>
      <w:tr w14:paraId="302D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870" w:type="dxa"/>
            <w:vMerge w:val="continue"/>
            <w:shd w:val="clear" w:color="auto" w:fill="auto"/>
            <w:vAlign w:val="center"/>
          </w:tcPr>
          <w:p w14:paraId="0D1388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990" w:type="dxa"/>
            <w:vMerge w:val="continue"/>
            <w:shd w:val="clear" w:color="auto" w:fill="auto"/>
            <w:vAlign w:val="center"/>
          </w:tcPr>
          <w:p w14:paraId="649E8F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7028" w:type="dxa"/>
            <w:vAlign w:val="center"/>
          </w:tcPr>
          <w:p w14:paraId="545215AE">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根据供应商对本项目的总体项目服务成果方案（包括对需实现内容的应用效果和应用的成熟度）进行综合评定并独立打分，未提供不得分。</w:t>
            </w:r>
          </w:p>
          <w:p w14:paraId="7CB26312">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一档（0分）没有提供；</w:t>
            </w:r>
          </w:p>
          <w:p w14:paraId="19802B6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二档（1分）成果内容合理性、成熟度一般，低于其他档次供应商，内容不完整；</w:t>
            </w:r>
          </w:p>
          <w:p w14:paraId="64EEBACA">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三档（2分）对需实现内容的应用效果和应用的成熟度基本满足采购需求，内容相对完整；</w:t>
            </w:r>
          </w:p>
          <w:p w14:paraId="40F96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四档（3分）对需实现内容的应用效果和应用的成熟度完全满足采购需求，操作性强，成熟度较好，服务内容详细完善。</w:t>
            </w:r>
          </w:p>
        </w:tc>
        <w:tc>
          <w:tcPr>
            <w:tcW w:w="1101" w:type="dxa"/>
            <w:vAlign w:val="center"/>
          </w:tcPr>
          <w:p w14:paraId="0EC42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p>
        </w:tc>
      </w:tr>
      <w:tr w14:paraId="5847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shd w:val="clear" w:color="auto" w:fill="auto"/>
            <w:vAlign w:val="center"/>
          </w:tcPr>
          <w:p w14:paraId="502641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90" w:type="dxa"/>
            <w:shd w:val="clear" w:color="auto" w:fill="auto"/>
            <w:vAlign w:val="center"/>
          </w:tcPr>
          <w:p w14:paraId="39A92A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实施方案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center"/>
          </w:tcPr>
          <w:p w14:paraId="777DF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根据供应商提供的实施方案进行综合评价，主要对供应商提供的实施方案包括但不限于项目实施组织、实施各阶段计划安排、质量保证措施、进度保证措施、安全保密等方面的合理性、科学性进行综合评价。</w:t>
            </w:r>
          </w:p>
          <w:p w14:paraId="01ECD4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一档（0分）没有提供；</w:t>
            </w:r>
          </w:p>
          <w:p w14:paraId="0355F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二档（1分）项目实施方案描述较简单，项目实施的技术力量、实施内容仅基本满足项目要求，针对性一般的；</w:t>
            </w:r>
          </w:p>
          <w:p w14:paraId="78A4B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二档（2分）项目实施方案中具有详细、合理的服务流程；拟投入本项目的人员配备全面，并调试运行及出现问题解决方案，合理验收方案、培训计划等，内容具有合理性、可行性</w:t>
            </w:r>
          </w:p>
          <w:p w14:paraId="5B8D43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四档（3分）项目实施方案中具有详细、完善、合理的服务流程；拟投入本项目的人员配备全面，并调试运行及出现问题解决方案，合理验收方案、培训计划和具体内容等。</w:t>
            </w:r>
          </w:p>
        </w:tc>
        <w:tc>
          <w:tcPr>
            <w:tcW w:w="1101" w:type="dxa"/>
            <w:vAlign w:val="center"/>
          </w:tcPr>
          <w:p w14:paraId="61818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CA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14:paraId="5292D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990" w:type="dxa"/>
            <w:vMerge w:val="restart"/>
            <w:vAlign w:val="center"/>
          </w:tcPr>
          <w:p w14:paraId="256C76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服务实力</w:t>
            </w:r>
            <w:r>
              <w:rPr>
                <w:rFonts w:hint="eastAsia" w:ascii="宋体" w:hAnsi="宋体" w:cs="宋体"/>
                <w:sz w:val="21"/>
                <w:szCs w:val="21"/>
                <w:highlight w:val="none"/>
                <w:lang w:val="en-US" w:eastAsia="zh-CN"/>
              </w:rPr>
              <w:t>（10分）</w:t>
            </w:r>
          </w:p>
        </w:tc>
        <w:tc>
          <w:tcPr>
            <w:tcW w:w="7028" w:type="dxa"/>
            <w:vAlign w:val="top"/>
          </w:tcPr>
          <w:p w14:paraId="2E752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提供的项目团队中，项目经理具备高级信息系统项目管理师证书、高级软件工程师、系统分析师的，每具备一项得1分，满分3分。（需提供相关资质证书扫描件及相应人员近6个月内任意1个月社保证明材料，并加盖公章，否则不得分）。</w:t>
            </w:r>
          </w:p>
        </w:tc>
        <w:tc>
          <w:tcPr>
            <w:tcW w:w="1101" w:type="dxa"/>
            <w:vAlign w:val="center"/>
          </w:tcPr>
          <w:p w14:paraId="227B6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CDF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14:paraId="426EF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4C9C3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top"/>
          </w:tcPr>
          <w:p w14:paraId="08AE3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项目团队具备系统架构设计师或软件测试工程师或中级及以上软件设计师证书，每具备一项得1分，满分3分。一人同时具有两个或者两个以上证书的，按1项计算。</w:t>
            </w:r>
          </w:p>
          <w:p w14:paraId="025F9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sz w:val="21"/>
                <w:szCs w:val="21"/>
                <w:highlight w:val="none"/>
                <w:lang w:val="en-US" w:bidi="ar-SA"/>
              </w:rPr>
            </w:pPr>
            <w:r>
              <w:rPr>
                <w:rFonts w:hint="eastAsia" w:ascii="宋体" w:hAnsi="宋体" w:eastAsia="宋体" w:cs="宋体"/>
                <w:kern w:val="2"/>
                <w:sz w:val="21"/>
                <w:szCs w:val="21"/>
                <w:highlight w:val="none"/>
                <w:lang w:val="en-US" w:eastAsia="zh-CN" w:bidi="ar-SA"/>
              </w:rPr>
              <w:t>（报价文件中需提供相关资质证书扫描件及响应人员近6个月内任意1个月社保证明材料，并加盖公章，否则不得分）。</w:t>
            </w:r>
          </w:p>
        </w:tc>
        <w:tc>
          <w:tcPr>
            <w:tcW w:w="1101" w:type="dxa"/>
            <w:vAlign w:val="center"/>
          </w:tcPr>
          <w:p w14:paraId="170229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546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14:paraId="126A6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392FA3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lang w:val="en-US" w:eastAsia="zh-CN"/>
              </w:rPr>
            </w:pPr>
          </w:p>
        </w:tc>
        <w:tc>
          <w:tcPr>
            <w:tcW w:w="7028" w:type="dxa"/>
            <w:vAlign w:val="top"/>
          </w:tcPr>
          <w:p w14:paraId="1D909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供应商2022年以来服务过的业主单位出具的售后服务满意度证明材料，达到满意以上的每提供一份证明材料得1分，满分4分。</w:t>
            </w:r>
          </w:p>
        </w:tc>
        <w:tc>
          <w:tcPr>
            <w:tcW w:w="1101" w:type="dxa"/>
            <w:vAlign w:val="center"/>
          </w:tcPr>
          <w:p w14:paraId="64DCF6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5688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587F7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6</w:t>
            </w:r>
          </w:p>
        </w:tc>
        <w:tc>
          <w:tcPr>
            <w:tcW w:w="990" w:type="dxa"/>
            <w:vAlign w:val="center"/>
          </w:tcPr>
          <w:p w14:paraId="10626D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售后服务方案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top"/>
          </w:tcPr>
          <w:p w14:paraId="5B589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根据供应商提供的售后服务方案进行综合评价，主要对供应商在售后服务响应时间及服务承诺、服务内容以及后续技术支持等方面内容进行综合评定并独立打分，未提供不得分。</w:t>
            </w:r>
          </w:p>
          <w:p w14:paraId="7163A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一档（0分）没有提供；</w:t>
            </w:r>
          </w:p>
          <w:p w14:paraId="4E7BB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二档（1分）项目售后方案描述较简单，项目维保的技术力量、服务内容仅基本满足项目要求，针对性不强的；</w:t>
            </w:r>
          </w:p>
          <w:p w14:paraId="125B8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三档（2分）项目售后方案描述基本完整、表述清晰，具有基本的针对性、合理性、可行性；项目维保的技术力量基本满足本项目实施要求；</w:t>
            </w:r>
          </w:p>
          <w:p w14:paraId="38E87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四档（3分）项目售后方案描述全面详细、表述清晰，具有较强的针对性、合理性、可行性、实施性；项目维保的技术力量安排得当、严谨、满足本项目实施要求，并有详细说明。</w:t>
            </w:r>
          </w:p>
        </w:tc>
        <w:tc>
          <w:tcPr>
            <w:tcW w:w="1101" w:type="dxa"/>
            <w:vAlign w:val="center"/>
          </w:tcPr>
          <w:p w14:paraId="6F9B32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84F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1FE109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990" w:type="dxa"/>
            <w:vAlign w:val="center"/>
          </w:tcPr>
          <w:p w14:paraId="3D6D5E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培训方案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center"/>
          </w:tcPr>
          <w:p w14:paraId="76874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供应商提供</w:t>
            </w:r>
            <w:r>
              <w:rPr>
                <w:rFonts w:hint="eastAsia" w:ascii="宋体" w:hAnsi="宋体" w:eastAsia="宋体" w:cs="宋体"/>
                <w:sz w:val="21"/>
                <w:szCs w:val="21"/>
                <w:highlight w:val="none"/>
              </w:rPr>
              <w:t>对本项目培训方案进行评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应包括培训目标、培训方式、培训内容等</w:t>
            </w:r>
            <w:r>
              <w:rPr>
                <w:rFonts w:hint="eastAsia" w:ascii="宋体" w:hAnsi="宋体" w:eastAsia="宋体" w:cs="宋体"/>
                <w:sz w:val="21"/>
                <w:szCs w:val="21"/>
                <w:highlight w:val="none"/>
              </w:rPr>
              <w:t>。</w:t>
            </w:r>
          </w:p>
          <w:p w14:paraId="37DF9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一档（0分）没有提供；</w:t>
            </w:r>
          </w:p>
          <w:p w14:paraId="29F5C1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分）方案不够完善、详细；</w:t>
            </w:r>
          </w:p>
          <w:p w14:paraId="4A1EE0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分）方案较完善、</w:t>
            </w:r>
            <w:r>
              <w:rPr>
                <w:rFonts w:hint="eastAsia" w:ascii="宋体" w:hAnsi="宋体" w:eastAsia="宋体" w:cs="宋体"/>
                <w:sz w:val="21"/>
                <w:szCs w:val="21"/>
                <w:highlight w:val="none"/>
                <w:lang w:val="en-US" w:eastAsia="zh-CN"/>
              </w:rPr>
              <w:t>较</w:t>
            </w:r>
            <w:r>
              <w:rPr>
                <w:rFonts w:hint="eastAsia" w:ascii="宋体" w:hAnsi="宋体" w:eastAsia="宋体" w:cs="宋体"/>
                <w:sz w:val="21"/>
                <w:szCs w:val="21"/>
                <w:highlight w:val="none"/>
              </w:rPr>
              <w:t>详细；</w:t>
            </w:r>
          </w:p>
          <w:p w14:paraId="3F2A9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分）方案完善、详细。</w:t>
            </w:r>
          </w:p>
        </w:tc>
        <w:tc>
          <w:tcPr>
            <w:tcW w:w="1101" w:type="dxa"/>
            <w:vAlign w:val="center"/>
          </w:tcPr>
          <w:p w14:paraId="1EBF4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734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8" w:type="dxa"/>
            <w:gridSpan w:val="3"/>
            <w:vAlign w:val="center"/>
          </w:tcPr>
          <w:p w14:paraId="5D3976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p>
        </w:tc>
        <w:tc>
          <w:tcPr>
            <w:tcW w:w="1101" w:type="dxa"/>
            <w:vAlign w:val="center"/>
          </w:tcPr>
          <w:p w14:paraId="5EE580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r>
    </w:tbl>
    <w:p w14:paraId="429C66F8">
      <w:pPr>
        <w:pStyle w:val="2"/>
        <w:spacing w:line="400" w:lineRule="exact"/>
        <w:ind w:left="0" w:leftChars="0" w:firstLine="0" w:firstLineChars="0"/>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0"/>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0"/>
        <w:spacing w:line="400" w:lineRule="exact"/>
        <w:ind w:firstLine="420"/>
        <w:rPr>
          <w:rFonts w:hAnsi="宋体"/>
          <w:sz w:val="24"/>
          <w:szCs w:val="24"/>
        </w:rPr>
      </w:pPr>
      <w:r>
        <w:rPr>
          <w:rFonts w:hint="eastAsia" w:hAnsi="宋体"/>
          <w:sz w:val="24"/>
          <w:szCs w:val="24"/>
        </w:rPr>
        <w:t>据此函，签字代表宣布同意如下：</w:t>
      </w:r>
    </w:p>
    <w:p w14:paraId="1B80BE88">
      <w:pPr>
        <w:widowControl/>
        <w:numPr>
          <w:ilvl w:val="0"/>
          <w:numId w:val="1"/>
        </w:numPr>
        <w:spacing w:line="400" w:lineRule="exact"/>
        <w:jc w:val="left"/>
        <w:rPr>
          <w:rFonts w:ascii="宋体" w:hAnsi="宋体" w:cs="宋体"/>
          <w:szCs w:val="21"/>
        </w:rPr>
      </w:pPr>
      <w:r>
        <w:rPr>
          <w:rFonts w:hint="eastAsia" w:ascii="宋体" w:hAnsi="宋体" w:cs="宋体"/>
          <w:kern w:val="0"/>
          <w:sz w:val="24"/>
        </w:rPr>
        <w:t>一、</w:t>
      </w:r>
      <w:r>
        <w:rPr>
          <w:rFonts w:hint="eastAsia" w:hAnsi="宋体"/>
          <w:szCs w:val="21"/>
        </w:rPr>
        <w:t>报价表</w:t>
      </w:r>
      <w:r>
        <w:rPr>
          <w:rFonts w:hint="eastAsia" w:ascii="宋体" w:hAnsi="宋体" w:cs="宋体"/>
          <w:szCs w:val="21"/>
        </w:rPr>
        <w:t>（单位：人民币  元）</w:t>
      </w:r>
    </w:p>
    <w:tbl>
      <w:tblPr>
        <w:tblStyle w:val="18"/>
        <w:tblW w:w="112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4245"/>
        <w:gridCol w:w="1095"/>
        <w:gridCol w:w="915"/>
        <w:gridCol w:w="1740"/>
        <w:gridCol w:w="1287"/>
        <w:gridCol w:w="1287"/>
      </w:tblGrid>
      <w:tr w14:paraId="68264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21F6A36">
            <w:pPr>
              <w:spacing w:line="440" w:lineRule="exact"/>
              <w:jc w:val="center"/>
              <w:rPr>
                <w:rFonts w:ascii="宋体" w:hAnsi="宋体"/>
              </w:rPr>
            </w:pPr>
            <w:r>
              <w:rPr>
                <w:rFonts w:hint="eastAsia" w:ascii="宋体" w:hAnsi="宋体"/>
              </w:rPr>
              <w:t>项号</w:t>
            </w:r>
          </w:p>
        </w:tc>
        <w:tc>
          <w:tcPr>
            <w:tcW w:w="4245" w:type="dxa"/>
            <w:tcBorders>
              <w:top w:val="single" w:color="auto" w:sz="4" w:space="0"/>
              <w:left w:val="single" w:color="auto" w:sz="4" w:space="0"/>
              <w:bottom w:val="single" w:color="auto" w:sz="4" w:space="0"/>
              <w:right w:val="single" w:color="auto" w:sz="4" w:space="0"/>
            </w:tcBorders>
            <w:vAlign w:val="center"/>
          </w:tcPr>
          <w:p w14:paraId="032845FF">
            <w:pPr>
              <w:spacing w:line="440" w:lineRule="exact"/>
              <w:jc w:val="center"/>
              <w:rPr>
                <w:rFonts w:ascii="宋体" w:hAnsi="宋体"/>
              </w:rPr>
            </w:pPr>
            <w:r>
              <w:rPr>
                <w:rFonts w:hint="eastAsia" w:ascii="宋体" w:hAnsi="宋体"/>
              </w:rPr>
              <w:t>项目名称</w:t>
            </w:r>
          </w:p>
        </w:tc>
        <w:tc>
          <w:tcPr>
            <w:tcW w:w="1095" w:type="dxa"/>
            <w:tcBorders>
              <w:top w:val="single" w:color="auto" w:sz="4" w:space="0"/>
              <w:left w:val="single" w:color="auto" w:sz="4" w:space="0"/>
              <w:bottom w:val="single" w:color="auto" w:sz="4" w:space="0"/>
              <w:right w:val="single" w:color="auto" w:sz="4" w:space="0"/>
            </w:tcBorders>
            <w:vAlign w:val="center"/>
          </w:tcPr>
          <w:p w14:paraId="486A1368">
            <w:pPr>
              <w:spacing w:line="440" w:lineRule="exact"/>
              <w:jc w:val="center"/>
              <w:rPr>
                <w:rFonts w:ascii="宋体" w:hAnsi="宋体"/>
              </w:rPr>
            </w:pPr>
            <w:r>
              <w:rPr>
                <w:rFonts w:hint="eastAsia" w:ascii="宋体" w:hAnsi="宋体"/>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61E24C83">
            <w:pPr>
              <w:spacing w:line="440" w:lineRule="exact"/>
              <w:jc w:val="center"/>
              <w:rPr>
                <w:rFonts w:ascii="宋体" w:hAnsi="宋体"/>
              </w:rPr>
            </w:pPr>
            <w:r>
              <w:rPr>
                <w:rFonts w:hint="eastAsia" w:ascii="宋体" w:hAnsi="宋体"/>
              </w:rPr>
              <w:t>数量</w:t>
            </w:r>
          </w:p>
        </w:tc>
        <w:tc>
          <w:tcPr>
            <w:tcW w:w="1740" w:type="dxa"/>
            <w:tcBorders>
              <w:top w:val="single" w:color="auto" w:sz="4" w:space="0"/>
              <w:left w:val="single" w:color="auto" w:sz="4" w:space="0"/>
              <w:bottom w:val="single" w:color="auto" w:sz="4" w:space="0"/>
            </w:tcBorders>
            <w:vAlign w:val="center"/>
          </w:tcPr>
          <w:p w14:paraId="0EF018C1">
            <w:pPr>
              <w:spacing w:line="440" w:lineRule="exact"/>
              <w:jc w:val="center"/>
              <w:rPr>
                <w:rFonts w:hint="eastAsia" w:ascii="宋体" w:hAnsi="宋体" w:eastAsia="宋体"/>
                <w:lang w:val="en-US" w:eastAsia="zh-CN"/>
              </w:rPr>
            </w:pPr>
            <w:r>
              <w:rPr>
                <w:rFonts w:hint="eastAsia" w:ascii="宋体" w:hAnsi="宋体"/>
                <w:lang w:val="en-US" w:eastAsia="zh-CN"/>
              </w:rPr>
              <w:t>单价（元）</w:t>
            </w:r>
          </w:p>
        </w:tc>
        <w:tc>
          <w:tcPr>
            <w:tcW w:w="1287" w:type="dxa"/>
            <w:tcBorders>
              <w:top w:val="single" w:color="auto" w:sz="4" w:space="0"/>
              <w:left w:val="single" w:color="auto" w:sz="4" w:space="0"/>
              <w:bottom w:val="single" w:color="auto" w:sz="4" w:space="0"/>
            </w:tcBorders>
          </w:tcPr>
          <w:p w14:paraId="2324459C">
            <w:pPr>
              <w:spacing w:line="440" w:lineRule="exact"/>
              <w:jc w:val="center"/>
              <w:rPr>
                <w:rFonts w:hint="default" w:ascii="宋体" w:hAnsi="宋体" w:eastAsia="宋体"/>
                <w:lang w:val="en-US" w:eastAsia="zh-CN"/>
              </w:rPr>
            </w:pPr>
            <w:r>
              <w:rPr>
                <w:rFonts w:hint="eastAsia" w:ascii="宋体" w:hAnsi="宋体"/>
                <w:lang w:val="en-US" w:eastAsia="zh-CN"/>
              </w:rPr>
              <w:t>总价（元）</w:t>
            </w:r>
          </w:p>
        </w:tc>
        <w:tc>
          <w:tcPr>
            <w:tcW w:w="1287" w:type="dxa"/>
            <w:tcBorders>
              <w:top w:val="single" w:color="auto" w:sz="4" w:space="0"/>
              <w:left w:val="single" w:color="auto" w:sz="4" w:space="0"/>
              <w:bottom w:val="single" w:color="auto" w:sz="4" w:space="0"/>
            </w:tcBorders>
          </w:tcPr>
          <w:p w14:paraId="3FF82987">
            <w:pPr>
              <w:spacing w:line="440" w:lineRule="exact"/>
              <w:jc w:val="center"/>
              <w:rPr>
                <w:rFonts w:hint="default" w:ascii="宋体" w:hAnsi="宋体"/>
                <w:lang w:val="en-US" w:eastAsia="zh-CN"/>
              </w:rPr>
            </w:pPr>
            <w:r>
              <w:rPr>
                <w:rFonts w:hint="eastAsia" w:ascii="宋体" w:hAnsi="宋体"/>
                <w:lang w:val="en-US" w:eastAsia="zh-CN"/>
              </w:rPr>
              <w:t>备注</w:t>
            </w:r>
          </w:p>
        </w:tc>
      </w:tr>
      <w:tr w14:paraId="271DD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5324A5FD">
            <w:pPr>
              <w:spacing w:line="440" w:lineRule="exact"/>
              <w:jc w:val="center"/>
              <w:rPr>
                <w:rFonts w:ascii="宋体" w:hAnsi="宋体" w:cs="宋体"/>
                <w:szCs w:val="21"/>
              </w:rPr>
            </w:pPr>
            <w:r>
              <w:rPr>
                <w:rFonts w:hint="eastAsia" w:ascii="宋体" w:hAnsi="宋体" w:cs="宋体"/>
                <w:szCs w:val="21"/>
              </w:rPr>
              <w:t>1</w:t>
            </w:r>
          </w:p>
        </w:tc>
        <w:tc>
          <w:tcPr>
            <w:tcW w:w="4245" w:type="dxa"/>
            <w:tcBorders>
              <w:top w:val="single" w:color="auto" w:sz="4" w:space="0"/>
              <w:left w:val="single" w:color="auto" w:sz="4" w:space="0"/>
              <w:bottom w:val="single" w:color="auto" w:sz="4" w:space="0"/>
              <w:right w:val="single" w:color="auto" w:sz="4" w:space="0"/>
            </w:tcBorders>
            <w:vAlign w:val="center"/>
          </w:tcPr>
          <w:p w14:paraId="6325F77A">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2F500E34">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F6E20D9">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2C0CAD9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4D02472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2DEE5AA8">
            <w:pPr>
              <w:spacing w:line="440" w:lineRule="exact"/>
              <w:jc w:val="center"/>
              <w:rPr>
                <w:rFonts w:ascii="宋体" w:hAnsi="宋体"/>
                <w:b/>
                <w:bCs/>
              </w:rPr>
            </w:pPr>
          </w:p>
        </w:tc>
      </w:tr>
      <w:tr w14:paraId="2972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1437EAA">
            <w:pPr>
              <w:spacing w:line="440" w:lineRule="exact"/>
              <w:jc w:val="center"/>
              <w:rPr>
                <w:rFonts w:hint="eastAsia" w:ascii="宋体" w:hAnsi="宋体" w:cs="宋体"/>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20CC0DC0">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60EEFFA1">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8BC4681">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72A27AE6">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181E469E">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26054D9A">
            <w:pPr>
              <w:spacing w:line="440" w:lineRule="exact"/>
              <w:jc w:val="center"/>
              <w:rPr>
                <w:rFonts w:ascii="宋体" w:hAnsi="宋体"/>
                <w:b/>
                <w:bCs/>
              </w:rPr>
            </w:pPr>
          </w:p>
        </w:tc>
      </w:tr>
      <w:tr w14:paraId="674AF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A430D04">
            <w:pPr>
              <w:spacing w:line="440" w:lineRule="exact"/>
              <w:jc w:val="center"/>
              <w:rPr>
                <w:rFonts w:hint="eastAsia" w:ascii="宋体" w:hAnsi="宋体" w:eastAsia="宋体" w:cs="宋体"/>
                <w:szCs w:val="21"/>
                <w:lang w:eastAsia="zh-CN"/>
              </w:rPr>
            </w:pPr>
            <w:r>
              <w:rPr>
                <w:rFonts w:hint="eastAsia" w:ascii="微软雅黑" w:hAnsi="微软雅黑" w:eastAsia="微软雅黑" w:cs="微软雅黑"/>
                <w:szCs w:val="21"/>
                <w:lang w:eastAsia="zh-CN"/>
              </w:rPr>
              <w:t>……</w:t>
            </w:r>
          </w:p>
        </w:tc>
        <w:tc>
          <w:tcPr>
            <w:tcW w:w="4245" w:type="dxa"/>
            <w:tcBorders>
              <w:top w:val="single" w:color="auto" w:sz="4" w:space="0"/>
              <w:left w:val="single" w:color="auto" w:sz="4" w:space="0"/>
              <w:bottom w:val="single" w:color="auto" w:sz="4" w:space="0"/>
              <w:right w:val="single" w:color="auto" w:sz="4" w:space="0"/>
            </w:tcBorders>
            <w:vAlign w:val="center"/>
          </w:tcPr>
          <w:p w14:paraId="3597F7AD">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251216CF">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9D9C906">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5B5A303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670C608">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1748686">
            <w:pPr>
              <w:spacing w:line="440" w:lineRule="exact"/>
              <w:jc w:val="center"/>
              <w:rPr>
                <w:rFonts w:ascii="宋体" w:hAnsi="宋体"/>
                <w:b/>
                <w:bCs/>
              </w:rPr>
            </w:pPr>
          </w:p>
        </w:tc>
      </w:tr>
      <w:tr w14:paraId="6D4E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11210" w:type="dxa"/>
            <w:gridSpan w:val="7"/>
            <w:tcBorders>
              <w:top w:val="single" w:color="auto" w:sz="4" w:space="0"/>
              <w:left w:val="single" w:color="auto" w:sz="4" w:space="0"/>
              <w:bottom w:val="single" w:color="auto" w:sz="4" w:space="0"/>
            </w:tcBorders>
            <w:vAlign w:val="center"/>
          </w:tcPr>
          <w:p w14:paraId="3FC97A9C">
            <w:pPr>
              <w:spacing w:line="440" w:lineRule="exact"/>
              <w:rPr>
                <w:rFonts w:hint="eastAsia" w:ascii="宋体" w:hAnsi="宋体"/>
                <w:spacing w:val="-6"/>
              </w:rPr>
            </w:pPr>
            <w:r>
              <w:rPr>
                <w:rFonts w:hint="eastAsia" w:ascii="宋体" w:hAnsi="宋体"/>
                <w:spacing w:val="-6"/>
              </w:rPr>
              <w:t>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w:t>
            </w:r>
            <w:r>
              <w:rPr>
                <w:rFonts w:hint="default" w:ascii="Arial" w:hAnsi="Arial" w:cs="Arial"/>
                <w:spacing w:val="-6"/>
              </w:rPr>
              <w:t>¥</w:t>
            </w:r>
            <w:r>
              <w:rPr>
                <w:rFonts w:ascii="宋体" w:hAnsi="宋体"/>
                <w:spacing w:val="-6"/>
              </w:rPr>
              <w:t xml:space="preserve">                      ）人民币</w:t>
            </w:r>
          </w:p>
        </w:tc>
      </w:tr>
      <w:tr w14:paraId="23ADC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1ABDC333">
            <w:pPr>
              <w:spacing w:line="440" w:lineRule="exact"/>
              <w:rPr>
                <w:rFonts w:hint="eastAsia" w:ascii="宋体" w:hAnsi="宋体"/>
                <w:spacing w:val="-6"/>
              </w:rPr>
            </w:pPr>
            <w:r>
              <w:rPr>
                <w:rFonts w:hint="eastAsia" w:ascii="宋体" w:hAnsi="宋体"/>
                <w:spacing w:val="-6"/>
              </w:rPr>
              <w:t>交付使用期:</w:t>
            </w:r>
          </w:p>
        </w:tc>
      </w:tr>
      <w:tr w14:paraId="7D599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01567DC8">
            <w:pPr>
              <w:spacing w:line="440" w:lineRule="exact"/>
              <w:rPr>
                <w:rFonts w:hint="eastAsia" w:ascii="宋体" w:hAnsi="宋体"/>
                <w:spacing w:val="-6"/>
              </w:rPr>
            </w:pPr>
            <w:r>
              <w:rPr>
                <w:rFonts w:hint="eastAsia" w:ascii="宋体" w:hAnsi="宋体"/>
                <w:spacing w:val="-6"/>
              </w:rPr>
              <w:t>免费维保期:</w:t>
            </w:r>
          </w:p>
        </w:tc>
      </w:tr>
      <w:tr w14:paraId="2CD6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36F0FE5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spacing w:val="-6"/>
              </w:rPr>
            </w:pPr>
            <w:r>
              <w:rPr>
                <w:rFonts w:hint="eastAsia" w:ascii="宋体" w:hAnsi="宋体" w:cs="宋体"/>
                <w:kern w:val="0"/>
                <w:sz w:val="24"/>
              </w:rPr>
              <w:t>说明：本项目采用综合单价方式报价，综合单价应综合考虑完成本项目产生的所有成本、税金及合理利润，具体包含但不限于完成采购标的包含的所有人工费用、差旅费、交通费、故障诊断费、培训费、保险、税金、利润等所有成本费用。在合同实施时，采购人将不予支付完成本项目必须的但成交人没有列入的费用，并认为此费用已包括在报价中。</w:t>
            </w:r>
          </w:p>
        </w:tc>
      </w:tr>
    </w:tbl>
    <w:p w14:paraId="2C33053C">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sz w:val="24"/>
        </w:rPr>
      </w:pPr>
      <w:r>
        <w:rPr>
          <w:rFonts w:ascii="宋体" w:hAnsi="宋体" w:cs="宋体"/>
          <w:sz w:val="24"/>
        </w:rPr>
        <w:t>1.投标人必须就“</w:t>
      </w:r>
      <w:r>
        <w:rPr>
          <w:rFonts w:hint="eastAsia" w:ascii="宋体" w:hAnsi="宋体" w:cs="宋体"/>
          <w:sz w:val="24"/>
        </w:rPr>
        <w:t>项目需求和说明</w:t>
      </w:r>
      <w:r>
        <w:rPr>
          <w:rFonts w:ascii="宋体" w:hAnsi="宋体" w:cs="宋体"/>
          <w:sz w:val="24"/>
        </w:rPr>
        <w:t>”中的所有内容作完整唯一报价，否则，其投标文件按无效处理。</w:t>
      </w:r>
    </w:p>
    <w:p w14:paraId="3C5C9D79">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ascii="宋体" w:hAnsi="宋体" w:cs="宋体"/>
          <w:sz w:val="24"/>
        </w:rPr>
      </w:pPr>
      <w:r>
        <w:rPr>
          <w:rFonts w:ascii="宋体" w:hAnsi="宋体" w:cs="宋体"/>
          <w:sz w:val="24"/>
        </w:rPr>
        <w:t>2.投标人应根据所提供的</w:t>
      </w:r>
      <w:r>
        <w:rPr>
          <w:rFonts w:hint="eastAsia" w:ascii="宋体" w:hAnsi="宋体" w:cs="宋体"/>
          <w:sz w:val="24"/>
        </w:rPr>
        <w:t>货物及</w:t>
      </w:r>
      <w:r>
        <w:rPr>
          <w:rFonts w:ascii="宋体" w:hAnsi="宋体" w:cs="宋体"/>
          <w:sz w:val="24"/>
        </w:rPr>
        <w:t>服务如实填写报价表的各项内容。</w:t>
      </w:r>
    </w:p>
    <w:p w14:paraId="4811FA28">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sz w:val="24"/>
        </w:rPr>
      </w:pPr>
      <w:r>
        <w:rPr>
          <w:rFonts w:ascii="宋体" w:hAnsi="宋体" w:cs="宋体"/>
          <w:sz w:val="24"/>
        </w:rPr>
        <w:t>3.报价表须由法定代表人、负责人或相应的委托代理人签字或盖章</w:t>
      </w:r>
      <w:r>
        <w:rPr>
          <w:rFonts w:hint="eastAsia" w:ascii="宋体" w:hAnsi="宋体" w:cs="宋体"/>
          <w:sz w:val="24"/>
        </w:rPr>
        <w:t>，</w:t>
      </w:r>
      <w:r>
        <w:rPr>
          <w:rFonts w:ascii="宋体" w:hAnsi="宋体" w:cs="宋体"/>
          <w:sz w:val="24"/>
        </w:rPr>
        <w:t>并加盖投标人公章。当本表由多页构成时，需逐页加盖投标人公章。</w:t>
      </w:r>
    </w:p>
    <w:p w14:paraId="74B6AA25">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sz w:val="24"/>
        </w:rPr>
        <w:t>三、</w:t>
      </w:r>
      <w:r>
        <w:rPr>
          <w:rFonts w:hint="eastAsia" w:ascii="宋体" w:hAnsi="宋体" w:cs="宋体"/>
          <w:sz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0"/>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0"/>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184E4E5C">
      <w:pPr>
        <w:spacing w:line="400" w:lineRule="exact"/>
        <w:jc w:val="center"/>
        <w:rPr>
          <w:rFonts w:hint="eastAsia" w:ascii="宋体" w:hAnsi="宋体" w:cs="宋体"/>
          <w:b/>
          <w:sz w:val="30"/>
          <w:szCs w:val="30"/>
        </w:rPr>
      </w:pPr>
    </w:p>
    <w:p w14:paraId="77005DF3">
      <w:pPr>
        <w:spacing w:line="400" w:lineRule="exact"/>
        <w:jc w:val="center"/>
        <w:rPr>
          <w:rFonts w:hint="eastAsia" w:ascii="宋体" w:hAnsi="宋体" w:cs="宋体"/>
          <w:b/>
          <w:sz w:val="30"/>
          <w:szCs w:val="30"/>
        </w:rPr>
      </w:pPr>
    </w:p>
    <w:p w14:paraId="7BE86161">
      <w:pPr>
        <w:spacing w:line="400" w:lineRule="exact"/>
        <w:jc w:val="center"/>
        <w:rPr>
          <w:rFonts w:hint="eastAsia" w:ascii="宋体" w:hAnsi="宋体" w:cs="宋体"/>
          <w:b/>
          <w:sz w:val="30"/>
          <w:szCs w:val="30"/>
        </w:rPr>
      </w:pPr>
    </w:p>
    <w:p w14:paraId="22F805AC">
      <w:pPr>
        <w:spacing w:line="400" w:lineRule="exact"/>
        <w:jc w:val="center"/>
        <w:rPr>
          <w:rFonts w:hint="eastAsia" w:ascii="宋体" w:hAnsi="宋体" w:cs="宋体"/>
          <w:b/>
          <w:sz w:val="30"/>
          <w:szCs w:val="30"/>
        </w:rPr>
      </w:pPr>
    </w:p>
    <w:p w14:paraId="477398D1">
      <w:pPr>
        <w:spacing w:line="400" w:lineRule="exact"/>
        <w:jc w:val="center"/>
        <w:rPr>
          <w:rFonts w:hint="eastAsia" w:ascii="宋体" w:hAnsi="宋体" w:cs="宋体"/>
          <w:b/>
          <w:sz w:val="30"/>
          <w:szCs w:val="30"/>
        </w:rPr>
      </w:pPr>
    </w:p>
    <w:p w14:paraId="6922D3F5">
      <w:pPr>
        <w:spacing w:line="400" w:lineRule="exact"/>
        <w:jc w:val="center"/>
        <w:rPr>
          <w:rFonts w:hint="eastAsia" w:ascii="宋体" w:hAnsi="宋体" w:cs="宋体"/>
          <w:b/>
          <w:sz w:val="30"/>
          <w:szCs w:val="30"/>
        </w:rPr>
      </w:pPr>
    </w:p>
    <w:p w14:paraId="6A4F46A1">
      <w:pPr>
        <w:spacing w:line="400" w:lineRule="exact"/>
        <w:jc w:val="center"/>
        <w:rPr>
          <w:rFonts w:hint="eastAsia" w:ascii="宋体" w:hAnsi="宋体" w:cs="宋体"/>
          <w:b/>
          <w:sz w:val="30"/>
          <w:szCs w:val="30"/>
        </w:rPr>
      </w:pPr>
    </w:p>
    <w:p w14:paraId="494367D5">
      <w:pPr>
        <w:spacing w:line="400" w:lineRule="exact"/>
        <w:jc w:val="center"/>
        <w:rPr>
          <w:rFonts w:hint="eastAsia" w:ascii="宋体" w:hAnsi="宋体" w:cs="宋体"/>
          <w:b/>
          <w:sz w:val="30"/>
          <w:szCs w:val="30"/>
        </w:rPr>
      </w:pPr>
    </w:p>
    <w:p w14:paraId="529EB287">
      <w:pPr>
        <w:spacing w:line="400" w:lineRule="exact"/>
        <w:jc w:val="center"/>
        <w:rPr>
          <w:rFonts w:hint="eastAsia" w:ascii="宋体" w:hAnsi="宋体" w:cs="宋体"/>
          <w:b/>
          <w:sz w:val="30"/>
          <w:szCs w:val="30"/>
        </w:rPr>
      </w:pPr>
    </w:p>
    <w:p w14:paraId="4418E015">
      <w:pPr>
        <w:spacing w:line="400" w:lineRule="exact"/>
        <w:jc w:val="center"/>
        <w:rPr>
          <w:rFonts w:hint="eastAsia" w:ascii="宋体" w:hAnsi="宋体" w:cs="宋体"/>
          <w:b/>
          <w:sz w:val="30"/>
          <w:szCs w:val="30"/>
        </w:rPr>
      </w:pPr>
    </w:p>
    <w:p w14:paraId="770025C8">
      <w:pPr>
        <w:spacing w:line="400" w:lineRule="exact"/>
        <w:jc w:val="center"/>
        <w:rPr>
          <w:rFonts w:hint="eastAsia" w:ascii="宋体" w:hAnsi="宋体" w:cs="宋体"/>
          <w:b/>
          <w:sz w:val="30"/>
          <w:szCs w:val="30"/>
        </w:rPr>
      </w:pPr>
    </w:p>
    <w:p w14:paraId="023F8F93">
      <w:pPr>
        <w:spacing w:line="400" w:lineRule="exact"/>
        <w:jc w:val="center"/>
        <w:rPr>
          <w:rFonts w:hint="eastAsia" w:ascii="宋体" w:hAnsi="宋体" w:cs="宋体"/>
          <w:b/>
          <w:sz w:val="30"/>
          <w:szCs w:val="30"/>
        </w:rPr>
      </w:pPr>
    </w:p>
    <w:p w14:paraId="6DB7797B">
      <w:pPr>
        <w:spacing w:line="400" w:lineRule="exact"/>
        <w:jc w:val="center"/>
        <w:rPr>
          <w:rFonts w:hint="eastAsia" w:ascii="宋体" w:hAnsi="宋体" w:cs="宋体"/>
          <w:b/>
          <w:sz w:val="30"/>
          <w:szCs w:val="30"/>
        </w:rPr>
      </w:pPr>
    </w:p>
    <w:p w14:paraId="3308E793">
      <w:pPr>
        <w:spacing w:line="400" w:lineRule="exact"/>
        <w:jc w:val="center"/>
        <w:rPr>
          <w:rFonts w:hint="eastAsia" w:ascii="宋体" w:hAnsi="宋体" w:cs="宋体"/>
          <w:b/>
          <w:sz w:val="30"/>
          <w:szCs w:val="30"/>
        </w:rPr>
      </w:pPr>
    </w:p>
    <w:p w14:paraId="7BC9FDBF">
      <w:pPr>
        <w:spacing w:line="400" w:lineRule="exact"/>
        <w:jc w:val="center"/>
        <w:rPr>
          <w:rFonts w:hint="eastAsia" w:ascii="宋体" w:hAnsi="宋体" w:cs="宋体"/>
          <w:b/>
          <w:sz w:val="30"/>
          <w:szCs w:val="30"/>
        </w:rPr>
      </w:pPr>
    </w:p>
    <w:p w14:paraId="28B7B028">
      <w:pPr>
        <w:spacing w:line="400" w:lineRule="exact"/>
        <w:jc w:val="center"/>
        <w:rPr>
          <w:rFonts w:hint="eastAsia" w:ascii="宋体" w:hAnsi="宋体" w:cs="宋体"/>
          <w:b/>
          <w:sz w:val="30"/>
          <w:szCs w:val="30"/>
        </w:rPr>
      </w:pPr>
    </w:p>
    <w:p w14:paraId="31DC5B78">
      <w:pPr>
        <w:spacing w:line="400" w:lineRule="exact"/>
        <w:jc w:val="center"/>
        <w:rPr>
          <w:rFonts w:hint="eastAsia" w:ascii="宋体" w:hAnsi="宋体" w:cs="宋体"/>
          <w:b/>
          <w:sz w:val="30"/>
          <w:szCs w:val="30"/>
        </w:rPr>
      </w:pPr>
    </w:p>
    <w:p w14:paraId="7A0F4CB2">
      <w:pPr>
        <w:spacing w:line="400" w:lineRule="exact"/>
        <w:jc w:val="center"/>
        <w:rPr>
          <w:rFonts w:hint="eastAsia" w:ascii="宋体" w:hAnsi="宋体" w:cs="宋体"/>
          <w:b/>
          <w:sz w:val="30"/>
          <w:szCs w:val="30"/>
        </w:rPr>
      </w:pPr>
    </w:p>
    <w:p w14:paraId="57C3B820">
      <w:pPr>
        <w:spacing w:line="400" w:lineRule="exact"/>
        <w:jc w:val="center"/>
        <w:rPr>
          <w:rFonts w:hint="eastAsia" w:ascii="宋体" w:hAnsi="宋体" w:cs="宋体"/>
          <w:b/>
          <w:sz w:val="30"/>
          <w:szCs w:val="30"/>
        </w:rPr>
      </w:pPr>
    </w:p>
    <w:p w14:paraId="65401B6E">
      <w:pPr>
        <w:spacing w:line="400" w:lineRule="exact"/>
        <w:jc w:val="center"/>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spacing w:val="1"/>
                <w:sz w:val="24"/>
              </w:rPr>
            </w:pPr>
          </w:p>
        </w:tc>
        <w:tc>
          <w:tcPr>
            <w:tcW w:w="2400"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1083"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400" w:type="dxa"/>
          </w:tcPr>
          <w:p w14:paraId="56ACDDE0">
            <w:pPr>
              <w:pStyle w:val="25"/>
              <w:spacing w:line="400" w:lineRule="exact"/>
              <w:ind w:firstLine="0" w:firstLineChars="0"/>
              <w:jc w:val="left"/>
              <w:rPr>
                <w:rFonts w:asciiTheme="minorEastAsia" w:hAnsiTheme="minorEastAsia" w:eastAsiaTheme="minorEastAsia" w:cstheme="minorEastAsia"/>
                <w:kern w:val="0"/>
                <w:sz w:val="24"/>
                <w:szCs w:val="24"/>
              </w:rPr>
            </w:pPr>
          </w:p>
        </w:tc>
        <w:tc>
          <w:tcPr>
            <w:tcW w:w="1083" w:type="dxa"/>
          </w:tcPr>
          <w:p w14:paraId="40C8BE54">
            <w:pPr>
              <w:pStyle w:val="25"/>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kern w:val="0"/>
                <w:sz w:val="24"/>
              </w:rPr>
            </w:pPr>
          </w:p>
        </w:tc>
        <w:tc>
          <w:tcPr>
            <w:tcW w:w="2400" w:type="dxa"/>
          </w:tcPr>
          <w:p w14:paraId="5DD2784A">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6E5DA677">
            <w:pPr>
              <w:pStyle w:val="25"/>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400" w:type="dxa"/>
          </w:tcPr>
          <w:p w14:paraId="6AFB7655">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4BF78700">
            <w:pPr>
              <w:pStyle w:val="25"/>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18D2C6E">
            <w:pPr>
              <w:spacing w:line="400" w:lineRule="exact"/>
              <w:rPr>
                <w:rFonts w:asciiTheme="minorEastAsia" w:hAnsiTheme="minorEastAsia" w:eastAsiaTheme="minorEastAsia" w:cstheme="minorEastAsia"/>
                <w:b/>
                <w:bCs/>
                <w:spacing w:val="1"/>
                <w:sz w:val="24"/>
              </w:rPr>
            </w:pPr>
          </w:p>
        </w:tc>
        <w:tc>
          <w:tcPr>
            <w:tcW w:w="2400"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1083"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400" w:type="dxa"/>
          </w:tcPr>
          <w:p w14:paraId="3395D84A">
            <w:pPr>
              <w:pStyle w:val="25"/>
              <w:spacing w:line="400" w:lineRule="exact"/>
              <w:ind w:firstLine="0" w:firstLineChars="0"/>
              <w:jc w:val="left"/>
              <w:rPr>
                <w:rFonts w:asciiTheme="minorEastAsia" w:hAnsiTheme="minorEastAsia" w:eastAsiaTheme="minorEastAsia" w:cstheme="minorEastAsia"/>
                <w:kern w:val="0"/>
                <w:sz w:val="24"/>
                <w:szCs w:val="24"/>
              </w:rPr>
            </w:pPr>
          </w:p>
        </w:tc>
        <w:tc>
          <w:tcPr>
            <w:tcW w:w="1083" w:type="dxa"/>
          </w:tcPr>
          <w:p w14:paraId="044561EF">
            <w:pPr>
              <w:pStyle w:val="25"/>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6430E47B">
            <w:pPr>
              <w:spacing w:line="400" w:lineRule="exact"/>
              <w:jc w:val="left"/>
              <w:rPr>
                <w:rFonts w:asciiTheme="minorEastAsia" w:hAnsiTheme="minorEastAsia" w:eastAsiaTheme="minorEastAsia" w:cstheme="minorEastAsia"/>
                <w:kern w:val="0"/>
                <w:sz w:val="24"/>
              </w:rPr>
            </w:pPr>
          </w:p>
        </w:tc>
        <w:tc>
          <w:tcPr>
            <w:tcW w:w="2400" w:type="dxa"/>
          </w:tcPr>
          <w:p w14:paraId="19CF29D1">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17654006">
            <w:pPr>
              <w:pStyle w:val="25"/>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400" w:type="dxa"/>
          </w:tcPr>
          <w:p w14:paraId="58A539BA">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4F4439A1">
            <w:pPr>
              <w:pStyle w:val="25"/>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1D42319D">
      <w:pPr>
        <w:pStyle w:val="3"/>
        <w:spacing w:line="400" w:lineRule="exact"/>
      </w:pPr>
    </w:p>
    <w:p w14:paraId="209CF479"/>
    <w:p w14:paraId="12DE7507">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2"/>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9"/>
    <w:multiLevelType w:val="singleLevel"/>
    <w:tmpl w:val="5C946299"/>
    <w:lvl w:ilvl="0"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CD30126"/>
    <w:rsid w:val="14337207"/>
    <w:rsid w:val="17F06B12"/>
    <w:rsid w:val="1B237A68"/>
    <w:rsid w:val="263B2C98"/>
    <w:rsid w:val="2C242ED7"/>
    <w:rsid w:val="38C109B4"/>
    <w:rsid w:val="38E946AA"/>
    <w:rsid w:val="3F2226C4"/>
    <w:rsid w:val="48D53E3D"/>
    <w:rsid w:val="49C06310"/>
    <w:rsid w:val="4D756E58"/>
    <w:rsid w:val="52636C17"/>
    <w:rsid w:val="599C77FF"/>
    <w:rsid w:val="5AA862C2"/>
    <w:rsid w:val="63636D7B"/>
    <w:rsid w:val="66EC2C07"/>
    <w:rsid w:val="69B83B3A"/>
    <w:rsid w:val="6A9E6E7B"/>
    <w:rsid w:val="6F5536E8"/>
    <w:rsid w:val="7D29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6"/>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line="460" w:lineRule="exact"/>
      <w:ind w:firstLine="560"/>
    </w:pPr>
    <w:rPr>
      <w:sz w:val="28"/>
      <w:szCs w:val="20"/>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kern w:val="0"/>
      <w:sz w:val="20"/>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引用1"/>
    <w:basedOn w:val="1"/>
    <w:next w:val="1"/>
    <w:qFormat/>
    <w:uiPriority w:val="0"/>
    <w:pPr>
      <w:ind w:left="864" w:right="864"/>
      <w:jc w:val="center"/>
    </w:pPr>
    <w:rPr>
      <w:i/>
      <w:iCs/>
      <w:color w:val="404040"/>
      <w:szCs w:val="21"/>
    </w:rPr>
  </w:style>
  <w:style w:type="paragraph" w:styleId="15">
    <w:name w:val="toc 1"/>
    <w:basedOn w:val="1"/>
    <w:next w:val="1"/>
    <w:qFormat/>
    <w:uiPriority w:val="39"/>
  </w:style>
  <w:style w:type="paragraph" w:styleId="16">
    <w:name w:val="Title"/>
    <w:basedOn w:val="1"/>
    <w:next w:val="1"/>
    <w:qFormat/>
    <w:uiPriority w:val="1"/>
    <w:pPr>
      <w:spacing w:before="171"/>
      <w:ind w:left="2520" w:right="2556"/>
      <w:jc w:val="center"/>
    </w:pPr>
    <w:rPr>
      <w:rFonts w:ascii="宋体" w:hAnsi="宋体" w:cs="宋体"/>
      <w:sz w:val="44"/>
      <w:szCs w:val="44"/>
    </w:rPr>
  </w:style>
  <w:style w:type="paragraph" w:styleId="17">
    <w:name w:val="annotation subject"/>
    <w:basedOn w:val="5"/>
    <w:next w:val="5"/>
    <w:link w:val="2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4">
    <w:name w:val="列出段落1"/>
    <w:basedOn w:val="1"/>
    <w:qFormat/>
    <w:uiPriority w:val="34"/>
    <w:pPr>
      <w:ind w:left="850"/>
    </w:pPr>
    <w:rPr>
      <w:rFonts w:ascii="Calibri" w:hAnsi="Calibri"/>
      <w:szCs w:val="21"/>
    </w:rPr>
  </w:style>
  <w:style w:type="paragraph" w:customStyle="1" w:styleId="25">
    <w:name w:val="List Paragraph_40b67d30-6b8b-4697-8f49-97c11e174001"/>
    <w:basedOn w:val="1"/>
    <w:qFormat/>
    <w:uiPriority w:val="0"/>
    <w:pPr>
      <w:ind w:firstLine="420" w:firstLineChars="200"/>
    </w:pPr>
    <w:rPr>
      <w:rFonts w:ascii="Calibri" w:hAnsi="Calibri" w:cs="宋体"/>
      <w:szCs w:val="22"/>
    </w:rPr>
  </w:style>
  <w:style w:type="character" w:customStyle="1" w:styleId="26">
    <w:name w:val="批注文字 字符"/>
    <w:basedOn w:val="20"/>
    <w:link w:val="5"/>
    <w:qFormat/>
    <w:uiPriority w:val="0"/>
    <w:rPr>
      <w:rFonts w:ascii="Times New Roman" w:hAnsi="Times New Roman" w:eastAsia="宋体" w:cs="Times New Roman"/>
      <w:kern w:val="2"/>
      <w:sz w:val="21"/>
      <w:szCs w:val="24"/>
    </w:rPr>
  </w:style>
  <w:style w:type="character" w:customStyle="1" w:styleId="27">
    <w:name w:val="批注主题 字符"/>
    <w:basedOn w:val="26"/>
    <w:link w:val="17"/>
    <w:qFormat/>
    <w:uiPriority w:val="0"/>
    <w:rPr>
      <w:rFonts w:ascii="Times New Roman" w:hAnsi="Times New Roman" w:eastAsia="宋体" w:cs="Times New Roman"/>
      <w:b/>
      <w:bCs/>
      <w:kern w:val="2"/>
      <w:sz w:val="21"/>
      <w:szCs w:val="24"/>
    </w:rPr>
  </w:style>
  <w:style w:type="character" w:customStyle="1" w:styleId="28">
    <w:name w:val="批注框文本 字符"/>
    <w:basedOn w:val="20"/>
    <w:link w:val="11"/>
    <w:qFormat/>
    <w:uiPriority w:val="0"/>
    <w:rPr>
      <w:rFonts w:ascii="Times New Roman" w:hAnsi="Times New Roman" w:eastAsia="宋体" w:cs="Times New Roman"/>
      <w:kern w:val="2"/>
      <w:sz w:val="18"/>
      <w:szCs w:val="18"/>
    </w:rPr>
  </w:style>
  <w:style w:type="paragraph" w:customStyle="1" w:styleId="29">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11613</Words>
  <Characters>12621</Characters>
  <Lines>162</Lines>
  <Paragraphs>45</Paragraphs>
  <TotalTime>14</TotalTime>
  <ScaleCrop>false</ScaleCrop>
  <LinksUpToDate>false</LinksUpToDate>
  <CharactersWithSpaces>13310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2025-07-30T00:25:34Z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A7FACA96C9164D2EA3147770602B28EA_13</vt:lpwstr>
  </property>
  <property fmtid="{D5CDD505-2E9C-101B-9397-08002B2CF9AE}" pid="4" name="KSOTemplateDocerSaveRecord">
    <vt:lpwstr>eyJoZGlkIjoiZDBlYzBkYTEwODIwYzhjZjA1MTAxNTFkOTI0NzUzNjkiLCJ1c2VySWQiOiIyMjgyNjQ3NTgifQ==</vt:lpwstr>
  </property>
</Properties>
</file>