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AC7F7">
      <w:pPr>
        <w:pStyle w:val="10"/>
        <w:spacing w:line="400" w:lineRule="exact"/>
        <w:jc w:val="center"/>
        <w:rPr>
          <w:rFonts w:ascii="Arial" w:hAnsi="Arial" w:eastAsia="楷体_GB2312" w:cs="Arial"/>
          <w:b/>
          <w:bCs/>
          <w:sz w:val="56"/>
          <w:szCs w:val="72"/>
        </w:rPr>
      </w:pPr>
    </w:p>
    <w:p w14:paraId="27362294">
      <w:pPr>
        <w:pStyle w:val="10"/>
        <w:spacing w:line="400" w:lineRule="exact"/>
        <w:jc w:val="center"/>
        <w:rPr>
          <w:rFonts w:ascii="Arial" w:hAnsi="Arial" w:eastAsia="楷体_GB2312" w:cs="Arial"/>
          <w:b/>
          <w:bCs/>
          <w:sz w:val="56"/>
          <w:szCs w:val="72"/>
        </w:rPr>
      </w:pPr>
    </w:p>
    <w:p w14:paraId="62D9450E">
      <w:pPr>
        <w:pStyle w:val="10"/>
        <w:spacing w:line="400" w:lineRule="exact"/>
        <w:jc w:val="center"/>
        <w:rPr>
          <w:rFonts w:ascii="Arial" w:hAnsi="Arial" w:eastAsia="楷体_GB2312" w:cs="Arial"/>
          <w:b/>
          <w:bCs/>
          <w:sz w:val="56"/>
          <w:szCs w:val="72"/>
        </w:rPr>
      </w:pPr>
    </w:p>
    <w:p w14:paraId="443B1A41">
      <w:pPr>
        <w:pStyle w:val="10"/>
        <w:spacing w:line="400" w:lineRule="exact"/>
        <w:jc w:val="center"/>
        <w:rPr>
          <w:rFonts w:ascii="Arial" w:hAnsi="Arial" w:eastAsia="楷体_GB2312" w:cs="Arial"/>
          <w:b/>
          <w:bCs/>
          <w:sz w:val="56"/>
          <w:szCs w:val="72"/>
        </w:rPr>
      </w:pPr>
    </w:p>
    <w:p w14:paraId="2A6B063B">
      <w:pPr>
        <w:pStyle w:val="10"/>
        <w:spacing w:line="400" w:lineRule="exact"/>
        <w:jc w:val="center"/>
        <w:rPr>
          <w:rFonts w:ascii="Arial" w:hAnsi="Arial" w:eastAsia="楷体_GB2312" w:cs="Arial"/>
          <w:b/>
          <w:bCs/>
          <w:sz w:val="56"/>
          <w:szCs w:val="72"/>
        </w:rPr>
      </w:pPr>
    </w:p>
    <w:p w14:paraId="66DADE5F">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hAnsi="Arial" w:eastAsia="楷体_GB2312" w:cs="Arial"/>
          <w:b/>
          <w:bCs/>
          <w:sz w:val="56"/>
          <w:szCs w:val="72"/>
        </w:rPr>
      </w:pPr>
    </w:p>
    <w:p w14:paraId="7591D3A7">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Ansi="宋体" w:cs="宋体"/>
          <w:b/>
          <w:bCs/>
          <w:sz w:val="48"/>
          <w:szCs w:val="48"/>
        </w:rPr>
      </w:pPr>
      <w:r>
        <w:rPr>
          <w:rFonts w:hint="eastAsia" w:hAnsi="宋体" w:cs="宋体"/>
          <w:b/>
          <w:bCs/>
          <w:sz w:val="48"/>
          <w:szCs w:val="48"/>
        </w:rPr>
        <w:t>桂林市人民医院</w:t>
      </w:r>
    </w:p>
    <w:p w14:paraId="4BD1881D">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cs="宋体"/>
          <w:b/>
          <w:bCs/>
          <w:sz w:val="48"/>
          <w:szCs w:val="48"/>
          <w:lang w:val="en-US" w:eastAsia="zh-CN"/>
        </w:rPr>
      </w:pPr>
      <w:r>
        <w:rPr>
          <w:rFonts w:hint="eastAsia" w:hAnsi="宋体" w:cs="宋体"/>
          <w:b/>
          <w:bCs/>
          <w:sz w:val="48"/>
          <w:szCs w:val="48"/>
        </w:rPr>
        <w:t>象山社区基层一体化信息系统</w:t>
      </w:r>
      <w:r>
        <w:rPr>
          <w:rFonts w:hint="eastAsia" w:hAnsi="宋体" w:cs="宋体"/>
          <w:b/>
          <w:bCs/>
          <w:sz w:val="48"/>
          <w:szCs w:val="48"/>
          <w:lang w:val="en-US" w:eastAsia="zh-CN"/>
        </w:rPr>
        <w:t>项目</w:t>
      </w:r>
    </w:p>
    <w:p w14:paraId="76719225">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Ansi="宋体" w:cs="宋体"/>
          <w:b/>
          <w:bCs/>
          <w:sz w:val="48"/>
          <w:szCs w:val="48"/>
        </w:rPr>
      </w:pPr>
      <w:r>
        <w:rPr>
          <w:rFonts w:hint="eastAsia" w:hAnsi="宋体" w:cs="宋体"/>
          <w:b/>
          <w:bCs/>
          <w:sz w:val="48"/>
          <w:szCs w:val="48"/>
        </w:rPr>
        <w:t>招标文件</w:t>
      </w:r>
    </w:p>
    <w:p w14:paraId="7E00859B">
      <w:pPr>
        <w:pStyle w:val="10"/>
        <w:spacing w:line="400" w:lineRule="exact"/>
        <w:jc w:val="center"/>
        <w:rPr>
          <w:rFonts w:ascii="Arial" w:hAnsi="Arial" w:eastAsia="楷体_GB2312" w:cs="Arial"/>
          <w:b/>
          <w:bCs/>
          <w:sz w:val="24"/>
          <w:szCs w:val="24"/>
        </w:rPr>
      </w:pPr>
    </w:p>
    <w:p w14:paraId="7512885C">
      <w:pPr>
        <w:pStyle w:val="10"/>
        <w:spacing w:line="400" w:lineRule="exact"/>
        <w:ind w:firstLine="2695"/>
        <w:rPr>
          <w:rFonts w:ascii="Arial" w:hAnsi="Arial" w:cs="Arial"/>
          <w:sz w:val="24"/>
          <w:szCs w:val="24"/>
        </w:rPr>
      </w:pPr>
    </w:p>
    <w:p w14:paraId="630637C4">
      <w:pPr>
        <w:pStyle w:val="10"/>
        <w:spacing w:line="400" w:lineRule="exact"/>
        <w:ind w:firstLine="2695"/>
        <w:rPr>
          <w:rFonts w:ascii="Arial" w:hAnsi="Arial" w:cs="Arial"/>
          <w:sz w:val="28"/>
        </w:rPr>
      </w:pPr>
      <w:r>
        <w:rPr>
          <w:rFonts w:ascii="Arial" w:hAnsi="Arial" w:cs="Arial"/>
          <w:sz w:val="28"/>
        </w:rPr>
        <w:cr/>
      </w:r>
    </w:p>
    <w:p w14:paraId="00964E45">
      <w:pPr>
        <w:pStyle w:val="10"/>
        <w:spacing w:line="400" w:lineRule="exact"/>
        <w:ind w:firstLine="2695"/>
        <w:rPr>
          <w:rFonts w:ascii="Arial" w:hAnsi="Arial" w:cs="Arial"/>
          <w:sz w:val="28"/>
        </w:rPr>
      </w:pPr>
    </w:p>
    <w:p w14:paraId="21456E68">
      <w:pPr>
        <w:pStyle w:val="10"/>
        <w:spacing w:line="400" w:lineRule="exact"/>
        <w:ind w:firstLine="2695"/>
        <w:rPr>
          <w:rFonts w:ascii="Arial" w:hAnsi="Arial" w:cs="Arial"/>
          <w:sz w:val="28"/>
        </w:rPr>
      </w:pPr>
    </w:p>
    <w:p w14:paraId="7FA94E3E">
      <w:pPr>
        <w:pStyle w:val="10"/>
        <w:spacing w:line="400" w:lineRule="exact"/>
        <w:ind w:firstLine="2695"/>
        <w:rPr>
          <w:rFonts w:ascii="Arial" w:hAnsi="Arial" w:cs="Arial"/>
          <w:sz w:val="28"/>
        </w:rPr>
      </w:pPr>
    </w:p>
    <w:p w14:paraId="1D2B8A4A">
      <w:pPr>
        <w:pStyle w:val="10"/>
        <w:spacing w:line="400" w:lineRule="exact"/>
        <w:ind w:firstLine="2695"/>
        <w:rPr>
          <w:rFonts w:ascii="Arial" w:hAnsi="Arial" w:cs="Arial"/>
          <w:sz w:val="28"/>
        </w:rPr>
      </w:pPr>
    </w:p>
    <w:p w14:paraId="2A64E804">
      <w:pPr>
        <w:pStyle w:val="10"/>
        <w:spacing w:line="400" w:lineRule="exact"/>
        <w:ind w:firstLine="2695"/>
        <w:rPr>
          <w:rFonts w:ascii="Arial" w:hAnsi="Arial" w:cs="Arial"/>
          <w:sz w:val="28"/>
        </w:rPr>
      </w:pPr>
    </w:p>
    <w:p w14:paraId="7C259E97">
      <w:pPr>
        <w:pStyle w:val="10"/>
        <w:spacing w:line="400" w:lineRule="exact"/>
        <w:rPr>
          <w:rFonts w:ascii="Arial" w:hAnsi="Arial" w:cs="Arial"/>
          <w:sz w:val="28"/>
        </w:rPr>
      </w:pPr>
    </w:p>
    <w:p w14:paraId="4A420F73">
      <w:pPr>
        <w:pStyle w:val="10"/>
        <w:spacing w:line="400" w:lineRule="exact"/>
        <w:rPr>
          <w:rFonts w:ascii="Arial" w:hAnsi="Arial" w:cs="Arial"/>
          <w:sz w:val="28"/>
        </w:rPr>
      </w:pPr>
    </w:p>
    <w:p w14:paraId="63578DB6">
      <w:pPr>
        <w:pStyle w:val="4"/>
        <w:spacing w:line="400" w:lineRule="exact"/>
        <w:rPr>
          <w:rFonts w:ascii="Arial" w:hAnsi="Arial" w:cs="Arial"/>
          <w:sz w:val="28"/>
        </w:rPr>
      </w:pPr>
    </w:p>
    <w:p w14:paraId="30E45E47">
      <w:pPr>
        <w:spacing w:line="400" w:lineRule="exact"/>
        <w:rPr>
          <w:rFonts w:ascii="Arial" w:hAnsi="Arial" w:cs="Arial"/>
          <w:sz w:val="28"/>
        </w:rPr>
      </w:pPr>
    </w:p>
    <w:p w14:paraId="4401977E">
      <w:pPr>
        <w:spacing w:line="400" w:lineRule="exact"/>
        <w:rPr>
          <w:rFonts w:ascii="Arial" w:hAnsi="Arial" w:cs="Arial"/>
          <w:sz w:val="28"/>
        </w:rPr>
      </w:pPr>
    </w:p>
    <w:p w14:paraId="0C1DA47A">
      <w:pPr>
        <w:spacing w:line="400" w:lineRule="exact"/>
      </w:pPr>
    </w:p>
    <w:p w14:paraId="683B9EC8">
      <w:pPr>
        <w:spacing w:line="400" w:lineRule="exact"/>
        <w:rPr>
          <w:rFonts w:ascii="Arial" w:hAnsi="Arial" w:cs="Arial"/>
          <w:sz w:val="28"/>
        </w:rPr>
      </w:pPr>
    </w:p>
    <w:p w14:paraId="52473CEA">
      <w:pPr>
        <w:pStyle w:val="10"/>
        <w:spacing w:line="400" w:lineRule="exact"/>
        <w:rPr>
          <w:rFonts w:ascii="Arial" w:hAnsi="Arial" w:cs="Arial"/>
          <w:sz w:val="28"/>
        </w:rPr>
      </w:pPr>
    </w:p>
    <w:p w14:paraId="11F8CA2E">
      <w:pPr>
        <w:pStyle w:val="10"/>
        <w:spacing w:line="400" w:lineRule="exact"/>
        <w:jc w:val="center"/>
        <w:rPr>
          <w:rFonts w:hAnsi="宋体" w:cs="宋体"/>
          <w:b/>
          <w:bCs/>
          <w:sz w:val="36"/>
          <w:szCs w:val="36"/>
        </w:rPr>
      </w:pPr>
      <w:r>
        <w:rPr>
          <w:rFonts w:hint="eastAsia" w:hAnsi="宋体" w:cs="宋体"/>
          <w:b/>
          <w:bCs/>
          <w:sz w:val="36"/>
          <w:szCs w:val="36"/>
        </w:rPr>
        <w:t>2025年</w:t>
      </w:r>
      <w:r>
        <w:rPr>
          <w:rFonts w:hint="eastAsia" w:hAnsi="宋体" w:cs="宋体"/>
          <w:b/>
          <w:bCs/>
          <w:sz w:val="36"/>
          <w:szCs w:val="36"/>
          <w:lang w:val="en-US" w:eastAsia="zh-CN"/>
        </w:rPr>
        <w:t>7</w:t>
      </w:r>
      <w:r>
        <w:rPr>
          <w:rFonts w:hint="eastAsia" w:hAnsi="宋体" w:cs="宋体"/>
          <w:b/>
          <w:bCs/>
          <w:sz w:val="36"/>
          <w:szCs w:val="36"/>
        </w:rPr>
        <w:t>月</w:t>
      </w:r>
      <w:r>
        <w:rPr>
          <w:rFonts w:hint="eastAsia" w:hAnsi="宋体" w:cs="宋体"/>
          <w:b/>
          <w:bCs/>
          <w:sz w:val="36"/>
          <w:szCs w:val="36"/>
          <w:lang w:val="en-US" w:eastAsia="zh-CN"/>
        </w:rPr>
        <w:t>16</w:t>
      </w:r>
      <w:r>
        <w:rPr>
          <w:rFonts w:hint="eastAsia" w:hAnsi="宋体" w:cs="宋体"/>
          <w:b/>
          <w:bCs/>
          <w:sz w:val="36"/>
          <w:szCs w:val="36"/>
        </w:rPr>
        <w:t>日</w:t>
      </w:r>
    </w:p>
    <w:p w14:paraId="10711324">
      <w:pPr>
        <w:pStyle w:val="10"/>
        <w:spacing w:line="400" w:lineRule="exact"/>
        <w:jc w:val="center"/>
        <w:rPr>
          <w:rFonts w:hAnsi="宋体" w:cs="宋体"/>
          <w:b/>
          <w:bCs/>
          <w:sz w:val="36"/>
          <w:szCs w:val="36"/>
        </w:rPr>
      </w:pPr>
    </w:p>
    <w:p w14:paraId="5CF80A0B">
      <w:pPr>
        <w:pStyle w:val="10"/>
        <w:spacing w:line="400" w:lineRule="exact"/>
        <w:rPr>
          <w:rFonts w:hAnsi="宋体" w:cs="宋体"/>
          <w:b/>
          <w:bCs/>
          <w:sz w:val="36"/>
          <w:szCs w:val="36"/>
        </w:rPr>
      </w:pPr>
    </w:p>
    <w:p w14:paraId="32A62A27">
      <w:pPr>
        <w:pStyle w:val="10"/>
        <w:spacing w:line="400" w:lineRule="exact"/>
        <w:rPr>
          <w:rFonts w:hAnsi="宋体" w:cs="宋体"/>
          <w:b/>
          <w:bCs/>
          <w:sz w:val="36"/>
          <w:szCs w:val="36"/>
        </w:rPr>
      </w:pPr>
    </w:p>
    <w:p w14:paraId="7BD052AE">
      <w:pPr>
        <w:pStyle w:val="23"/>
        <w:spacing w:before="0" w:line="400" w:lineRule="exact"/>
        <w:ind w:left="0"/>
        <w:jc w:val="both"/>
        <w:rPr>
          <w:rFonts w:ascii="Arial" w:hAnsi="宋体" w:eastAsia="宋体" w:cs="Arial"/>
          <w:b/>
          <w:bCs/>
          <w:color w:val="auto"/>
          <w:sz w:val="44"/>
          <w:szCs w:val="44"/>
          <w:lang w:val="zh-CN"/>
        </w:rPr>
      </w:pPr>
    </w:p>
    <w:p w14:paraId="0200D10E">
      <w:pPr>
        <w:pStyle w:val="23"/>
        <w:spacing w:before="0" w:line="400" w:lineRule="exact"/>
        <w:ind w:left="0"/>
        <w:jc w:val="center"/>
        <w:rPr>
          <w:rFonts w:ascii="Arial" w:hAnsi="宋体" w:eastAsia="宋体" w:cs="Arial"/>
          <w:b/>
          <w:bCs/>
          <w:color w:val="auto"/>
          <w:sz w:val="44"/>
          <w:szCs w:val="44"/>
          <w:lang w:val="zh-CN"/>
        </w:rPr>
      </w:pPr>
    </w:p>
    <w:p w14:paraId="7460B2AA">
      <w:pPr>
        <w:pStyle w:val="23"/>
        <w:spacing w:before="0" w:line="460" w:lineRule="exact"/>
        <w:ind w:left="0"/>
        <w:jc w:val="center"/>
        <w:rPr>
          <w:rFonts w:ascii="Arial" w:hAnsi="宋体" w:eastAsia="宋体" w:cs="Arial"/>
          <w:b/>
          <w:bCs/>
          <w:color w:val="auto"/>
          <w:sz w:val="44"/>
          <w:szCs w:val="44"/>
          <w:lang w:val="zh-CN"/>
        </w:rPr>
      </w:pPr>
      <w:r>
        <w:rPr>
          <w:rFonts w:ascii="Arial" w:hAnsi="宋体" w:eastAsia="宋体" w:cs="Arial"/>
          <w:b/>
          <w:bCs/>
          <w:color w:val="auto"/>
          <w:sz w:val="44"/>
          <w:szCs w:val="44"/>
          <w:lang w:val="zh-CN"/>
        </w:rPr>
        <w:t>目录</w:t>
      </w:r>
    </w:p>
    <w:p w14:paraId="3CB326E3">
      <w:pPr>
        <w:spacing w:line="400" w:lineRule="exact"/>
      </w:pPr>
    </w:p>
    <w:p w14:paraId="3FE79813">
      <w:pPr>
        <w:pStyle w:val="9"/>
        <w:tabs>
          <w:tab w:val="right" w:leader="dot" w:pos="9628"/>
        </w:tabs>
        <w:spacing w:line="400" w:lineRule="exact"/>
        <w:ind w:left="0" w:leftChars="0"/>
        <w:rPr>
          <w:rFonts w:ascii="Arial" w:hAnsi="Arial" w:cs="Arial"/>
          <w:color w:val="0000FF"/>
          <w:sz w:val="24"/>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r>
        <w:fldChar w:fldCharType="begin"/>
      </w:r>
      <w:r>
        <w:instrText xml:space="preserve"> HYPERLINK \l "_Toc33820534" </w:instrText>
      </w:r>
      <w:r>
        <w:fldChar w:fldCharType="separate"/>
      </w:r>
      <w:r>
        <w:rPr>
          <w:rStyle w:val="21"/>
          <w:rFonts w:ascii="Arial" w:cs="Arial"/>
          <w:sz w:val="24"/>
        </w:rPr>
        <w:t>第一章</w:t>
      </w:r>
      <w:r>
        <w:rPr>
          <w:rStyle w:val="21"/>
          <w:rFonts w:hint="eastAsia" w:ascii="Arial" w:cs="Arial"/>
          <w:sz w:val="24"/>
        </w:rPr>
        <w:t xml:space="preserve">  招标</w:t>
      </w:r>
      <w:r>
        <w:rPr>
          <w:rStyle w:val="21"/>
          <w:rFonts w:ascii="Arial" w:cs="Arial"/>
          <w:sz w:val="24"/>
        </w:rPr>
        <w:t>公告</w:t>
      </w:r>
      <w:r>
        <w:rPr>
          <w:rFonts w:ascii="Arial" w:hAnsi="Arial" w:cs="Arial"/>
          <w:color w:val="0000FF"/>
          <w:sz w:val="24"/>
        </w:rPr>
        <w:tab/>
      </w:r>
      <w:r>
        <w:rPr>
          <w:rFonts w:hint="eastAsia" w:ascii="Arial" w:hAnsi="Arial" w:cs="Arial"/>
          <w:color w:val="0000FF"/>
          <w:sz w:val="24"/>
        </w:rPr>
        <w:t>3</w:t>
      </w:r>
      <w:r>
        <w:rPr>
          <w:rFonts w:hint="eastAsia" w:ascii="Arial" w:hAnsi="Arial" w:cs="Arial"/>
          <w:color w:val="0000FF"/>
          <w:sz w:val="24"/>
        </w:rPr>
        <w:fldChar w:fldCharType="end"/>
      </w:r>
    </w:p>
    <w:p w14:paraId="32C1E0ED">
      <w:pPr>
        <w:pStyle w:val="9"/>
        <w:tabs>
          <w:tab w:val="right" w:leader="dot" w:pos="9628"/>
        </w:tabs>
        <w:spacing w:line="400" w:lineRule="exact"/>
        <w:ind w:left="0" w:leftChars="0"/>
        <w:rPr>
          <w:color w:val="0000FF"/>
        </w:rPr>
      </w:pPr>
      <w:r>
        <w:fldChar w:fldCharType="begin"/>
      </w:r>
      <w:r>
        <w:instrText xml:space="preserve"> HYPERLINK \l "_Toc33820536" </w:instrText>
      </w:r>
      <w:r>
        <w:fldChar w:fldCharType="separate"/>
      </w:r>
      <w:r>
        <w:rPr>
          <w:rStyle w:val="21"/>
          <w:rFonts w:ascii="Arial" w:cs="Arial"/>
          <w:sz w:val="24"/>
        </w:rPr>
        <w:t>第</w:t>
      </w:r>
      <w:r>
        <w:rPr>
          <w:rStyle w:val="21"/>
          <w:rFonts w:hint="eastAsia" w:ascii="Arial" w:cs="Arial"/>
          <w:sz w:val="24"/>
        </w:rPr>
        <w:t>二</w:t>
      </w:r>
      <w:r>
        <w:rPr>
          <w:rStyle w:val="21"/>
          <w:rFonts w:ascii="Arial" w:cs="Arial"/>
          <w:sz w:val="24"/>
        </w:rPr>
        <w:t>章</w:t>
      </w:r>
      <w:r>
        <w:rPr>
          <w:rStyle w:val="21"/>
          <w:rFonts w:hint="eastAsia" w:ascii="Arial" w:cs="Arial"/>
          <w:sz w:val="24"/>
        </w:rPr>
        <w:t xml:space="preserve">  </w:t>
      </w:r>
      <w:r>
        <w:rPr>
          <w:rStyle w:val="21"/>
          <w:rFonts w:ascii="Arial" w:cs="Arial"/>
          <w:sz w:val="24"/>
        </w:rPr>
        <w:t>项目需求和说明</w:t>
      </w:r>
      <w:r>
        <w:rPr>
          <w:rFonts w:ascii="Arial" w:hAnsi="Arial" w:cs="Arial"/>
          <w:color w:val="0000FF"/>
          <w:sz w:val="24"/>
        </w:rPr>
        <w:tab/>
      </w:r>
      <w:r>
        <w:rPr>
          <w:rFonts w:hint="eastAsia" w:ascii="Arial" w:hAnsi="Arial" w:cs="Arial"/>
          <w:color w:val="0000FF"/>
          <w:sz w:val="24"/>
        </w:rPr>
        <w:t>5</w:t>
      </w:r>
      <w:r>
        <w:rPr>
          <w:rFonts w:hint="eastAsia" w:ascii="Arial" w:hAnsi="Arial" w:cs="Arial"/>
          <w:color w:val="0000FF"/>
          <w:sz w:val="24"/>
        </w:rPr>
        <w:fldChar w:fldCharType="end"/>
      </w:r>
    </w:p>
    <w:p w14:paraId="52DEBDA3">
      <w:pPr>
        <w:pStyle w:val="9"/>
        <w:tabs>
          <w:tab w:val="right" w:leader="dot" w:pos="9628"/>
        </w:tabs>
        <w:spacing w:line="400" w:lineRule="exact"/>
        <w:ind w:left="0" w:leftChars="0"/>
        <w:rPr>
          <w:rFonts w:hint="default" w:ascii="Arial" w:hAnsi="Arial" w:eastAsia="宋体" w:cs="Arial"/>
          <w:color w:val="0000FF"/>
          <w:sz w:val="24"/>
          <w:lang w:val="en-US" w:eastAsia="zh-CN"/>
        </w:rPr>
      </w:pPr>
      <w:r>
        <w:fldChar w:fldCharType="begin"/>
      </w:r>
      <w:r>
        <w:instrText xml:space="preserve"> HYPERLINK \l "_Toc33820536" </w:instrText>
      </w:r>
      <w:r>
        <w:fldChar w:fldCharType="separate"/>
      </w:r>
      <w:r>
        <w:rPr>
          <w:rFonts w:hint="eastAsia"/>
          <w:sz w:val="24"/>
        </w:rPr>
        <w:t>第三章  评标办法</w:t>
      </w:r>
      <w:r>
        <w:rPr>
          <w:rFonts w:ascii="Arial" w:hAnsi="Arial" w:cs="Arial"/>
          <w:color w:val="0000FF"/>
          <w:sz w:val="24"/>
        </w:rPr>
        <w:tab/>
      </w:r>
      <w:r>
        <w:rPr>
          <w:rFonts w:ascii="Arial" w:hAnsi="Arial" w:cs="Arial"/>
          <w:color w:val="0000FF"/>
          <w:sz w:val="24"/>
        </w:rPr>
        <w:fldChar w:fldCharType="end"/>
      </w:r>
      <w:r>
        <w:rPr>
          <w:rFonts w:hint="eastAsia" w:ascii="Arial" w:hAnsi="Arial" w:cs="Arial"/>
          <w:color w:val="0000FF"/>
          <w:sz w:val="24"/>
          <w:lang w:val="en-US" w:eastAsia="zh-CN"/>
        </w:rPr>
        <w:t>18</w:t>
      </w:r>
    </w:p>
    <w:p w14:paraId="461DF260">
      <w:pPr>
        <w:pStyle w:val="9"/>
        <w:tabs>
          <w:tab w:val="right" w:leader="dot" w:pos="9628"/>
        </w:tabs>
        <w:spacing w:line="400" w:lineRule="exact"/>
        <w:ind w:left="0" w:leftChars="0"/>
        <w:rPr>
          <w:rFonts w:hint="eastAsia" w:ascii="Arial" w:hAnsi="Arial" w:eastAsia="宋体" w:cs="Arial"/>
          <w:color w:val="0000FF"/>
          <w:sz w:val="24"/>
          <w:lang w:val="en-US" w:eastAsia="zh-CN"/>
        </w:rPr>
      </w:pPr>
      <w:r>
        <w:rPr>
          <w:rFonts w:hint="eastAsia" w:ascii="Arial" w:hAnsi="Arial" w:cs="Arial"/>
          <w:color w:val="0000FF"/>
          <w:sz w:val="24"/>
        </w:rPr>
        <w:t>第四章  招标文件格式</w:t>
      </w:r>
      <w:r>
        <w:rPr>
          <w:rFonts w:ascii="Arial" w:hAnsi="Arial" w:cs="Arial"/>
          <w:color w:val="0000FF"/>
          <w:sz w:val="24"/>
        </w:rPr>
        <w:tab/>
      </w:r>
      <w:r>
        <w:rPr>
          <w:rFonts w:ascii="Arial" w:hAnsi="Arial" w:cs="Arial"/>
          <w:color w:val="0000FF"/>
          <w:sz w:val="24"/>
        </w:rPr>
        <w:t>……………………………………………………………………………</w:t>
      </w:r>
      <w:r>
        <w:rPr>
          <w:rFonts w:hint="eastAsia" w:ascii="Arial" w:hAnsi="Arial" w:cs="Arial"/>
          <w:color w:val="0000FF"/>
          <w:sz w:val="24"/>
        </w:rPr>
        <w:t>2</w:t>
      </w:r>
      <w:r>
        <w:rPr>
          <w:rFonts w:hint="eastAsia" w:ascii="Arial" w:hAnsi="Arial" w:cs="Arial"/>
          <w:color w:val="0000FF"/>
          <w:sz w:val="24"/>
          <w:lang w:val="en-US" w:eastAsia="zh-CN"/>
        </w:rPr>
        <w:t>0</w:t>
      </w:r>
    </w:p>
    <w:p w14:paraId="05E836C1">
      <w:pPr>
        <w:spacing w:line="400" w:lineRule="exact"/>
      </w:pPr>
    </w:p>
    <w:p w14:paraId="3889307A">
      <w:pPr>
        <w:spacing w:line="400" w:lineRule="exact"/>
        <w:jc w:val="center"/>
        <w:rPr>
          <w:rFonts w:ascii="Arial" w:hAnsi="Arial" w:cs="Arial"/>
          <w:b/>
          <w:bCs/>
          <w:lang w:val="zh-CN"/>
        </w:rPr>
      </w:pPr>
      <w:r>
        <w:rPr>
          <w:rFonts w:ascii="Arial" w:hAnsi="Arial" w:cs="Arial"/>
          <w:b/>
          <w:bCs/>
          <w:lang w:val="zh-CN"/>
        </w:rPr>
        <w:fldChar w:fldCharType="end"/>
      </w:r>
    </w:p>
    <w:p w14:paraId="0215922A">
      <w:pPr>
        <w:spacing w:line="400" w:lineRule="exact"/>
        <w:jc w:val="center"/>
        <w:rPr>
          <w:rFonts w:ascii="宋体" w:hAnsi="宋体" w:cs="宋体"/>
          <w:b/>
          <w:bCs/>
          <w:color w:val="000000" w:themeColor="text1"/>
          <w:sz w:val="32"/>
          <w:szCs w:val="32"/>
          <w14:textFill>
            <w14:solidFill>
              <w14:schemeClr w14:val="tx1"/>
            </w14:solidFill>
          </w14:textFill>
        </w:rPr>
        <w:sectPr>
          <w:footerReference r:id="rId3" w:type="default"/>
          <w:pgSz w:w="11906" w:h="16838"/>
          <w:pgMar w:top="1440" w:right="1080" w:bottom="1440" w:left="1080" w:header="851" w:footer="992" w:gutter="0"/>
          <w:cols w:space="425" w:num="1"/>
          <w:docGrid w:type="lines" w:linePitch="312" w:charSpace="0"/>
        </w:sectPr>
      </w:pPr>
    </w:p>
    <w:p w14:paraId="10950092">
      <w:pPr>
        <w:pStyle w:val="2"/>
        <w:spacing w:line="400" w:lineRule="exact"/>
        <w:jc w:val="center"/>
        <w:rPr>
          <w:sz w:val="32"/>
          <w:szCs w:val="32"/>
        </w:rPr>
      </w:pPr>
      <w:r>
        <w:rPr>
          <w:rFonts w:hint="eastAsia"/>
          <w:sz w:val="32"/>
          <w:szCs w:val="32"/>
        </w:rPr>
        <w:t>第一章  招标公告</w:t>
      </w:r>
    </w:p>
    <w:p w14:paraId="3F439411">
      <w:pPr>
        <w:spacing w:line="400" w:lineRule="exact"/>
        <w:ind w:firstLine="480" w:firstLineChars="200"/>
        <w:rPr>
          <w:rFonts w:ascii="宋体" w:hAnsi="宋体" w:cs="宋体"/>
          <w:sz w:val="24"/>
        </w:rPr>
      </w:pPr>
    </w:p>
    <w:p w14:paraId="08EC22F4">
      <w:pPr>
        <w:spacing w:line="400" w:lineRule="exact"/>
        <w:ind w:firstLine="480" w:firstLineChars="200"/>
        <w:rPr>
          <w:rFonts w:ascii="宋体" w:hAnsi="宋体" w:cs="宋体"/>
          <w:sz w:val="24"/>
        </w:rPr>
      </w:pPr>
      <w:r>
        <w:rPr>
          <w:rFonts w:hint="eastAsia" w:ascii="宋体" w:hAnsi="宋体" w:cs="宋体"/>
          <w:sz w:val="24"/>
        </w:rPr>
        <w:t>现有桂林市人民医院象山社区基层一体化信息系统</w:t>
      </w:r>
      <w:r>
        <w:rPr>
          <w:rFonts w:hint="eastAsia" w:ascii="宋体" w:hAnsi="宋体" w:cs="宋体"/>
          <w:bCs/>
          <w:sz w:val="24"/>
        </w:rPr>
        <w:t>采购</w:t>
      </w:r>
      <w:r>
        <w:rPr>
          <w:rFonts w:hint="eastAsia" w:ascii="宋体" w:hAnsi="宋体" w:cs="宋体"/>
          <w:sz w:val="24"/>
        </w:rPr>
        <w:t>项目，为确保质优价廉，决定通过院内公开招标确定供应商，现将有关内容公告如下：</w:t>
      </w:r>
    </w:p>
    <w:p w14:paraId="6EB0837F">
      <w:pPr>
        <w:spacing w:line="400" w:lineRule="exact"/>
        <w:ind w:firstLine="482" w:firstLineChars="200"/>
        <w:rPr>
          <w:rFonts w:ascii="宋体" w:hAnsi="宋体" w:cs="宋体"/>
          <w:b/>
          <w:bCs/>
          <w:sz w:val="24"/>
        </w:rPr>
      </w:pPr>
      <w:r>
        <w:rPr>
          <w:rFonts w:hint="eastAsia" w:ascii="宋体" w:hAnsi="宋体" w:cs="宋体"/>
          <w:b/>
          <w:bCs/>
          <w:sz w:val="24"/>
        </w:rPr>
        <w:t>一、项目基本情况：</w:t>
      </w:r>
    </w:p>
    <w:p w14:paraId="39B84138">
      <w:pPr>
        <w:spacing w:line="400" w:lineRule="exact"/>
        <w:ind w:firstLine="482" w:firstLineChars="200"/>
        <w:rPr>
          <w:rFonts w:hint="eastAsia" w:ascii="宋体" w:hAnsi="宋体" w:cs="宋体"/>
          <w:sz w:val="24"/>
        </w:rPr>
      </w:pPr>
      <w:r>
        <w:rPr>
          <w:rFonts w:hint="eastAsia" w:ascii="宋体" w:hAnsi="宋体" w:cs="宋体"/>
          <w:b/>
          <w:bCs/>
          <w:sz w:val="24"/>
        </w:rPr>
        <w:t>（一）项目名称：</w:t>
      </w:r>
      <w:r>
        <w:rPr>
          <w:rFonts w:hint="eastAsia" w:ascii="宋体" w:hAnsi="宋体" w:cs="宋体"/>
          <w:sz w:val="24"/>
        </w:rPr>
        <w:t>桂林市人民医院象山社区基层一体化信息系统</w:t>
      </w:r>
    </w:p>
    <w:p w14:paraId="2ED70A2F">
      <w:pPr>
        <w:spacing w:line="400" w:lineRule="exact"/>
        <w:ind w:firstLine="482" w:firstLineChars="200"/>
        <w:rPr>
          <w:rFonts w:hint="eastAsia" w:ascii="宋体" w:hAnsi="宋体" w:eastAsia="宋体" w:cs="宋体"/>
          <w:sz w:val="24"/>
          <w:lang w:eastAsia="zh-CN"/>
        </w:rPr>
      </w:pPr>
      <w:r>
        <w:rPr>
          <w:rFonts w:hint="eastAsia" w:ascii="宋体" w:hAnsi="宋体" w:cs="宋体"/>
          <w:b/>
          <w:bCs/>
          <w:sz w:val="24"/>
        </w:rPr>
        <w:t>（二）项目编号：</w:t>
      </w:r>
      <w:r>
        <w:rPr>
          <w:rFonts w:hint="eastAsia" w:ascii="宋体" w:hAnsi="宋体" w:cs="宋体"/>
          <w:sz w:val="24"/>
        </w:rPr>
        <w:t>XXK-2025-01</w:t>
      </w:r>
      <w:r>
        <w:rPr>
          <w:rFonts w:hint="eastAsia" w:ascii="宋体" w:hAnsi="宋体" w:cs="宋体"/>
          <w:sz w:val="24"/>
          <w:lang w:val="en-US" w:eastAsia="zh-CN"/>
        </w:rPr>
        <w:t>4</w:t>
      </w:r>
    </w:p>
    <w:p w14:paraId="7AE43F3E">
      <w:pPr>
        <w:spacing w:line="400" w:lineRule="exact"/>
        <w:ind w:left="480"/>
        <w:rPr>
          <w:rFonts w:ascii="宋体" w:hAnsi="宋体" w:cs="宋体"/>
          <w:b/>
          <w:bCs/>
          <w:sz w:val="24"/>
        </w:rPr>
      </w:pPr>
      <w:r>
        <w:rPr>
          <w:rFonts w:hint="eastAsia" w:ascii="宋体" w:hAnsi="宋体" w:cs="宋体"/>
          <w:b/>
          <w:bCs/>
          <w:sz w:val="24"/>
        </w:rPr>
        <w:t>（三）项目概况：</w:t>
      </w:r>
    </w:p>
    <w:p w14:paraId="31B7A628">
      <w:pPr>
        <w:spacing w:line="400" w:lineRule="exact"/>
        <w:ind w:firstLine="480" w:firstLineChars="200"/>
        <w:rPr>
          <w:rFonts w:ascii="宋体" w:hAnsi="宋体" w:cs="宋体"/>
          <w:sz w:val="24"/>
        </w:rPr>
      </w:pPr>
      <w:r>
        <w:rPr>
          <w:rFonts w:hint="eastAsia" w:ascii="宋体" w:hAnsi="宋体" w:cs="宋体"/>
          <w:sz w:val="24"/>
        </w:rPr>
        <w:t>1.通过院内公开招标确定桂林市人民医院象山社区基层一体化信息系统项目供应商。</w:t>
      </w:r>
    </w:p>
    <w:p w14:paraId="464032CD">
      <w:pPr>
        <w:spacing w:line="400" w:lineRule="exact"/>
        <w:ind w:firstLine="480" w:firstLineChars="200"/>
        <w:rPr>
          <w:rFonts w:ascii="宋体" w:hAnsi="宋体" w:cs="宋体"/>
          <w:sz w:val="24"/>
        </w:rPr>
      </w:pPr>
      <w:r>
        <w:rPr>
          <w:rFonts w:hint="eastAsia" w:ascii="宋体" w:hAnsi="宋体" w:cs="宋体"/>
          <w:sz w:val="24"/>
        </w:rPr>
        <w:t>2.服务地点：桂林市人民医院</w:t>
      </w:r>
    </w:p>
    <w:p w14:paraId="71729597">
      <w:pPr>
        <w:spacing w:line="400" w:lineRule="exact"/>
        <w:ind w:firstLine="482" w:firstLineChars="200"/>
        <w:rPr>
          <w:rFonts w:ascii="宋体" w:hAnsi="宋体" w:cs="宋体"/>
          <w:sz w:val="24"/>
        </w:rPr>
      </w:pPr>
      <w:r>
        <w:rPr>
          <w:rFonts w:hint="eastAsia" w:ascii="宋体" w:hAnsi="宋体" w:cs="宋体"/>
          <w:b/>
          <w:bCs/>
          <w:sz w:val="24"/>
        </w:rPr>
        <w:t>（四）</w:t>
      </w:r>
      <w:r>
        <w:rPr>
          <w:rFonts w:hint="eastAsia"/>
          <w:sz w:val="24"/>
        </w:rPr>
        <w:t>项目预算控制价</w:t>
      </w:r>
      <w:r>
        <w:rPr>
          <w:rFonts w:hint="eastAsia" w:ascii="宋体" w:hAnsi="宋体" w:cs="宋体"/>
          <w:b/>
          <w:bCs/>
          <w:sz w:val="24"/>
        </w:rPr>
        <w:t>：</w:t>
      </w:r>
      <w:r>
        <w:rPr>
          <w:rFonts w:hint="eastAsia" w:ascii="宋体" w:hAnsi="宋体" w:cs="宋体"/>
          <w:spacing w:val="-2"/>
          <w:sz w:val="24"/>
        </w:rPr>
        <w:t>本项目</w:t>
      </w:r>
      <w:r>
        <w:rPr>
          <w:rFonts w:hint="eastAsia" w:ascii="宋体" w:hAnsi="宋体" w:cs="宋体"/>
          <w:bCs/>
          <w:sz w:val="24"/>
        </w:rPr>
        <w:t>预算控制价为</w:t>
      </w:r>
      <w:r>
        <w:rPr>
          <w:rFonts w:hint="eastAsia" w:ascii="宋体" w:hAnsi="宋体" w:eastAsia="宋体" w:cs="宋体"/>
          <w:b w:val="0"/>
          <w:bCs w:val="0"/>
          <w:color w:val="auto"/>
          <w:sz w:val="24"/>
          <w:szCs w:val="24"/>
          <w:lang w:val="en-US" w:eastAsia="zh-CN"/>
        </w:rPr>
        <w:t>人民币叁拾玖万贰仟元整（¥392000</w:t>
      </w:r>
      <w:r>
        <w:rPr>
          <w:rFonts w:hint="eastAsia" w:ascii="宋体" w:hAnsi="宋体" w:cs="宋体"/>
          <w:b w:val="0"/>
          <w:bCs w:val="0"/>
          <w:color w:val="auto"/>
          <w:sz w:val="24"/>
          <w:szCs w:val="24"/>
          <w:lang w:val="en-US" w:eastAsia="zh-CN"/>
        </w:rPr>
        <w:t>.00</w:t>
      </w:r>
      <w:r>
        <w:rPr>
          <w:rFonts w:hint="eastAsia" w:ascii="宋体" w:hAnsi="宋体" w:eastAsia="宋体" w:cs="宋体"/>
          <w:b w:val="0"/>
          <w:bCs w:val="0"/>
          <w:color w:val="auto"/>
          <w:sz w:val="24"/>
          <w:szCs w:val="24"/>
          <w:lang w:val="en-US" w:eastAsia="zh-CN"/>
        </w:rPr>
        <w:t>）</w:t>
      </w:r>
      <w:r>
        <w:rPr>
          <w:rFonts w:hint="eastAsia" w:ascii="宋体" w:hAnsi="宋体" w:cs="宋体"/>
          <w:bCs/>
          <w:sz w:val="24"/>
        </w:rPr>
        <w:t>，</w:t>
      </w:r>
      <w:r>
        <w:rPr>
          <w:rFonts w:hint="eastAsia" w:ascii="宋体" w:hAnsi="宋体" w:cs="宋体"/>
          <w:spacing w:val="-2"/>
          <w:sz w:val="24"/>
        </w:rPr>
        <w:t>投标人报价超出参考预算控制价的，按无效处理。</w:t>
      </w:r>
      <w:r>
        <w:rPr>
          <w:rFonts w:hint="eastAsia" w:cs="宋体"/>
          <w:color w:val="000000" w:themeColor="text1"/>
          <w:sz w:val="24"/>
          <w:shd w:val="clear" w:color="auto" w:fill="FFFFFF"/>
          <w14:textFill>
            <w14:solidFill>
              <w14:schemeClr w14:val="tx1"/>
            </w14:solidFill>
          </w14:textFill>
        </w:rPr>
        <w:t>本项目不接受</w:t>
      </w:r>
      <w:r>
        <w:rPr>
          <w:rFonts w:hint="eastAsia" w:ascii="宋体" w:hAnsi="宋体" w:cs="宋体"/>
          <w:sz w:val="24"/>
        </w:rPr>
        <w:t>二次报价。</w:t>
      </w:r>
    </w:p>
    <w:p w14:paraId="0A1456D2">
      <w:pPr>
        <w:spacing w:line="400" w:lineRule="exact"/>
        <w:ind w:firstLine="482" w:firstLineChars="200"/>
        <w:rPr>
          <w:rFonts w:ascii="宋体" w:hAnsi="宋体" w:cs="宋体"/>
          <w:b/>
          <w:bCs/>
          <w:sz w:val="24"/>
        </w:rPr>
      </w:pPr>
      <w:r>
        <w:rPr>
          <w:rFonts w:hint="eastAsia" w:ascii="宋体" w:hAnsi="宋体" w:cs="宋体"/>
          <w:b/>
          <w:bCs/>
          <w:sz w:val="24"/>
        </w:rPr>
        <w:t>二、供应商资质条件要求</w:t>
      </w:r>
    </w:p>
    <w:p w14:paraId="5ED31520">
      <w:pPr>
        <w:spacing w:line="400" w:lineRule="exact"/>
        <w:ind w:firstLine="480" w:firstLineChars="200"/>
        <w:jc w:val="left"/>
        <w:rPr>
          <w:rFonts w:ascii="宋体" w:hAnsi="宋体" w:cs="宋体"/>
          <w:kern w:val="0"/>
          <w:sz w:val="24"/>
        </w:rPr>
      </w:pPr>
      <w:r>
        <w:rPr>
          <w:rFonts w:hint="eastAsia" w:ascii="宋体" w:hAnsi="宋体" w:cs="宋体"/>
          <w:kern w:val="0"/>
          <w:sz w:val="24"/>
        </w:rPr>
        <w:t>1.国内注册【依法在市场监督管理部门（或行政审批部门）登记注册】的，具备合法资格的供应商；</w:t>
      </w:r>
    </w:p>
    <w:p w14:paraId="233A1DCB">
      <w:pPr>
        <w:spacing w:line="400" w:lineRule="exact"/>
        <w:ind w:firstLine="480" w:firstLineChars="200"/>
        <w:jc w:val="left"/>
        <w:rPr>
          <w:rFonts w:ascii="宋体" w:hAnsi="宋体" w:cs="宋体"/>
          <w:kern w:val="0"/>
          <w:sz w:val="24"/>
        </w:rPr>
      </w:pPr>
      <w:r>
        <w:rPr>
          <w:rFonts w:hint="eastAsia" w:ascii="宋体" w:hAnsi="宋体" w:cs="宋体"/>
          <w:kern w:val="0"/>
          <w:sz w:val="24"/>
        </w:rPr>
        <w:t>2.参加本投标活动前三年内，在经营活动中没有重大违法记录；</w:t>
      </w:r>
    </w:p>
    <w:p w14:paraId="77BB07E1">
      <w:pPr>
        <w:spacing w:line="400" w:lineRule="exact"/>
        <w:ind w:firstLine="480" w:firstLineChars="200"/>
        <w:jc w:val="left"/>
        <w:rPr>
          <w:rFonts w:ascii="宋体" w:hAnsi="宋体" w:cs="宋体"/>
          <w:kern w:val="0"/>
          <w:sz w:val="24"/>
        </w:rPr>
      </w:pPr>
      <w:r>
        <w:rPr>
          <w:rFonts w:hint="eastAsia" w:ascii="宋体" w:hAnsi="宋体" w:cs="宋体"/>
          <w:kern w:val="0"/>
          <w:sz w:val="24"/>
        </w:rPr>
        <w:t>3.本项目不接受在“信用中国”网站(www.creditchina.gov.cn)被列入失信被执行人、重大税收违法失信主体、严重违法失信行为记录名单的投标人参与投标；</w:t>
      </w:r>
    </w:p>
    <w:p w14:paraId="03EB3D63">
      <w:pPr>
        <w:spacing w:line="400" w:lineRule="exact"/>
        <w:ind w:firstLine="480" w:firstLineChars="200"/>
        <w:jc w:val="left"/>
        <w:rPr>
          <w:rFonts w:hint="eastAsia" w:ascii="宋体" w:hAnsi="宋体" w:cs="宋体"/>
          <w:kern w:val="0"/>
          <w:sz w:val="24"/>
        </w:rPr>
      </w:pPr>
      <w:r>
        <w:rPr>
          <w:rFonts w:hint="eastAsia" w:ascii="宋体" w:hAnsi="宋体" w:cs="宋体"/>
          <w:kern w:val="0"/>
          <w:sz w:val="24"/>
        </w:rPr>
        <w:t>4.本项目不接受联合体参与报价。</w:t>
      </w:r>
    </w:p>
    <w:p w14:paraId="1E27CC52">
      <w:pPr>
        <w:spacing w:line="400" w:lineRule="exact"/>
        <w:ind w:firstLine="482" w:firstLineChars="200"/>
        <w:jc w:val="left"/>
        <w:rPr>
          <w:rFonts w:hint="eastAsia" w:ascii="宋体" w:hAnsi="宋体" w:cs="宋体"/>
          <w:b/>
          <w:bCs/>
          <w:kern w:val="0"/>
          <w:sz w:val="24"/>
        </w:rPr>
      </w:pPr>
      <w:r>
        <w:rPr>
          <w:rFonts w:hint="eastAsia" w:ascii="宋体" w:hAnsi="宋体" w:cs="宋体"/>
          <w:b/>
          <w:bCs/>
          <w:kern w:val="0"/>
          <w:sz w:val="24"/>
        </w:rPr>
        <w:t>特别说明：</w:t>
      </w:r>
    </w:p>
    <w:p w14:paraId="31A45572">
      <w:pPr>
        <w:spacing w:line="400" w:lineRule="exact"/>
        <w:ind w:firstLine="482" w:firstLineChars="200"/>
        <w:jc w:val="left"/>
        <w:rPr>
          <w:rFonts w:hint="eastAsia" w:ascii="宋体" w:hAnsi="宋体" w:cs="宋体"/>
          <w:b/>
          <w:bCs/>
          <w:kern w:val="0"/>
          <w:sz w:val="24"/>
        </w:rPr>
      </w:pPr>
      <w:r>
        <w:rPr>
          <w:rFonts w:hint="eastAsia" w:ascii="宋体" w:hAnsi="宋体" w:cs="宋体"/>
          <w:b/>
          <w:bCs/>
          <w:kern w:val="0"/>
          <w:sz w:val="24"/>
        </w:rPr>
        <w:t>（1）与招标人存在利害关系可能影响招标公正性的法人、其他组织或者个人，不得参加投标。</w:t>
      </w:r>
    </w:p>
    <w:p w14:paraId="3E0B3C71">
      <w:pPr>
        <w:spacing w:line="400" w:lineRule="exact"/>
        <w:ind w:firstLine="482" w:firstLineChars="200"/>
        <w:jc w:val="left"/>
        <w:rPr>
          <w:rFonts w:hint="eastAsia" w:ascii="宋体" w:hAnsi="宋体" w:cs="宋体"/>
          <w:b/>
          <w:bCs/>
          <w:kern w:val="0"/>
          <w:sz w:val="24"/>
        </w:rPr>
      </w:pPr>
      <w:r>
        <w:rPr>
          <w:rFonts w:hint="eastAsia" w:ascii="宋体" w:hAnsi="宋体" w:cs="宋体"/>
          <w:b/>
          <w:bCs/>
          <w:kern w:val="0"/>
          <w:sz w:val="24"/>
        </w:rPr>
        <w:t>（2）单位负责人为同一人或者存在控股、管理关系的不同单位，不得参加同一招标项目投标。</w:t>
      </w:r>
    </w:p>
    <w:p w14:paraId="19CAFAFC">
      <w:pPr>
        <w:spacing w:line="400" w:lineRule="exact"/>
        <w:ind w:firstLine="482" w:firstLineChars="200"/>
        <w:jc w:val="left"/>
        <w:rPr>
          <w:rFonts w:hint="eastAsia" w:ascii="宋体" w:hAnsi="宋体" w:cs="宋体"/>
          <w:b/>
          <w:bCs/>
          <w:kern w:val="0"/>
          <w:sz w:val="24"/>
        </w:rPr>
      </w:pPr>
      <w:r>
        <w:rPr>
          <w:rFonts w:hint="eastAsia" w:ascii="宋体" w:hAnsi="宋体" w:cs="宋体"/>
          <w:b/>
          <w:bCs/>
          <w:kern w:val="0"/>
          <w:sz w:val="24"/>
        </w:rPr>
        <w:t>如投标人有违反上述规定的，相关投标按无效投标处理。</w:t>
      </w:r>
    </w:p>
    <w:p w14:paraId="4DE54241">
      <w:pPr>
        <w:spacing w:line="400" w:lineRule="exact"/>
        <w:ind w:left="420" w:leftChars="200"/>
        <w:jc w:val="left"/>
        <w:rPr>
          <w:rFonts w:ascii="宋体" w:hAnsi="宋体" w:cs="宋体"/>
          <w:sz w:val="24"/>
        </w:rPr>
      </w:pPr>
      <w:r>
        <w:rPr>
          <w:rFonts w:hint="eastAsia" w:ascii="宋体" w:hAnsi="宋体" w:cs="宋体"/>
          <w:b/>
          <w:bCs/>
          <w:sz w:val="24"/>
        </w:rPr>
        <w:t>三、报名时间、方式及获取招标文件方式</w:t>
      </w:r>
    </w:p>
    <w:p w14:paraId="36790FE3">
      <w:pPr>
        <w:pStyle w:val="5"/>
        <w:spacing w:line="400" w:lineRule="exact"/>
        <w:ind w:firstLine="480" w:firstLineChars="200"/>
        <w:rPr>
          <w:rFonts w:ascii="宋体" w:hAnsi="宋体" w:cs="宋体"/>
          <w:sz w:val="24"/>
        </w:rPr>
      </w:pPr>
      <w:r>
        <w:rPr>
          <w:rFonts w:hint="eastAsia" w:ascii="宋体" w:hAnsi="宋体" w:cs="宋体"/>
          <w:sz w:val="24"/>
        </w:rPr>
        <w:t>报名时间：2025年</w:t>
      </w:r>
      <w:r>
        <w:rPr>
          <w:rFonts w:hint="eastAsia" w:ascii="宋体" w:hAnsi="宋体" w:cs="宋体"/>
          <w:sz w:val="24"/>
          <w:lang w:val="en-US" w:eastAsia="zh-CN"/>
        </w:rPr>
        <w:t>7</w:t>
      </w:r>
      <w:r>
        <w:rPr>
          <w:rFonts w:hint="eastAsia" w:ascii="宋体" w:hAnsi="宋体" w:cs="宋体"/>
          <w:sz w:val="24"/>
        </w:rPr>
        <w:t>月</w:t>
      </w:r>
      <w:r>
        <w:rPr>
          <w:rFonts w:hint="eastAsia" w:ascii="宋体" w:hAnsi="宋体" w:cs="宋体"/>
          <w:sz w:val="24"/>
          <w:lang w:val="en-US" w:eastAsia="zh-CN"/>
        </w:rPr>
        <w:t>17</w:t>
      </w:r>
      <w:r>
        <w:rPr>
          <w:rFonts w:hint="eastAsia" w:ascii="宋体" w:hAnsi="宋体" w:cs="宋体"/>
          <w:sz w:val="24"/>
        </w:rPr>
        <w:t>日至</w:t>
      </w:r>
      <w:r>
        <w:rPr>
          <w:rFonts w:hint="eastAsia" w:ascii="宋体" w:hAnsi="宋体" w:cs="宋体"/>
          <w:sz w:val="24"/>
          <w:lang w:val="en-US" w:eastAsia="zh-CN"/>
        </w:rPr>
        <w:t>7</w:t>
      </w:r>
      <w:r>
        <w:rPr>
          <w:rFonts w:hint="eastAsia" w:ascii="宋体" w:hAnsi="宋体" w:cs="宋体"/>
          <w:sz w:val="24"/>
        </w:rPr>
        <w:t>月</w:t>
      </w:r>
      <w:r>
        <w:rPr>
          <w:rFonts w:hint="eastAsia" w:ascii="宋体" w:hAnsi="宋体" w:cs="宋体"/>
          <w:sz w:val="24"/>
          <w:lang w:val="en-US" w:eastAsia="zh-CN"/>
        </w:rPr>
        <w:t>23</w:t>
      </w:r>
      <w:r>
        <w:rPr>
          <w:rFonts w:hint="eastAsia" w:ascii="宋体" w:hAnsi="宋体" w:cs="宋体"/>
          <w:sz w:val="24"/>
        </w:rPr>
        <w:t>日17:00时止</w:t>
      </w:r>
      <w:r>
        <w:rPr>
          <w:rFonts w:hint="eastAsia"/>
          <w:sz w:val="24"/>
        </w:rPr>
        <w:t>（北京时间）</w:t>
      </w:r>
      <w:r>
        <w:rPr>
          <w:rFonts w:hint="eastAsia" w:ascii="宋体" w:hAnsi="宋体" w:cs="宋体"/>
          <w:sz w:val="24"/>
        </w:rPr>
        <w:t>，逾期报名无效。</w:t>
      </w:r>
    </w:p>
    <w:p w14:paraId="799A9C0B">
      <w:pPr>
        <w:spacing w:line="400" w:lineRule="exact"/>
        <w:ind w:firstLine="480" w:firstLineChars="200"/>
        <w:rPr>
          <w:rFonts w:ascii="宋体" w:hAnsi="宋体" w:cs="宋体"/>
          <w:sz w:val="24"/>
        </w:rPr>
      </w:pPr>
      <w:r>
        <w:rPr>
          <w:rFonts w:hint="eastAsia" w:ascii="宋体" w:hAnsi="宋体" w:cs="宋体"/>
          <w:sz w:val="24"/>
        </w:rPr>
        <w:t>报名方式：网上报名。请潜在投标人自行下载附件《报名表》，并按《报名表》的格式内容填写相关信息，同时附上营业执照、“信用中国(www.creditchina.gov.cn)以及中国政府采购网(www.ccgp.gov.cn)”上打印的信用查询记录相关信息。潜在投标人将上述材料填写准备好后发至邮箱（</w:t>
      </w:r>
      <w:r>
        <w:fldChar w:fldCharType="begin"/>
      </w:r>
      <w:r>
        <w:instrText xml:space="preserve"> HYPERLINK "mailto:glsrmyyzbb@163.com" </w:instrText>
      </w:r>
      <w:r>
        <w:fldChar w:fldCharType="separate"/>
      </w:r>
      <w:r>
        <w:rPr>
          <w:rFonts w:hint="eastAsia" w:ascii="宋体" w:hAnsi="宋体" w:cs="宋体"/>
          <w:sz w:val="24"/>
        </w:rPr>
        <w:t>glsrmyyzbb@163.com</w:t>
      </w:r>
      <w:r>
        <w:rPr>
          <w:rFonts w:hint="eastAsia" w:ascii="宋体" w:hAnsi="宋体" w:cs="宋体"/>
          <w:sz w:val="24"/>
        </w:rPr>
        <w:fldChar w:fldCharType="end"/>
      </w:r>
      <w:r>
        <w:rPr>
          <w:rFonts w:hint="eastAsia" w:ascii="宋体" w:hAnsi="宋体" w:cs="宋体"/>
          <w:sz w:val="24"/>
        </w:rPr>
        <w:t>）即完成报名，否则将视为报名不成功。《报名表》要求WORD版，其他材料加盖公章后上传扫描件。</w:t>
      </w:r>
    </w:p>
    <w:p w14:paraId="0F3F178D">
      <w:pPr>
        <w:spacing w:line="400" w:lineRule="exact"/>
        <w:ind w:firstLine="480" w:firstLineChars="200"/>
        <w:rPr>
          <w:rFonts w:ascii="宋体" w:hAnsi="宋体" w:cs="宋体"/>
          <w:sz w:val="24"/>
        </w:rPr>
      </w:pPr>
      <w:r>
        <w:rPr>
          <w:rFonts w:hint="eastAsia" w:ascii="宋体" w:hAnsi="宋体" w:cs="宋体"/>
          <w:sz w:val="24"/>
        </w:rPr>
        <w:t>获取招标文件方式：桂林市人民医院官网（www.glrmyy.com）</w:t>
      </w:r>
    </w:p>
    <w:p w14:paraId="5C6AA5FF">
      <w:pPr>
        <w:spacing w:line="400" w:lineRule="exact"/>
        <w:ind w:firstLine="482" w:firstLineChars="200"/>
        <w:rPr>
          <w:rFonts w:ascii="宋体" w:hAnsi="宋体" w:cs="宋体"/>
          <w:b/>
          <w:bCs/>
          <w:sz w:val="24"/>
        </w:rPr>
      </w:pPr>
      <w:r>
        <w:rPr>
          <w:rFonts w:hint="eastAsia" w:ascii="宋体" w:hAnsi="宋体" w:cs="宋体"/>
          <w:b/>
          <w:bCs/>
          <w:sz w:val="24"/>
        </w:rPr>
        <w:t>四、采购活动要求</w:t>
      </w:r>
    </w:p>
    <w:p w14:paraId="05CEE51B">
      <w:pPr>
        <w:spacing w:line="400" w:lineRule="exact"/>
        <w:ind w:firstLine="480" w:firstLineChars="200"/>
        <w:rPr>
          <w:rFonts w:ascii="宋体" w:hAnsi="宋体" w:cs="宋体"/>
          <w:sz w:val="24"/>
        </w:rPr>
      </w:pPr>
      <w:r>
        <w:rPr>
          <w:rFonts w:hint="eastAsia" w:ascii="宋体" w:hAnsi="宋体" w:cs="宋体"/>
          <w:sz w:val="24"/>
        </w:rPr>
        <w:t>1.开标时间：具体时间另行通知</w:t>
      </w:r>
      <w:r>
        <w:rPr>
          <w:rFonts w:hint="eastAsia" w:ascii="宋体" w:hAnsi="宋体" w:cs="宋体"/>
          <w:b/>
          <w:bCs/>
          <w:sz w:val="24"/>
        </w:rPr>
        <w:t>（开标通告将会通过（</w:t>
      </w:r>
      <w:r>
        <w:fldChar w:fldCharType="begin"/>
      </w:r>
      <w:r>
        <w:instrText xml:space="preserve"> HYPERLINK "mailto:glsrmyyzbb@163.com" </w:instrText>
      </w:r>
      <w:r>
        <w:fldChar w:fldCharType="separate"/>
      </w:r>
      <w:r>
        <w:rPr>
          <w:rStyle w:val="21"/>
          <w:rFonts w:hint="eastAsia" w:ascii="宋体" w:hAnsi="宋体" w:cs="宋体"/>
          <w:b/>
          <w:bCs/>
          <w:color w:val="auto"/>
          <w:sz w:val="24"/>
        </w:rPr>
        <w:t>glsrmyyzbb@163.com</w:t>
      </w:r>
      <w:r>
        <w:rPr>
          <w:rStyle w:val="21"/>
          <w:rFonts w:hint="eastAsia" w:ascii="宋体" w:hAnsi="宋体" w:cs="宋体"/>
          <w:b/>
          <w:bCs/>
          <w:color w:val="auto"/>
          <w:sz w:val="24"/>
        </w:rPr>
        <w:fldChar w:fldCharType="end"/>
      </w:r>
      <w:r>
        <w:rPr>
          <w:rFonts w:hint="eastAsia" w:ascii="宋体" w:hAnsi="宋体" w:cs="宋体"/>
          <w:b/>
          <w:bCs/>
          <w:sz w:val="24"/>
        </w:rPr>
        <w:t>）发至潜在投标人报名邮箱，报名后请及时关注查收，未及时查收后果自负）</w:t>
      </w:r>
      <w:r>
        <w:rPr>
          <w:rFonts w:hint="eastAsia" w:ascii="宋体" w:hAnsi="宋体" w:cs="宋体"/>
          <w:sz w:val="24"/>
        </w:rPr>
        <w:t>，请报名后根据所获取的招标文件要求及时准备正式的投标文件。</w:t>
      </w:r>
    </w:p>
    <w:p w14:paraId="03121050">
      <w:pPr>
        <w:spacing w:line="400" w:lineRule="exact"/>
        <w:ind w:firstLine="480" w:firstLineChars="200"/>
        <w:rPr>
          <w:rFonts w:ascii="宋体" w:hAnsi="宋体" w:cs="宋体"/>
          <w:sz w:val="24"/>
        </w:rPr>
      </w:pPr>
      <w:r>
        <w:rPr>
          <w:rFonts w:hint="eastAsia" w:ascii="宋体" w:hAnsi="宋体" w:cs="宋体"/>
          <w:sz w:val="24"/>
        </w:rPr>
        <w:t>2.开标地点：桂林市人民医院招标办公室（广西桂林市象山区文明路29号）</w:t>
      </w:r>
    </w:p>
    <w:p w14:paraId="11443FEB">
      <w:pPr>
        <w:spacing w:line="400" w:lineRule="exact"/>
        <w:ind w:firstLine="480" w:firstLineChars="200"/>
        <w:rPr>
          <w:rFonts w:ascii="宋体" w:hAnsi="宋体" w:cs="宋体"/>
          <w:sz w:val="24"/>
        </w:rPr>
      </w:pPr>
      <w:r>
        <w:rPr>
          <w:rFonts w:hint="eastAsia" w:ascii="宋体" w:hAnsi="宋体" w:cs="宋体"/>
          <w:sz w:val="24"/>
        </w:rPr>
        <w:t>3.投标文件：</w:t>
      </w:r>
    </w:p>
    <w:p w14:paraId="7951B5BB">
      <w:pPr>
        <w:spacing w:line="400" w:lineRule="exact"/>
        <w:ind w:firstLine="480" w:firstLineChars="200"/>
        <w:rPr>
          <w:rFonts w:ascii="宋体" w:hAnsi="宋体" w:cs="宋体"/>
          <w:sz w:val="24"/>
        </w:rPr>
      </w:pPr>
      <w:r>
        <w:rPr>
          <w:rFonts w:hint="eastAsia" w:ascii="宋体" w:hAnsi="宋体" w:cs="宋体"/>
          <w:sz w:val="24"/>
        </w:rPr>
        <w:t>(1)投标文件组成：必须含有但不限于</w:t>
      </w:r>
      <w:r>
        <w:rPr>
          <w:rFonts w:hint="eastAsia" w:ascii="宋体" w:hAnsi="宋体" w:cs="宋体"/>
          <w:sz w:val="24"/>
          <w:lang w:val="en-US" w:eastAsia="zh-CN"/>
        </w:rPr>
        <w:t>投标函（含报价表）、</w:t>
      </w:r>
      <w:r>
        <w:rPr>
          <w:rFonts w:hint="eastAsia" w:ascii="宋体" w:hAnsi="宋体" w:cs="宋体"/>
          <w:sz w:val="24"/>
        </w:rPr>
        <w:t>响应</w:t>
      </w:r>
      <w:r>
        <w:rPr>
          <w:rFonts w:hint="eastAsia" w:ascii="宋体" w:hAnsi="宋体" w:cs="宋体"/>
          <w:sz w:val="24"/>
          <w:lang w:val="en-US" w:eastAsia="zh-CN"/>
        </w:rPr>
        <w:t>表</w:t>
      </w:r>
      <w:r>
        <w:rPr>
          <w:rFonts w:hint="eastAsia" w:ascii="宋体" w:hAnsi="宋体" w:cs="宋体"/>
          <w:sz w:val="24"/>
        </w:rPr>
        <w:t>、营业执照复印件、法定代表人（负责人）身份证复印件、法定代表人授权书原件（委托代理时必须提供）、授权委托代理人身份证复印件、投标人参加政府采购活动前3年内在经营活动中没有重大违法记录的书面声明、投标人关于政府采购活动中信用信息记录的书面声明、“信用中国(www.creditchina.gov.cn)</w:t>
      </w:r>
      <w:r>
        <w:rPr>
          <w:rFonts w:hint="eastAsia" w:ascii="宋体" w:hAnsi="宋体" w:cs="宋体"/>
          <w:sz w:val="24"/>
          <w:lang w:eastAsia="zh-CN"/>
        </w:rPr>
        <w:t>、</w:t>
      </w:r>
      <w:r>
        <w:rPr>
          <w:rFonts w:hint="eastAsia" w:ascii="宋体" w:hAnsi="宋体" w:cs="宋体"/>
          <w:sz w:val="24"/>
        </w:rPr>
        <w:t>中国政府采购网(www.ccgp.gov.cn)”上打印的信用查询记录相关信息</w:t>
      </w:r>
      <w:r>
        <w:rPr>
          <w:rFonts w:hint="eastAsia" w:asciiTheme="minorEastAsia" w:hAnsiTheme="minorEastAsia" w:eastAsiaTheme="minorEastAsia" w:cstheme="minorEastAsia"/>
          <w:color w:val="auto"/>
          <w:sz w:val="24"/>
          <w:szCs w:val="24"/>
          <w:highlight w:val="none"/>
          <w:lang w:val="en-US" w:eastAsia="zh-CN"/>
        </w:rPr>
        <w:t>及</w:t>
      </w:r>
      <w:r>
        <w:rPr>
          <w:rFonts w:hint="eastAsia" w:ascii="宋体" w:hAnsi="宋体" w:cs="宋体"/>
          <w:sz w:val="24"/>
        </w:rPr>
        <w:t>结合本项目的评标办法视自身情况自行提交相关证明</w:t>
      </w:r>
      <w:r>
        <w:rPr>
          <w:rFonts w:hint="eastAsia" w:asciiTheme="minorEastAsia" w:hAnsiTheme="minorEastAsia" w:eastAsiaTheme="minorEastAsia" w:cstheme="minorEastAsia"/>
          <w:color w:val="auto"/>
          <w:sz w:val="24"/>
          <w:szCs w:val="24"/>
          <w:highlight w:val="none"/>
          <w:lang w:val="en-US" w:eastAsia="zh-CN"/>
        </w:rPr>
        <w:t>（如有）、</w:t>
      </w:r>
      <w:r>
        <w:rPr>
          <w:rFonts w:hint="eastAsia" w:ascii="宋体" w:hAnsi="宋体" w:cs="宋体"/>
          <w:sz w:val="24"/>
        </w:rPr>
        <w:t>联系人</w:t>
      </w:r>
      <w:r>
        <w:rPr>
          <w:rFonts w:hint="eastAsia" w:ascii="宋体" w:hAnsi="宋体" w:cs="宋体"/>
          <w:sz w:val="24"/>
          <w:lang w:val="en-US" w:eastAsia="zh-CN"/>
        </w:rPr>
        <w:t>和</w:t>
      </w:r>
      <w:r>
        <w:rPr>
          <w:rFonts w:hint="eastAsia" w:ascii="宋体" w:hAnsi="宋体" w:cs="宋体"/>
          <w:sz w:val="24"/>
        </w:rPr>
        <w:t>电话</w:t>
      </w:r>
      <w:r>
        <w:rPr>
          <w:rFonts w:hint="eastAsia" w:ascii="宋体" w:hAnsi="宋体" w:cs="宋体"/>
          <w:sz w:val="24"/>
          <w:lang w:val="en-US" w:eastAsia="zh-CN"/>
        </w:rPr>
        <w:t>等</w:t>
      </w:r>
      <w:r>
        <w:rPr>
          <w:rFonts w:hint="eastAsia" w:ascii="宋体" w:hAnsi="宋体" w:cs="宋体"/>
          <w:sz w:val="24"/>
        </w:rPr>
        <w:t>材料。投标人应完整准备上述投标文件的材料，否则由此引起的不利后果由投标人承担。</w:t>
      </w:r>
    </w:p>
    <w:p w14:paraId="55F86206">
      <w:pPr>
        <w:spacing w:line="400" w:lineRule="exact"/>
        <w:ind w:firstLine="482" w:firstLineChars="200"/>
        <w:rPr>
          <w:rFonts w:ascii="宋体" w:hAnsi="宋体" w:cs="宋体"/>
          <w:sz w:val="24"/>
        </w:rPr>
      </w:pPr>
      <w:r>
        <w:rPr>
          <w:rFonts w:hint="eastAsia" w:ascii="宋体" w:hAnsi="宋体" w:cs="宋体"/>
          <w:b/>
          <w:bCs/>
          <w:sz w:val="24"/>
        </w:rPr>
        <w:t>投标文件所提供的证照及相关证明材料必须真实有效，一经发现造假，将取消本次投标资格并追究相关法律责任！</w:t>
      </w:r>
    </w:p>
    <w:p w14:paraId="15C0D498">
      <w:pPr>
        <w:numPr>
          <w:ilvl w:val="0"/>
          <w:numId w:val="0"/>
        </w:numPr>
        <w:spacing w:line="400" w:lineRule="exact"/>
        <w:ind w:firstLine="480" w:firstLineChars="200"/>
        <w:rPr>
          <w:rFonts w:ascii="宋体" w:hAnsi="宋体" w:cs="宋体"/>
          <w:sz w:val="24"/>
        </w:rPr>
      </w:pPr>
      <w:r>
        <w:rPr>
          <w:rFonts w:ascii="宋体" w:hAnsi="宋体" w:eastAsia="宋体" w:cs="宋体"/>
          <w:kern w:val="2"/>
          <w:sz w:val="24"/>
          <w:szCs w:val="24"/>
          <w:lang w:val="en-US" w:eastAsia="zh-CN" w:bidi="ar-SA"/>
        </w:rPr>
        <w:t>（2）</w:t>
      </w:r>
      <w:r>
        <w:rPr>
          <w:rFonts w:hint="eastAsia" w:ascii="宋体" w:hAnsi="宋体" w:cs="宋体"/>
          <w:sz w:val="24"/>
        </w:rPr>
        <w:t>投标文件份数：正本一份，副本六份。</w:t>
      </w:r>
    </w:p>
    <w:p w14:paraId="559BCBBC">
      <w:pPr>
        <w:spacing w:line="400" w:lineRule="exact"/>
        <w:ind w:firstLine="480" w:firstLineChars="200"/>
        <w:rPr>
          <w:rFonts w:ascii="宋体" w:hAnsi="宋体" w:cs="宋体"/>
          <w:sz w:val="24"/>
        </w:rPr>
      </w:pPr>
      <w:r>
        <w:rPr>
          <w:rFonts w:hint="eastAsia" w:ascii="宋体" w:hAnsi="宋体" w:cs="宋体"/>
          <w:sz w:val="24"/>
        </w:rPr>
        <w:t>4.投标人应按规定的时间递交投标文件（投标文件应密封并加盖单位公章），逾期不予受理，投标文件一旦提交恕不退回。同时投标人委派参加本次投标活动的代表应当熟悉相关业务，否则由此引起的不利后果由投标人承担。</w:t>
      </w:r>
    </w:p>
    <w:p w14:paraId="4026E973">
      <w:pPr>
        <w:spacing w:line="400" w:lineRule="exact"/>
        <w:ind w:firstLine="480" w:firstLineChars="200"/>
        <w:rPr>
          <w:rFonts w:ascii="宋体" w:hAnsi="宋体" w:cs="宋体"/>
          <w:sz w:val="24"/>
        </w:rPr>
      </w:pPr>
      <w:r>
        <w:rPr>
          <w:rFonts w:hint="eastAsia" w:ascii="宋体" w:hAnsi="宋体" w:cs="宋体"/>
          <w:sz w:val="24"/>
        </w:rPr>
        <w:t>5.凡报名合格并获取了招标文件的投标人，视同响应承诺参与本次投标活动。若因故不能按期参加的，请至少于开标截止时间前两天以书面邮件形式（发送邮箱地址：</w:t>
      </w:r>
      <w:r>
        <w:fldChar w:fldCharType="begin"/>
      </w:r>
      <w:r>
        <w:instrText xml:space="preserve"> HYPERLINK "mailto:glsrmyyzbb@163.com" </w:instrText>
      </w:r>
      <w:r>
        <w:fldChar w:fldCharType="separate"/>
      </w:r>
      <w:r>
        <w:rPr>
          <w:rFonts w:hint="eastAsia" w:ascii="宋体" w:hAnsi="宋体" w:cs="宋体"/>
          <w:sz w:val="24"/>
        </w:rPr>
        <w:t>glsrmyyzbb@163.com</w:t>
      </w:r>
      <w:r>
        <w:rPr>
          <w:rFonts w:hint="eastAsia" w:ascii="宋体" w:hAnsi="宋体" w:cs="宋体"/>
          <w:sz w:val="24"/>
        </w:rPr>
        <w:fldChar w:fldCharType="end"/>
      </w:r>
      <w:r>
        <w:rPr>
          <w:rFonts w:hint="eastAsia" w:ascii="宋体" w:hAnsi="宋体" w:cs="宋体"/>
          <w:sz w:val="24"/>
        </w:rPr>
        <w:t>）告知我院招标办公室，否则，将被视为不诚信供应商，列入我院供应商黑名单，至少一年内不接受其参与我院院内的任何招标活动。</w:t>
      </w:r>
    </w:p>
    <w:p w14:paraId="54D04586">
      <w:pPr>
        <w:spacing w:line="400" w:lineRule="exact"/>
        <w:ind w:firstLine="482" w:firstLineChars="200"/>
        <w:rPr>
          <w:rFonts w:ascii="宋体" w:hAnsi="宋体" w:cs="宋体"/>
          <w:b/>
          <w:bCs/>
          <w:sz w:val="24"/>
        </w:rPr>
      </w:pPr>
      <w:r>
        <w:rPr>
          <w:rFonts w:hint="eastAsia" w:ascii="宋体" w:hAnsi="宋体" w:cs="宋体"/>
          <w:b/>
          <w:bCs/>
          <w:sz w:val="24"/>
        </w:rPr>
        <w:t>五、信息公告发布媒体</w:t>
      </w:r>
    </w:p>
    <w:p w14:paraId="026ECB0D">
      <w:pPr>
        <w:spacing w:line="400" w:lineRule="exact"/>
        <w:ind w:firstLine="480" w:firstLineChars="200"/>
        <w:rPr>
          <w:rFonts w:ascii="宋体" w:hAnsi="宋体" w:cs="宋体"/>
          <w:sz w:val="24"/>
        </w:rPr>
      </w:pPr>
      <w:r>
        <w:rPr>
          <w:rFonts w:hint="eastAsia" w:ascii="宋体" w:hAnsi="宋体" w:cs="宋体"/>
          <w:sz w:val="24"/>
        </w:rPr>
        <w:t>本次招标公告在桂林市人民医院官网（www.glrmyy.com）发布，对其他网站转发本公告可能引起的信息误导、造成投标人的经济或其他损失的，招标人不负任何责任。</w:t>
      </w:r>
    </w:p>
    <w:p w14:paraId="059D49BF">
      <w:pPr>
        <w:spacing w:line="400" w:lineRule="exact"/>
        <w:ind w:firstLine="482" w:firstLineChars="200"/>
        <w:rPr>
          <w:rFonts w:ascii="宋体" w:hAnsi="宋体" w:cs="宋体"/>
          <w:sz w:val="24"/>
        </w:rPr>
      </w:pPr>
      <w:r>
        <w:rPr>
          <w:rFonts w:hint="eastAsia" w:ascii="宋体" w:hAnsi="宋体" w:cs="宋体"/>
          <w:b/>
          <w:bCs/>
          <w:sz w:val="24"/>
        </w:rPr>
        <w:t>六、联系方式</w:t>
      </w:r>
    </w:p>
    <w:p w14:paraId="47179C5C">
      <w:pPr>
        <w:spacing w:line="400" w:lineRule="exact"/>
        <w:ind w:firstLine="480" w:firstLineChars="200"/>
        <w:rPr>
          <w:rFonts w:ascii="宋体" w:hAnsi="宋体" w:cs="宋体"/>
          <w:sz w:val="24"/>
        </w:rPr>
      </w:pPr>
      <w:r>
        <w:rPr>
          <w:rFonts w:hint="eastAsia" w:ascii="宋体" w:hAnsi="宋体" w:cs="宋体"/>
          <w:sz w:val="24"/>
        </w:rPr>
        <w:t>1.联系人：罗老师、戴老师</w:t>
      </w:r>
    </w:p>
    <w:p w14:paraId="65DCC0E6">
      <w:pPr>
        <w:spacing w:line="400" w:lineRule="exact"/>
        <w:ind w:firstLine="480" w:firstLineChars="200"/>
        <w:rPr>
          <w:rFonts w:ascii="宋体" w:hAnsi="宋体" w:cs="宋体"/>
          <w:sz w:val="24"/>
        </w:rPr>
      </w:pPr>
      <w:r>
        <w:rPr>
          <w:rFonts w:hint="eastAsia" w:ascii="宋体" w:hAnsi="宋体" w:cs="宋体"/>
          <w:sz w:val="24"/>
        </w:rPr>
        <w:t>2.联系电话：0773-2803316</w:t>
      </w:r>
    </w:p>
    <w:p w14:paraId="0E34CFE9">
      <w:pPr>
        <w:tabs>
          <w:tab w:val="left" w:pos="6583"/>
        </w:tabs>
        <w:spacing w:line="400" w:lineRule="exact"/>
        <w:ind w:firstLine="5760" w:firstLineChars="2400"/>
        <w:jc w:val="center"/>
        <w:rPr>
          <w:rFonts w:ascii="宋体" w:hAnsi="宋体" w:cs="宋体"/>
          <w:sz w:val="24"/>
        </w:rPr>
      </w:pPr>
      <w:r>
        <w:rPr>
          <w:rFonts w:hint="eastAsia" w:ascii="宋体" w:hAnsi="宋体" w:cs="宋体"/>
          <w:sz w:val="24"/>
        </w:rPr>
        <w:t xml:space="preserve">         桂林市人民医院</w:t>
      </w:r>
    </w:p>
    <w:p w14:paraId="194CA20E">
      <w:pPr>
        <w:tabs>
          <w:tab w:val="left" w:pos="5623"/>
        </w:tabs>
        <w:spacing w:line="400" w:lineRule="exact"/>
        <w:jc w:val="center"/>
        <w:rPr>
          <w:rFonts w:ascii="宋体" w:hAnsi="宋体" w:cs="宋体"/>
          <w:b/>
          <w:bCs/>
          <w:w w:val="95"/>
          <w:sz w:val="24"/>
        </w:rPr>
      </w:pPr>
      <w:r>
        <w:rPr>
          <w:rFonts w:hint="eastAsia" w:ascii="宋体" w:hAnsi="宋体" w:cs="宋体"/>
          <w:sz w:val="24"/>
        </w:rPr>
        <w:t xml:space="preserve">                                                        2025年</w:t>
      </w:r>
      <w:r>
        <w:rPr>
          <w:rFonts w:hint="eastAsia" w:ascii="宋体" w:hAnsi="宋体" w:cs="宋体"/>
          <w:sz w:val="24"/>
          <w:lang w:val="en-US" w:eastAsia="zh-CN"/>
        </w:rPr>
        <w:t>7</w:t>
      </w:r>
      <w:r>
        <w:rPr>
          <w:rFonts w:hint="eastAsia" w:ascii="宋体" w:hAnsi="宋体" w:cs="宋体"/>
          <w:sz w:val="24"/>
        </w:rPr>
        <w:t>月</w:t>
      </w:r>
      <w:r>
        <w:rPr>
          <w:rFonts w:hint="eastAsia" w:ascii="宋体" w:hAnsi="宋体" w:cs="宋体"/>
          <w:sz w:val="24"/>
          <w:lang w:val="en-US" w:eastAsia="zh-CN"/>
        </w:rPr>
        <w:t>16</w:t>
      </w:r>
      <w:r>
        <w:rPr>
          <w:rFonts w:hint="eastAsia" w:ascii="宋体" w:hAnsi="宋体" w:cs="宋体"/>
          <w:sz w:val="24"/>
        </w:rPr>
        <w:t>日</w:t>
      </w:r>
    </w:p>
    <w:p w14:paraId="28524887">
      <w:pPr>
        <w:spacing w:line="400" w:lineRule="exact"/>
        <w:rPr>
          <w:rFonts w:ascii="宋体" w:hAnsi="宋体" w:cs="宋体"/>
          <w:sz w:val="24"/>
        </w:rPr>
      </w:pPr>
      <w:r>
        <w:rPr>
          <w:rFonts w:hint="eastAsia" w:ascii="宋体" w:hAnsi="宋体" w:cs="宋体"/>
          <w:b/>
          <w:bCs/>
          <w:w w:val="95"/>
          <w:sz w:val="24"/>
        </w:rPr>
        <w:br w:type="page"/>
      </w:r>
    </w:p>
    <w:p w14:paraId="77B520B5">
      <w:pPr>
        <w:pStyle w:val="2"/>
        <w:spacing w:line="400" w:lineRule="exact"/>
        <w:jc w:val="center"/>
        <w:rPr>
          <w:sz w:val="30"/>
          <w:szCs w:val="30"/>
        </w:rPr>
      </w:pPr>
      <w:r>
        <w:rPr>
          <w:rFonts w:hint="eastAsia"/>
          <w:w w:val="95"/>
          <w:sz w:val="30"/>
          <w:szCs w:val="30"/>
        </w:rPr>
        <w:t xml:space="preserve">第二章  项目需求和说明 </w:t>
      </w:r>
    </w:p>
    <w:p w14:paraId="7AB4AC66">
      <w:pPr>
        <w:spacing w:line="400" w:lineRule="exact"/>
        <w:ind w:firstLine="482" w:firstLineChars="200"/>
        <w:rPr>
          <w:rFonts w:ascii="宋体" w:hAnsi="宋体" w:cs="宋体"/>
          <w:sz w:val="24"/>
        </w:rPr>
      </w:pPr>
      <w:r>
        <w:rPr>
          <w:rFonts w:hint="eastAsia" w:ascii="宋体" w:hAnsi="宋体" w:cs="宋体"/>
          <w:b/>
          <w:bCs/>
          <w:sz w:val="24"/>
        </w:rPr>
        <w:t>一、项目名称：</w:t>
      </w:r>
      <w:r>
        <w:rPr>
          <w:rFonts w:hint="eastAsia" w:ascii="宋体" w:hAnsi="宋体" w:cs="宋体"/>
          <w:sz w:val="24"/>
        </w:rPr>
        <w:t>桂林市人民医院象山社区基层一体化信息系统</w:t>
      </w:r>
    </w:p>
    <w:p w14:paraId="4DEE0972">
      <w:pPr>
        <w:spacing w:line="400" w:lineRule="exact"/>
        <w:ind w:firstLine="482" w:firstLineChars="200"/>
        <w:rPr>
          <w:rFonts w:hint="eastAsia" w:ascii="宋体" w:hAnsi="宋体" w:cs="宋体"/>
          <w:sz w:val="24"/>
          <w:lang w:val="en-US" w:eastAsia="zh-CN"/>
        </w:rPr>
      </w:pPr>
      <w:r>
        <w:rPr>
          <w:rFonts w:hint="eastAsia" w:ascii="宋体" w:hAnsi="宋体" w:cs="宋体"/>
          <w:b/>
          <w:bCs/>
          <w:sz w:val="24"/>
        </w:rPr>
        <w:t>二、项目编号：</w:t>
      </w:r>
      <w:r>
        <w:rPr>
          <w:rFonts w:hint="eastAsia" w:ascii="宋体" w:hAnsi="宋体" w:cs="宋体"/>
          <w:sz w:val="24"/>
        </w:rPr>
        <w:t>XXK-2025-0</w:t>
      </w:r>
      <w:r>
        <w:rPr>
          <w:rFonts w:hint="eastAsia" w:ascii="宋体" w:hAnsi="宋体" w:cs="宋体"/>
          <w:sz w:val="24"/>
          <w:lang w:val="en-US" w:eastAsia="zh-CN"/>
        </w:rPr>
        <w:t>14</w:t>
      </w:r>
    </w:p>
    <w:p w14:paraId="5433ABD1">
      <w:pPr>
        <w:spacing w:line="400" w:lineRule="exact"/>
        <w:ind w:firstLine="482" w:firstLineChars="200"/>
        <w:rPr>
          <w:rFonts w:hint="eastAsia" w:ascii="宋体" w:hAnsi="宋体" w:cs="宋体"/>
          <w:b/>
          <w:sz w:val="24"/>
          <w:lang w:val="en-US" w:eastAsia="zh-CN"/>
        </w:rPr>
      </w:pPr>
      <w:r>
        <w:rPr>
          <w:rFonts w:hint="eastAsia" w:ascii="宋体" w:hAnsi="宋体" w:cs="宋体"/>
          <w:b/>
          <w:sz w:val="24"/>
        </w:rPr>
        <w:t>三、</w:t>
      </w:r>
      <w:r>
        <w:rPr>
          <w:rFonts w:hint="eastAsia" w:ascii="宋体" w:hAnsi="宋体" w:cs="宋体"/>
          <w:b/>
          <w:sz w:val="24"/>
          <w:lang w:val="en-US" w:eastAsia="zh-CN"/>
        </w:rPr>
        <w:t>采购需求</w:t>
      </w:r>
    </w:p>
    <w:p w14:paraId="47A43256">
      <w:pPr>
        <w:spacing w:line="400" w:lineRule="exact"/>
        <w:ind w:firstLine="482" w:firstLineChars="200"/>
        <w:rPr>
          <w:rFonts w:hint="eastAsia" w:eastAsia="方正大标宋简体"/>
          <w:sz w:val="30"/>
          <w:szCs w:val="30"/>
        </w:rPr>
      </w:pPr>
      <w:r>
        <w:rPr>
          <w:rFonts w:hint="eastAsia" w:ascii="宋体" w:hAnsi="宋体" w:cs="宋体"/>
          <w:b/>
          <w:sz w:val="24"/>
        </w:rPr>
        <w:t>（一）技术要求</w:t>
      </w:r>
      <w:r>
        <w:rPr>
          <w:rFonts w:hint="eastAsia" w:eastAsia="方正大标宋简体"/>
          <w:sz w:val="30"/>
          <w:szCs w:val="30"/>
        </w:rPr>
        <w:t xml:space="preserve">      </w:t>
      </w:r>
    </w:p>
    <w:tbl>
      <w:tblPr>
        <w:tblStyle w:val="18"/>
        <w:tblpPr w:leftFromText="180" w:rightFromText="180" w:vertAnchor="text" w:horzAnchor="page" w:tblpX="970" w:tblpY="603"/>
        <w:tblOverlap w:val="never"/>
        <w:tblW w:w="10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5"/>
        <w:gridCol w:w="750"/>
        <w:gridCol w:w="6690"/>
        <w:gridCol w:w="435"/>
        <w:gridCol w:w="450"/>
        <w:gridCol w:w="1005"/>
        <w:gridCol w:w="855"/>
      </w:tblGrid>
      <w:tr w14:paraId="662C0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7" w:hRule="atLeast"/>
          <w:tblHeader/>
        </w:trPr>
        <w:tc>
          <w:tcPr>
            <w:tcW w:w="435" w:type="dxa"/>
            <w:shd w:val="clear" w:color="auto" w:fill="auto"/>
            <w:vAlign w:val="center"/>
          </w:tcPr>
          <w:p w14:paraId="66C43D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序号</w:t>
            </w:r>
          </w:p>
        </w:tc>
        <w:tc>
          <w:tcPr>
            <w:tcW w:w="750" w:type="dxa"/>
            <w:shd w:val="clear" w:color="auto" w:fill="auto"/>
            <w:vAlign w:val="center"/>
          </w:tcPr>
          <w:p w14:paraId="79CFAA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功能需求</w:t>
            </w:r>
          </w:p>
        </w:tc>
        <w:tc>
          <w:tcPr>
            <w:tcW w:w="6690" w:type="dxa"/>
            <w:shd w:val="clear" w:color="auto" w:fill="auto"/>
            <w:vAlign w:val="center"/>
          </w:tcPr>
          <w:p w14:paraId="189A84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需求内容</w:t>
            </w:r>
          </w:p>
        </w:tc>
        <w:tc>
          <w:tcPr>
            <w:tcW w:w="435" w:type="dxa"/>
            <w:shd w:val="clear" w:color="auto" w:fill="auto"/>
            <w:vAlign w:val="center"/>
          </w:tcPr>
          <w:p w14:paraId="001C55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数量</w:t>
            </w:r>
          </w:p>
        </w:tc>
        <w:tc>
          <w:tcPr>
            <w:tcW w:w="450" w:type="dxa"/>
            <w:shd w:val="clear" w:color="auto" w:fill="auto"/>
            <w:vAlign w:val="center"/>
          </w:tcPr>
          <w:p w14:paraId="65C89B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w:t>
            </w:r>
          </w:p>
        </w:tc>
        <w:tc>
          <w:tcPr>
            <w:tcW w:w="1005" w:type="dxa"/>
            <w:shd w:val="clear" w:color="auto" w:fill="auto"/>
            <w:vAlign w:val="center"/>
          </w:tcPr>
          <w:p w14:paraId="0EFC4C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b/>
                <w:bCs/>
                <w:i w:val="0"/>
                <w:iCs w:val="0"/>
                <w:color w:val="auto"/>
                <w:kern w:val="0"/>
                <w:sz w:val="18"/>
                <w:szCs w:val="18"/>
                <w:u w:val="none"/>
                <w:lang w:val="en-US" w:eastAsia="zh-CN" w:bidi="ar"/>
              </w:rPr>
            </w:pPr>
            <w:r>
              <w:rPr>
                <w:rFonts w:hint="eastAsia" w:ascii="宋体" w:hAnsi="宋体" w:cs="宋体"/>
                <w:b/>
                <w:bCs/>
                <w:i w:val="0"/>
                <w:iCs w:val="0"/>
                <w:color w:val="auto"/>
                <w:kern w:val="0"/>
                <w:sz w:val="18"/>
                <w:szCs w:val="18"/>
                <w:u w:val="none"/>
                <w:lang w:val="en-US" w:eastAsia="zh-CN" w:bidi="ar"/>
              </w:rPr>
              <w:t>控制单价</w:t>
            </w:r>
          </w:p>
          <w:p w14:paraId="32DF20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cs="宋体"/>
                <w:b/>
                <w:bCs/>
                <w:i w:val="0"/>
                <w:iCs w:val="0"/>
                <w:color w:val="auto"/>
                <w:kern w:val="0"/>
                <w:sz w:val="18"/>
                <w:szCs w:val="18"/>
                <w:u w:val="none"/>
                <w:lang w:val="en-US" w:eastAsia="zh-CN" w:bidi="ar"/>
              </w:rPr>
              <w:t>（万元）</w:t>
            </w:r>
          </w:p>
        </w:tc>
        <w:tc>
          <w:tcPr>
            <w:tcW w:w="855" w:type="dxa"/>
            <w:shd w:val="clear" w:color="auto" w:fill="auto"/>
            <w:vAlign w:val="center"/>
          </w:tcPr>
          <w:p w14:paraId="4E3A05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b/>
                <w:bCs/>
                <w:i w:val="0"/>
                <w:iCs w:val="0"/>
                <w:color w:val="auto"/>
                <w:kern w:val="0"/>
                <w:sz w:val="18"/>
                <w:szCs w:val="18"/>
                <w:u w:val="none"/>
                <w:lang w:val="en-US" w:eastAsia="zh-CN" w:bidi="ar"/>
              </w:rPr>
            </w:pPr>
            <w:r>
              <w:rPr>
                <w:rFonts w:hint="eastAsia" w:ascii="宋体" w:hAnsi="宋体" w:cs="宋体"/>
                <w:b/>
                <w:bCs/>
                <w:i w:val="0"/>
                <w:iCs w:val="0"/>
                <w:color w:val="auto"/>
                <w:kern w:val="0"/>
                <w:sz w:val="18"/>
                <w:szCs w:val="18"/>
                <w:u w:val="none"/>
                <w:lang w:val="en-US" w:eastAsia="zh-CN" w:bidi="ar"/>
              </w:rPr>
              <w:t>总价</w:t>
            </w:r>
          </w:p>
          <w:p w14:paraId="4F3204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cs="宋体"/>
                <w:b/>
                <w:bCs/>
                <w:i w:val="0"/>
                <w:iCs w:val="0"/>
                <w:color w:val="auto"/>
                <w:kern w:val="0"/>
                <w:sz w:val="18"/>
                <w:szCs w:val="18"/>
                <w:u w:val="none"/>
                <w:lang w:val="en-US" w:eastAsia="zh-CN" w:bidi="ar"/>
              </w:rPr>
              <w:t>（万元）</w:t>
            </w:r>
          </w:p>
        </w:tc>
      </w:tr>
      <w:tr w14:paraId="0BB40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0" w:hRule="atLeast"/>
        </w:trPr>
        <w:tc>
          <w:tcPr>
            <w:tcW w:w="435" w:type="dxa"/>
            <w:shd w:val="clear" w:color="auto" w:fill="auto"/>
            <w:vAlign w:val="center"/>
          </w:tcPr>
          <w:p w14:paraId="614911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0" w:type="dxa"/>
            <w:shd w:val="clear" w:color="auto" w:fill="auto"/>
            <w:vAlign w:val="center"/>
          </w:tcPr>
          <w:p w14:paraId="223BA4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基层医院信息管理系统（HIS）</w:t>
            </w:r>
          </w:p>
        </w:tc>
        <w:tc>
          <w:tcPr>
            <w:tcW w:w="6690" w:type="dxa"/>
            <w:shd w:val="clear" w:color="auto" w:fill="auto"/>
            <w:vAlign w:val="center"/>
          </w:tcPr>
          <w:p w14:paraId="139B01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基层医院信息管理系统（HIS）具有门急诊、住院、药房等基本业务管理功能。系统需嵌入《国家基本药物处方集》和《国家基本药物临床应用指南》等资料，以协助医务人员的诊疗工作。系统需满足门诊、住院、药房药库、物资管理、财务等实际业务需要，从而进一步规范基层医务人员诊疗行为，改善医疗服务质量。</w:t>
            </w:r>
          </w:p>
          <w:p w14:paraId="4B22336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b/>
                <w:bCs/>
                <w:color w:val="auto"/>
                <w:sz w:val="21"/>
                <w:szCs w:val="21"/>
              </w:rPr>
              <w:t>★</w:t>
            </w:r>
            <w:r>
              <w:rPr>
                <w:rFonts w:hint="eastAsia" w:ascii="宋体" w:hAnsi="宋体" w:cs="宋体"/>
                <w:b/>
                <w:bCs/>
                <w:color w:val="auto"/>
                <w:kern w:val="0"/>
                <w:sz w:val="21"/>
                <w:szCs w:val="21"/>
                <w:u w:val="none"/>
                <w:lang w:val="en-US" w:eastAsia="zh-CN" w:bidi="ar"/>
              </w:rPr>
              <w:t>系统</w:t>
            </w:r>
            <w:r>
              <w:rPr>
                <w:rFonts w:hint="eastAsia" w:ascii="宋体" w:hAnsi="宋体" w:cs="宋体"/>
                <w:b/>
                <w:bCs/>
                <w:i w:val="0"/>
                <w:iCs w:val="0"/>
                <w:color w:val="auto"/>
                <w:kern w:val="0"/>
                <w:sz w:val="21"/>
                <w:szCs w:val="21"/>
                <w:u w:val="none"/>
                <w:lang w:val="en-US" w:eastAsia="zh-CN" w:bidi="ar"/>
              </w:rPr>
              <w:t>与我院现有信息集成平台实现数据对接，包括但不限于病人信息，诊疗信息，检验检查结果等信息。</w:t>
            </w:r>
          </w:p>
          <w:p w14:paraId="346A2D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▲系统需支持与电子病历、基本公共卫生服务系统、家庭医生签约服务系统</w:t>
            </w:r>
            <w:r>
              <w:rPr>
                <w:rFonts w:hint="eastAsia" w:ascii="宋体" w:hAnsi="宋体" w:cs="宋体"/>
                <w:i w:val="0"/>
                <w:iCs w:val="0"/>
                <w:color w:val="auto"/>
                <w:kern w:val="0"/>
                <w:sz w:val="21"/>
                <w:szCs w:val="21"/>
                <w:u w:val="none"/>
                <w:lang w:val="en-US" w:eastAsia="zh-CN" w:bidi="ar"/>
              </w:rPr>
              <w:t>、传染病前置软件、飞图影像、飞图检验检查互认、全民健康平台</w:t>
            </w:r>
            <w:r>
              <w:rPr>
                <w:rFonts w:hint="eastAsia" w:ascii="宋体" w:hAnsi="宋体" w:eastAsia="宋体" w:cs="宋体"/>
                <w:i w:val="0"/>
                <w:iCs w:val="0"/>
                <w:color w:val="auto"/>
                <w:kern w:val="0"/>
                <w:sz w:val="21"/>
                <w:szCs w:val="21"/>
                <w:u w:val="none"/>
                <w:lang w:val="en-US" w:eastAsia="zh-CN" w:bidi="ar"/>
              </w:rPr>
              <w:t>互联互通，</w:t>
            </w:r>
            <w:r>
              <w:rPr>
                <w:rFonts w:hint="eastAsia" w:ascii="宋体" w:hAnsi="宋体" w:eastAsia="宋体" w:cs="宋体"/>
                <w:b/>
                <w:bCs/>
                <w:i w:val="0"/>
                <w:iCs w:val="0"/>
                <w:color w:val="auto"/>
                <w:kern w:val="0"/>
                <w:sz w:val="21"/>
                <w:szCs w:val="21"/>
                <w:u w:val="none"/>
                <w:lang w:val="en-US" w:eastAsia="zh-CN" w:bidi="ar"/>
              </w:rPr>
              <w:t>并提供成熟度应用效果截图</w:t>
            </w:r>
            <w:r>
              <w:rPr>
                <w:rFonts w:hint="eastAsia" w:ascii="宋体" w:hAnsi="宋体" w:eastAsia="宋体" w:cs="宋体"/>
                <w:i w:val="0"/>
                <w:iCs w:val="0"/>
                <w:color w:val="auto"/>
                <w:kern w:val="0"/>
                <w:sz w:val="21"/>
                <w:szCs w:val="21"/>
                <w:u w:val="none"/>
                <w:lang w:val="en-US" w:eastAsia="zh-CN" w:bidi="ar"/>
              </w:rPr>
              <w:t>。系统需具备以下功能：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1.门诊业务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提供基于SOAP格式电子病历或全科诊疗记录服务。包括诊疗登记、书写SOAP、门诊病历、电子处方、治疗处置、收费管理等功能。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2.住院业务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提供住院业务的综合管理。主要包括住院病人入出转业务、住院医生站业务、住院护士站业务等。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3.门诊收费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门急诊挂号管理及收费功能。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4.药房管理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实现对药品的科室入库、发退领、盘点、报损、对账等进行管理。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5.药库管理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用于管理药品从入库、储存到出库、药品盘点、药品调价等过程的管理。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6.基本药物管理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对基本药物的信息、价格进行管理。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7.物资（耗材）管理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为开展业务活动及其他活动而储存的卫生材料、低值易耗品、其他材料、专项物资等低值易耗品的管理。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8.设备管理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针对设备固定资产的管理。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9.财务管理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对机构中资金的收入、支出以及国有资产进行管理和监督。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10.综合管理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统计分析与综合查询主要用于基层机构各部门及管理者对机构的业务收支、基本医疗服务、基本公共卫生服务情况等业务数据进行统计分析，提供各类统计图表，并可进一步查询获取详细的信息列表。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11.乡村一体化管理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对辖区内村</w:t>
            </w:r>
            <w:r>
              <w:rPr>
                <w:rFonts w:hint="eastAsia" w:ascii="宋体" w:hAnsi="宋体" w:cs="宋体"/>
                <w:i w:val="0"/>
                <w:iCs w:val="0"/>
                <w:color w:val="auto"/>
                <w:kern w:val="0"/>
                <w:sz w:val="21"/>
                <w:szCs w:val="21"/>
                <w:u w:val="none"/>
                <w:lang w:val="en-US" w:eastAsia="zh-CN" w:bidi="ar"/>
              </w:rPr>
              <w:t>卫生</w:t>
            </w:r>
            <w:r>
              <w:rPr>
                <w:rFonts w:hint="eastAsia" w:ascii="宋体" w:hAnsi="宋体" w:eastAsia="宋体" w:cs="宋体"/>
                <w:i w:val="0"/>
                <w:iCs w:val="0"/>
                <w:color w:val="auto"/>
                <w:kern w:val="0"/>
                <w:sz w:val="21"/>
                <w:szCs w:val="21"/>
                <w:u w:val="none"/>
                <w:lang w:val="en-US" w:eastAsia="zh-CN" w:bidi="ar"/>
              </w:rPr>
              <w:t>室开展工作监督、业务指导、药品配送等工作，主要包括门急诊收费管理、物资管理、设备管理、财务管理。以及统计、分析及查询和咨询等综合管理模块。以实现管理的规范化，标准化。</w:t>
            </w:r>
          </w:p>
        </w:tc>
        <w:tc>
          <w:tcPr>
            <w:tcW w:w="435" w:type="dxa"/>
            <w:shd w:val="clear" w:color="auto" w:fill="auto"/>
            <w:vAlign w:val="center"/>
          </w:tcPr>
          <w:p w14:paraId="76FB3A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50" w:type="dxa"/>
            <w:shd w:val="clear" w:color="auto" w:fill="auto"/>
            <w:vAlign w:val="center"/>
          </w:tcPr>
          <w:p w14:paraId="1F3A56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005" w:type="dxa"/>
            <w:shd w:val="clear" w:color="auto" w:fill="auto"/>
            <w:vAlign w:val="center"/>
          </w:tcPr>
          <w:p w14:paraId="6D7CEF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20</w:t>
            </w:r>
          </w:p>
        </w:tc>
        <w:tc>
          <w:tcPr>
            <w:tcW w:w="855" w:type="dxa"/>
            <w:shd w:val="clear" w:color="auto" w:fill="auto"/>
            <w:vAlign w:val="center"/>
          </w:tcPr>
          <w:p w14:paraId="1C5434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20</w:t>
            </w:r>
          </w:p>
        </w:tc>
      </w:tr>
      <w:tr w14:paraId="68EE2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0" w:hRule="atLeast"/>
        </w:trPr>
        <w:tc>
          <w:tcPr>
            <w:tcW w:w="435" w:type="dxa"/>
            <w:shd w:val="clear" w:color="auto" w:fill="auto"/>
            <w:vAlign w:val="center"/>
          </w:tcPr>
          <w:p w14:paraId="55B247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2</w:t>
            </w:r>
          </w:p>
        </w:tc>
        <w:tc>
          <w:tcPr>
            <w:tcW w:w="750" w:type="dxa"/>
            <w:shd w:val="clear" w:color="auto" w:fill="auto"/>
            <w:vAlign w:val="center"/>
          </w:tcPr>
          <w:p w14:paraId="67AA55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基层医学检验信息系统（LIS）</w:t>
            </w:r>
          </w:p>
        </w:tc>
        <w:tc>
          <w:tcPr>
            <w:tcW w:w="6690" w:type="dxa"/>
            <w:shd w:val="clear" w:color="auto" w:fill="auto"/>
            <w:vAlign w:val="center"/>
          </w:tcPr>
          <w:p w14:paraId="73AA8D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实现医院检验室自动化、智能化检验仪器设备联机通讯；集中存储、管理和分析检验报告与数据；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1.检验申请模块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1）提供专业化检验申请模块，支持独立终端部署、嵌入式调用多种应用场景。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2）针对门诊、住院等多种应用场景，提供个性化应用页面，支持对接HIS系统快捷调取患者信息。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▲3）对检验医嘱分类管理，支持多条件医嘱检索，支持医嘱模板。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▲4）支持跟踪查询历史检验申请信息及状态，提供检验报告查询查阅。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5）提供特殊检验申请单录入模板。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2.标本备管-住院条码打印模块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1）提供在未打印标本条码的院患者列表，支持患者ID索引精准检索。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▲2）自动对检验申请项目分组共管，支持手动自定义编辑共管分管。</w:t>
            </w:r>
            <w:r>
              <w:rPr>
                <w:rFonts w:hint="eastAsia" w:ascii="宋体" w:hAnsi="宋体" w:eastAsia="宋体" w:cs="宋体"/>
                <w:i w:val="0"/>
                <w:iCs w:val="0"/>
                <w:color w:val="0000FF"/>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3）支持对已打印标本条码进行检索查询，支持补打及重编。</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3.标本备管-门诊条码打印模块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1）支持患者ID索引快捷检索。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▲2）支持预设标本采集分组，自动过滤非本工作岗位采集标本。</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3）提供当前打印标本条码记录缓存，减少误操作带来的冗余操作。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4.标本采集模块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1）支持标本条码扫描操作，快捷提取标本信息。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2）针对临床住院，提供已打印标本条码的患者列表。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▲3）提供退签拒签标本提醒，支持快捷检索待重采集标本。</w:t>
            </w:r>
            <w:r>
              <w:rPr>
                <w:rFonts w:hint="eastAsia" w:ascii="宋体" w:hAnsi="宋体" w:eastAsia="宋体" w:cs="宋体"/>
                <w:b/>
                <w:bCs/>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4）提供标本重采集快捷操作入口，完成标本补打及重采登记。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5.标本转运模块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1）提供标本转运送检双签认证，登记记录标本交接人与转运人。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▲2）自动对转运标本产生送检批次，可在交接操作过程中自动对送检批次打印清单，便于标本交接核对。</w:t>
            </w:r>
          </w:p>
          <w:p w14:paraId="6F4810B8">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lang w:val="en-US" w:eastAsia="zh-CN" w:bidi="ar"/>
              </w:rPr>
              <w:t>6.</w:t>
            </w:r>
            <w:r>
              <w:rPr>
                <w:rFonts w:hint="eastAsia" w:ascii="宋体" w:hAnsi="宋体" w:eastAsia="宋体" w:cs="宋体"/>
                <w:i w:val="0"/>
                <w:iCs w:val="0"/>
                <w:color w:val="auto"/>
                <w:kern w:val="0"/>
                <w:sz w:val="21"/>
                <w:szCs w:val="21"/>
                <w:u w:val="none"/>
                <w:lang w:val="en-US" w:eastAsia="zh-CN" w:bidi="ar"/>
              </w:rPr>
              <w:t>标本签收模块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1）提供标本送检签收双签认证，登记记录标本转运人与签收人。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2）支持批次标本签收，提供签收标本信息核对。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▲3）自动对批次签收标本产生签收批次，可在签收操作过程中自动对签收批次打印清单，便于核对。</w:t>
            </w:r>
          </w:p>
          <w:p w14:paraId="6721A9FB">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▲4）提供标本自动拆分，根据实际检测情况自动打印实验室内标本条码。</w:t>
            </w:r>
          </w:p>
          <w:p w14:paraId="7775059B">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lang w:val="en-US" w:eastAsia="zh-CN" w:bidi="ar"/>
              </w:rPr>
              <w:t>7.</w:t>
            </w:r>
            <w:r>
              <w:rPr>
                <w:rFonts w:hint="eastAsia" w:ascii="宋体" w:hAnsi="宋体" w:eastAsia="宋体" w:cs="宋体"/>
                <w:i w:val="0"/>
                <w:iCs w:val="0"/>
                <w:color w:val="auto"/>
                <w:kern w:val="0"/>
                <w:sz w:val="21"/>
                <w:szCs w:val="21"/>
                <w:u w:val="none"/>
                <w:lang w:val="en-US" w:eastAsia="zh-CN" w:bidi="ar"/>
              </w:rPr>
              <w:t>标本退签模块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1）根据实际应用需求提供多种功能：不合格标本退签重采、不合格标本登记、项目退费退签。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2）不合格标本登记仅对标本不合格情况进行登记，不做标本退签。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▲3）不合格标本退签重采在的登记标本不合格情况的同时记录退签通知信息，并对临床发出提醒。</w:t>
            </w:r>
          </w:p>
          <w:p w14:paraId="05BC013E">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4）项目退费是检验项目申请的取消退费或项目退费申请确认。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5）标本退签过程中，自动判断标本是否登记上机检测，提示是否作废报告。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8.标本管理模块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1）支持查询追踪标本信息，提供标本全流程记录查阅。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▲2）实现对标本周转过程的全流程监管与记录，对标本TAT进行实时监控，自动分析计算标本周转时间。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3）支持自定义分组分类对标本检测项目周转时间进行配置，并依据设置对标本TAT数据进行超时分析和百分位数计算。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9.常规检测模块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1）提供多种登记上机方式：依据标本条码、病人ID等多种关键索引登记上机，检索在院患者或已签收标本信息登记上机，纯手工录入信息登记上机等。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2）提供报告列表多条件筛选查询，支持报告流程状态快速筛选及汇总数量，提供多种标识标记标本报告的特殊信息。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3）支持自定义配置参考值及适用对象，自动获取检验项目的参考值，自动对结果分析判读。</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▲4）提供历史结果对比、特定项目检验结果对比、历史报告追踪等多种检测数据分析检索工具。</w:t>
            </w:r>
          </w:p>
          <w:p w14:paraId="1FEDCB8B">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5）提供常用结果枚举、自动计算、科学计数法换算、报告剪切复制、结果批量修改等报告结果编辑工具。</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6）支持图片文件上传编辑。</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▲7）支持同标本复检、跨仪器复检等多种复检方式。</w:t>
            </w:r>
            <w:r>
              <w:rPr>
                <w:rFonts w:hint="eastAsia" w:ascii="宋体" w:hAnsi="宋体" w:eastAsia="宋体" w:cs="宋体"/>
                <w:b/>
                <w:bCs/>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8）提供标本及报告过程记录、项目结果修改记录查询。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9）提供检验项目临床试验含义知识库，解析检测结果的生理、病理表现，提高检测报告可读性，</w:t>
            </w:r>
            <w:r>
              <w:rPr>
                <w:rFonts w:hint="eastAsia" w:ascii="宋体" w:hAnsi="宋体" w:cs="宋体"/>
                <w:i w:val="0"/>
                <w:iCs w:val="0"/>
                <w:color w:val="auto"/>
                <w:kern w:val="0"/>
                <w:sz w:val="21"/>
                <w:szCs w:val="21"/>
                <w:u w:val="none"/>
                <w:lang w:val="en-US" w:eastAsia="zh-CN" w:bidi="ar"/>
              </w:rPr>
              <w:t>适</w:t>
            </w:r>
            <w:r>
              <w:rPr>
                <w:rFonts w:hint="eastAsia" w:ascii="宋体" w:hAnsi="宋体" w:eastAsia="宋体" w:cs="宋体"/>
                <w:i w:val="0"/>
                <w:iCs w:val="0"/>
                <w:color w:val="auto"/>
                <w:kern w:val="0"/>
                <w:sz w:val="21"/>
                <w:szCs w:val="21"/>
                <w:u w:val="none"/>
                <w:lang w:val="en-US" w:eastAsia="zh-CN" w:bidi="ar"/>
              </w:rPr>
              <w:t>用于检验科室的标本检测与临床申请科室的报告查阅。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10.报告审核管理模块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1）报告审核支持多级审核制度、CA认证与电子签名。</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2）提供报告完整性、合理性分析，对不符合审核规则的报告进行提醒。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3）提供实验室检测报告集中审核及发布，支持对报告依据结果进行分类过滤筛选。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4）支持特殊报告模板维护。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11.报告查阅模块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1）支持独立终端部署与嵌入式调用。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2）支持根据使用者进行查询权限控制。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3）支持查阅项目试验含义知识库。</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▲4）支持对检测项目历史结果对比。</w:t>
            </w:r>
          </w:p>
          <w:p w14:paraId="4B18B2F9">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▲5）支持查询标本流转过程。</w:t>
            </w:r>
          </w:p>
          <w:p w14:paraId="46B4F939">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6）支持下载检测报告PDF。</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12.数据统计分析模块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1）整合数据，统计分析。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▲2）支持标本量、报告量、危急报告、不合格标本、检验项目结果、微生物细菌药敏、WHONET、传染病等多类数据统计分析。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3）支持各类统计数据的图表分析，如饼状图、变化曲线图、柱状图等。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4）支持统计数据形成数据报表或导出电子表格。</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5）支持根据实验室的具体要求和特色化管理需求自定义统计分析报表。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13.排班与交接班模块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支持排班交班分班管理。</w:t>
            </w:r>
          </w:p>
        </w:tc>
        <w:tc>
          <w:tcPr>
            <w:tcW w:w="435" w:type="dxa"/>
            <w:shd w:val="clear" w:color="auto" w:fill="auto"/>
            <w:vAlign w:val="center"/>
          </w:tcPr>
          <w:p w14:paraId="20780B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50" w:type="dxa"/>
            <w:shd w:val="clear" w:color="auto" w:fill="auto"/>
            <w:vAlign w:val="center"/>
          </w:tcPr>
          <w:p w14:paraId="3A6EFB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005" w:type="dxa"/>
            <w:shd w:val="clear" w:color="auto" w:fill="auto"/>
            <w:vAlign w:val="center"/>
          </w:tcPr>
          <w:p w14:paraId="0EF283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3</w:t>
            </w:r>
          </w:p>
        </w:tc>
        <w:tc>
          <w:tcPr>
            <w:tcW w:w="855" w:type="dxa"/>
            <w:shd w:val="clear" w:color="auto" w:fill="auto"/>
            <w:vAlign w:val="center"/>
          </w:tcPr>
          <w:p w14:paraId="1EB624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3</w:t>
            </w:r>
          </w:p>
        </w:tc>
      </w:tr>
      <w:tr w14:paraId="5A095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55" w:hRule="atLeast"/>
        </w:trPr>
        <w:tc>
          <w:tcPr>
            <w:tcW w:w="435" w:type="dxa"/>
            <w:shd w:val="clear" w:color="auto" w:fill="auto"/>
            <w:vAlign w:val="center"/>
          </w:tcPr>
          <w:p w14:paraId="1EEB51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3</w:t>
            </w:r>
          </w:p>
        </w:tc>
        <w:tc>
          <w:tcPr>
            <w:tcW w:w="750" w:type="dxa"/>
            <w:shd w:val="clear" w:color="auto" w:fill="auto"/>
            <w:vAlign w:val="center"/>
          </w:tcPr>
          <w:p w14:paraId="32AF03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移动公卫系统（含两卡制</w:t>
            </w:r>
            <w:r>
              <w:rPr>
                <w:rFonts w:hint="eastAsia" w:ascii="宋体" w:hAnsi="宋体" w:cs="宋体"/>
                <w:i w:val="0"/>
                <w:iCs w:val="0"/>
                <w:color w:val="auto"/>
                <w:kern w:val="0"/>
                <w:sz w:val="21"/>
                <w:szCs w:val="21"/>
                <w:u w:val="none"/>
                <w:lang w:val="en-US" w:eastAsia="zh-CN" w:bidi="ar"/>
              </w:rPr>
              <w:t>管理系统及</w:t>
            </w:r>
            <w:r>
              <w:rPr>
                <w:rFonts w:hint="eastAsia" w:ascii="宋体" w:hAnsi="宋体" w:eastAsia="宋体" w:cs="宋体"/>
                <w:i w:val="0"/>
                <w:iCs w:val="0"/>
                <w:color w:val="auto"/>
                <w:kern w:val="0"/>
                <w:sz w:val="21"/>
                <w:szCs w:val="21"/>
                <w:u w:val="none"/>
                <w:lang w:val="en-US" w:eastAsia="zh-CN" w:bidi="ar"/>
              </w:rPr>
              <w:t>人脸识别）</w:t>
            </w:r>
          </w:p>
        </w:tc>
        <w:tc>
          <w:tcPr>
            <w:tcW w:w="6690" w:type="dxa"/>
            <w:shd w:val="clear" w:color="auto" w:fill="auto"/>
            <w:vAlign w:val="center"/>
          </w:tcPr>
          <w:p w14:paraId="0D3AE0A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移动公卫系统主要是为村医/家庭医生做基本公共卫生服务时提供基本公卫服务数据的录</w:t>
            </w:r>
          </w:p>
          <w:p w14:paraId="766A728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入软件。乡镇卫生院和村卫生室的医生手持移动端进行公共卫生服务时，可实时在线调阅居民</w:t>
            </w:r>
          </w:p>
          <w:p w14:paraId="6CD881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健康档案、记录随访数据，随访数据在 PAD 录入后将同步上传到基本公卫系统，保证公卫数据</w:t>
            </w:r>
          </w:p>
          <w:p w14:paraId="78576CE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采集的实时性、一致性。系统需具备以下功能：</w:t>
            </w:r>
          </w:p>
          <w:p w14:paraId="2CCB725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1.新增家庭</w:t>
            </w:r>
          </w:p>
          <w:p w14:paraId="3A8A36A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管理家庭信息，包含查询家庭、新增家庭电子档案录入家庭基本信息、编辑家庭基本信息、以</w:t>
            </w:r>
          </w:p>
          <w:p w14:paraId="2FB141A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及新增家庭成员。</w:t>
            </w:r>
          </w:p>
          <w:p w14:paraId="15937C6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2.新增成员</w:t>
            </w:r>
          </w:p>
          <w:p w14:paraId="57718A4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添加及维护居民档案信息，包括基本信息、各类人群专项档案信息以及体检信息。</w:t>
            </w:r>
          </w:p>
          <w:p w14:paraId="5626E61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3.高血压随访管理</w:t>
            </w:r>
          </w:p>
          <w:p w14:paraId="42A3187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新增、编辑、修改、删除高血压患者随访记录。</w:t>
            </w:r>
          </w:p>
          <w:p w14:paraId="76FF292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4.二型糖尿病随访管理</w:t>
            </w:r>
          </w:p>
          <w:p w14:paraId="6E3C1CC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新增、编辑、修改、删除糖尿病患者随访记录。</w:t>
            </w:r>
          </w:p>
          <w:p w14:paraId="34187FA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5.肺结核管理</w:t>
            </w:r>
          </w:p>
          <w:p w14:paraId="6D85831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新增、编辑、修改、删除肺结核患者随访记录。</w:t>
            </w:r>
          </w:p>
          <w:p w14:paraId="7EB9E23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6.冠心病管理</w:t>
            </w:r>
          </w:p>
          <w:p w14:paraId="22498D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新增、编辑、修改、删除冠心病患者随访记录。</w:t>
            </w:r>
          </w:p>
          <w:p w14:paraId="28C5D73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7.脑卒中管理</w:t>
            </w:r>
          </w:p>
          <w:p w14:paraId="21832E6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新增、编辑、修改、删除脑卒中患者随访记录。</w:t>
            </w:r>
          </w:p>
          <w:p w14:paraId="7C036B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8.残疾人管理</w:t>
            </w:r>
          </w:p>
          <w:p w14:paraId="3F357E8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新增、编辑、修改、删除残疾人随访记录。</w:t>
            </w:r>
          </w:p>
          <w:p w14:paraId="4D22763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9.老年人管理</w:t>
            </w:r>
          </w:p>
          <w:p w14:paraId="539307F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通过老年人管理功能，实现老年人自理能力评估、老人抑郁调查、老人认知调查等。</w:t>
            </w:r>
          </w:p>
          <w:p w14:paraId="07C5BDA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10.严重精神障碍患者管理</w:t>
            </w:r>
          </w:p>
          <w:p w14:paraId="4F2ECBF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新增、编辑、修改、删除严重精神障碍患者随访记录。</w:t>
            </w:r>
          </w:p>
          <w:p w14:paraId="6246B1C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11.儿童管理</w:t>
            </w:r>
          </w:p>
          <w:p w14:paraId="5B1C070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新增、编辑、修改、删除 0~6 岁儿童随访记录。</w:t>
            </w:r>
          </w:p>
          <w:p w14:paraId="1244BD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12.孕产妇管理</w:t>
            </w:r>
          </w:p>
          <w:p w14:paraId="0855686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通过妇女健康管理功能，实现孕产妇登记、第一次产前随访、第 2~5 次产前随访、分娩登记、</w:t>
            </w:r>
          </w:p>
          <w:p w14:paraId="06A7A1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产后访视、产后 42 天随访管理。</w:t>
            </w:r>
          </w:p>
          <w:p w14:paraId="0F26805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13.体检管理</w:t>
            </w:r>
          </w:p>
          <w:p w14:paraId="00AA95F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新增、编辑、修改、删除残体检记录。</w:t>
            </w:r>
          </w:p>
          <w:p w14:paraId="248E2E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14.老年人中医药健康管理</w:t>
            </w:r>
          </w:p>
          <w:p w14:paraId="4A4AD4A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通过老年人中医保健管理功能，实现老年人中医药健康管理服务内容的新增，对老年人中医保</w:t>
            </w:r>
          </w:p>
          <w:p w14:paraId="6FDFEB3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健随访等</w:t>
            </w:r>
          </w:p>
          <w:p w14:paraId="4EB02D5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15.查询统计</w:t>
            </w:r>
          </w:p>
          <w:p w14:paraId="1D173F4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可按时间段，查询统计各类人群服务数量。</w:t>
            </w:r>
          </w:p>
          <w:p w14:paraId="2B72D89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16.数据上传管理</w:t>
            </w:r>
          </w:p>
          <w:p w14:paraId="0CE0ABB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通过上传功能将数据上传到冠新公卫系统中。</w:t>
            </w:r>
          </w:p>
          <w:p w14:paraId="72E60A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17.两卡制人脸识别通过移动终端进行活体检测，并提交采集的身份信息及人脸照片到中心，实现人脸识别；用于本公共卫生服务的真实性确认环节。</w:t>
            </w:r>
          </w:p>
        </w:tc>
        <w:tc>
          <w:tcPr>
            <w:tcW w:w="435" w:type="dxa"/>
            <w:shd w:val="clear" w:color="auto" w:fill="auto"/>
            <w:vAlign w:val="center"/>
          </w:tcPr>
          <w:p w14:paraId="3E1AF1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2</w:t>
            </w:r>
          </w:p>
        </w:tc>
        <w:tc>
          <w:tcPr>
            <w:tcW w:w="450" w:type="dxa"/>
            <w:shd w:val="clear" w:color="auto" w:fill="auto"/>
            <w:vAlign w:val="center"/>
          </w:tcPr>
          <w:p w14:paraId="4FB819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005" w:type="dxa"/>
            <w:shd w:val="clear" w:color="auto" w:fill="auto"/>
            <w:vAlign w:val="center"/>
          </w:tcPr>
          <w:p w14:paraId="3E23AD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0.4</w:t>
            </w:r>
          </w:p>
        </w:tc>
        <w:tc>
          <w:tcPr>
            <w:tcW w:w="855" w:type="dxa"/>
            <w:shd w:val="clear" w:color="auto" w:fill="auto"/>
            <w:vAlign w:val="center"/>
          </w:tcPr>
          <w:p w14:paraId="1CDB88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4.8</w:t>
            </w:r>
          </w:p>
        </w:tc>
      </w:tr>
      <w:tr w14:paraId="18C51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trPr>
        <w:tc>
          <w:tcPr>
            <w:tcW w:w="435" w:type="dxa"/>
            <w:shd w:val="clear" w:color="auto" w:fill="auto"/>
            <w:vAlign w:val="center"/>
          </w:tcPr>
          <w:p w14:paraId="0141F9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4</w:t>
            </w:r>
          </w:p>
        </w:tc>
        <w:tc>
          <w:tcPr>
            <w:tcW w:w="750" w:type="dxa"/>
            <w:shd w:val="clear" w:color="auto" w:fill="auto"/>
            <w:vAlign w:val="center"/>
          </w:tcPr>
          <w:p w14:paraId="19F0A9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基层数据智能采集系统</w:t>
            </w:r>
          </w:p>
        </w:tc>
        <w:tc>
          <w:tcPr>
            <w:tcW w:w="6690" w:type="dxa"/>
            <w:shd w:val="clear" w:color="auto" w:fill="auto"/>
            <w:vAlign w:val="center"/>
          </w:tcPr>
          <w:p w14:paraId="26AD735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系统需支持通过接口对接的方式与LIS和PACS系统进行对接，实现检查检验的结构化数据的自动上传。</w:t>
            </w:r>
          </w:p>
        </w:tc>
        <w:tc>
          <w:tcPr>
            <w:tcW w:w="435" w:type="dxa"/>
            <w:shd w:val="clear" w:color="auto" w:fill="auto"/>
            <w:vAlign w:val="center"/>
          </w:tcPr>
          <w:p w14:paraId="569E66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50" w:type="dxa"/>
            <w:shd w:val="clear" w:color="auto" w:fill="auto"/>
            <w:vAlign w:val="center"/>
          </w:tcPr>
          <w:p w14:paraId="7A38D2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005" w:type="dxa"/>
            <w:shd w:val="clear" w:color="auto" w:fill="auto"/>
            <w:vAlign w:val="center"/>
          </w:tcPr>
          <w:p w14:paraId="67A34E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5.8</w:t>
            </w:r>
          </w:p>
        </w:tc>
        <w:tc>
          <w:tcPr>
            <w:tcW w:w="855" w:type="dxa"/>
            <w:shd w:val="clear" w:color="auto" w:fill="auto"/>
            <w:vAlign w:val="center"/>
          </w:tcPr>
          <w:p w14:paraId="654A65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5.8</w:t>
            </w:r>
          </w:p>
        </w:tc>
      </w:tr>
      <w:tr w14:paraId="0A77C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0" w:hRule="atLeast"/>
        </w:trPr>
        <w:tc>
          <w:tcPr>
            <w:tcW w:w="435" w:type="dxa"/>
            <w:shd w:val="clear" w:color="auto" w:fill="auto"/>
            <w:vAlign w:val="center"/>
          </w:tcPr>
          <w:p w14:paraId="2F2BDB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5</w:t>
            </w:r>
          </w:p>
        </w:tc>
        <w:tc>
          <w:tcPr>
            <w:tcW w:w="750" w:type="dxa"/>
            <w:shd w:val="clear" w:color="auto" w:fill="auto"/>
            <w:vAlign w:val="center"/>
          </w:tcPr>
          <w:p w14:paraId="582F4F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平板电脑</w:t>
            </w:r>
          </w:p>
        </w:tc>
        <w:tc>
          <w:tcPr>
            <w:tcW w:w="6690" w:type="dxa"/>
            <w:shd w:val="clear" w:color="auto" w:fill="auto"/>
            <w:vAlign w:val="center"/>
          </w:tcPr>
          <w:p w14:paraId="130AF9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CPU 内核：高通骁龙™888：≥八核</w:t>
            </w:r>
          </w:p>
          <w:p w14:paraId="3450871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屏幕尺寸：≥11 英寸</w:t>
            </w:r>
          </w:p>
          <w:p w14:paraId="0049FD1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屏幕类型：IPS</w:t>
            </w:r>
          </w:p>
          <w:p w14:paraId="76D819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屏幕色彩：≥1670 万色</w:t>
            </w:r>
          </w:p>
          <w:p w14:paraId="4F22CDC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分辨率：≥2800×1840</w:t>
            </w:r>
          </w:p>
          <w:p w14:paraId="1EB759D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屏幕像素密度：WQXGA2560x1600 像素，275PPI</w:t>
            </w:r>
          </w:p>
          <w:p w14:paraId="2521F3B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对比度：1000:1（典型值）</w:t>
            </w:r>
          </w:p>
          <w:p w14:paraId="48F5F6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亮度：300nits（典型值）</w:t>
            </w:r>
          </w:p>
          <w:p w14:paraId="44DBFE6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电池：≥8300mAh（典型值）</w:t>
            </w:r>
          </w:p>
          <w:p w14:paraId="01111D5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多点触控：≥10 点</w:t>
            </w:r>
          </w:p>
          <w:p w14:paraId="7C5C682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传输功能：支持 WLAN、USB、蓝牙、无线投屏、数据流量等</w:t>
            </w:r>
          </w:p>
          <w:p w14:paraId="0DE220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机身内存（ROM）：≥128GB</w:t>
            </w:r>
          </w:p>
          <w:p w14:paraId="12B312B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运行内存（RAM）：≥8GB</w:t>
            </w:r>
          </w:p>
        </w:tc>
        <w:tc>
          <w:tcPr>
            <w:tcW w:w="435" w:type="dxa"/>
            <w:shd w:val="clear" w:color="auto" w:fill="auto"/>
            <w:vAlign w:val="center"/>
          </w:tcPr>
          <w:p w14:paraId="464934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2</w:t>
            </w:r>
          </w:p>
        </w:tc>
        <w:tc>
          <w:tcPr>
            <w:tcW w:w="450" w:type="dxa"/>
            <w:shd w:val="clear" w:color="auto" w:fill="auto"/>
            <w:vAlign w:val="center"/>
          </w:tcPr>
          <w:p w14:paraId="6AE660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005" w:type="dxa"/>
            <w:shd w:val="clear" w:color="auto" w:fill="auto"/>
            <w:vAlign w:val="center"/>
          </w:tcPr>
          <w:p w14:paraId="0C862D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0.4</w:t>
            </w:r>
          </w:p>
        </w:tc>
        <w:tc>
          <w:tcPr>
            <w:tcW w:w="855" w:type="dxa"/>
            <w:shd w:val="clear" w:color="auto" w:fill="auto"/>
            <w:vAlign w:val="center"/>
          </w:tcPr>
          <w:p w14:paraId="2339AF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4.8</w:t>
            </w:r>
          </w:p>
        </w:tc>
      </w:tr>
      <w:tr w14:paraId="2A5F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35" w:type="dxa"/>
            <w:shd w:val="clear" w:color="auto" w:fill="auto"/>
            <w:vAlign w:val="center"/>
          </w:tcPr>
          <w:p w14:paraId="698028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6</w:t>
            </w:r>
          </w:p>
        </w:tc>
        <w:tc>
          <w:tcPr>
            <w:tcW w:w="750" w:type="dxa"/>
            <w:shd w:val="clear" w:color="auto" w:fill="auto"/>
            <w:vAlign w:val="center"/>
          </w:tcPr>
          <w:p w14:paraId="46A3D1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蓝牙指纹身份证读卡器</w:t>
            </w:r>
          </w:p>
        </w:tc>
        <w:tc>
          <w:tcPr>
            <w:tcW w:w="6690" w:type="dxa"/>
            <w:shd w:val="clear" w:color="auto" w:fill="auto"/>
            <w:vAlign w:val="center"/>
          </w:tcPr>
          <w:p w14:paraId="1A8357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连接方式：USB2.0 接口有线连接和蓝牙无线传输二合一</w:t>
            </w:r>
          </w:p>
          <w:p w14:paraId="518F3F7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1.读取证件类型：居民身份证、港澳台居住证、外国人永久居住证；</w:t>
            </w:r>
          </w:p>
          <w:p w14:paraId="1C45A6B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2.读卡距离：0-3cm；</w:t>
            </w:r>
          </w:p>
          <w:p w14:paraId="1915914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3.阅读时间：&lt;1.0s（带指纹信息证件&lt;1.5s）；</w:t>
            </w:r>
          </w:p>
          <w:p w14:paraId="2A5E88E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4.天线能量输出：</w:t>
            </w:r>
          </w:p>
          <w:p w14:paraId="6153447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（1）天线表面磁场强度（Hmax）≤7.5A/mrms；</w:t>
            </w:r>
          </w:p>
          <w:p w14:paraId="30FAD1F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（2）天线表面法线方向 5cm 处电磁场强度（Hmin）≥1.5A/mrms；</w:t>
            </w:r>
          </w:p>
          <w:p w14:paraId="69EDC2E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5.工作频率(fc)13.56MHz±7kHz</w:t>
            </w:r>
          </w:p>
          <w:p w14:paraId="5E70E19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6.蓝牙接口：遵循 BluetoothV2.0、V4.0 双模+EDR 蓝牙规范，Class2 功率级别。内置≥2.4GPCB</w:t>
            </w:r>
          </w:p>
          <w:p w14:paraId="5A29098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蓝牙射频天线空旷、无遮挡地带，收发距离≥20 米，具备加密与安全验证功能；</w:t>
            </w:r>
          </w:p>
          <w:p w14:paraId="30FC697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7.指纹采集器参数（采集器选配内置或外接）。</w:t>
            </w:r>
          </w:p>
          <w:p w14:paraId="762033D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（1）传感器类型：半导体电容式；</w:t>
            </w:r>
          </w:p>
          <w:p w14:paraId="3EC169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（2）采集模式：按压式；</w:t>
            </w:r>
          </w:p>
          <w:p w14:paraId="13954FB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（3）传感器大小：23.0*35.0mm；</w:t>
            </w:r>
          </w:p>
          <w:p w14:paraId="0F18579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（3）有效图像尺寸：≥12.8*18.0mm；</w:t>
            </w:r>
          </w:p>
          <w:p w14:paraId="300C240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（4）图像大小：256*360pixel；</w:t>
            </w:r>
          </w:p>
          <w:p w14:paraId="0A7232D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（5）图像分辨率：≥508dpi；</w:t>
            </w:r>
          </w:p>
          <w:p w14:paraId="346A26E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（6）比对方式：1：1；</w:t>
            </w:r>
          </w:p>
          <w:p w14:paraId="1264927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（7）比对时间：≤0.1s；</w:t>
            </w:r>
          </w:p>
          <w:p w14:paraId="68C2684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8.USB 接口：USB2.0 接口规范；</w:t>
            </w:r>
          </w:p>
          <w:p w14:paraId="1653FD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9.适用平台：Android/IOS/WindowsXP、Windows7、Windows10 等常见操作系统/Linux/UNIX；</w:t>
            </w:r>
          </w:p>
          <w:p w14:paraId="3BE5F7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10.充电器：DC5V/2.0A；</w:t>
            </w:r>
          </w:p>
          <w:p w14:paraId="2BFDF3F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11.充电接口：typec 采用 PC-USB 或 5V/2A 电源适配器充电器，电流不能超过 2.0A；</w:t>
            </w:r>
          </w:p>
          <w:p w14:paraId="78C84A9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12.电池：≥4000mAh 锂电池；</w:t>
            </w:r>
          </w:p>
          <w:p w14:paraId="1D5E1F0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13.工作温度：0℃～50℃；</w:t>
            </w:r>
          </w:p>
          <w:p w14:paraId="1AA8481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14.工作相对湿度：20%～90%RH；</w:t>
            </w:r>
          </w:p>
          <w:p w14:paraId="5D11657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rPr>
              <w:t>15.贮运温度及相对湿度：-10℃～55℃；20%～93%</w:t>
            </w:r>
            <w:r>
              <w:rPr>
                <w:rFonts w:hint="eastAsia" w:ascii="宋体" w:hAnsi="宋体" w:cs="宋体"/>
                <w:i w:val="0"/>
                <w:iCs w:val="0"/>
                <w:color w:val="auto"/>
                <w:sz w:val="21"/>
                <w:szCs w:val="21"/>
                <w:u w:val="none"/>
                <w:lang w:eastAsia="zh-CN"/>
              </w:rPr>
              <w:t>。</w:t>
            </w:r>
          </w:p>
        </w:tc>
        <w:tc>
          <w:tcPr>
            <w:tcW w:w="435" w:type="dxa"/>
            <w:shd w:val="clear" w:color="auto" w:fill="auto"/>
            <w:vAlign w:val="center"/>
          </w:tcPr>
          <w:p w14:paraId="33D9A1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450" w:type="dxa"/>
            <w:shd w:val="clear" w:color="auto" w:fill="auto"/>
            <w:vAlign w:val="center"/>
          </w:tcPr>
          <w:p w14:paraId="189E28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005" w:type="dxa"/>
            <w:shd w:val="clear" w:color="auto" w:fill="auto"/>
            <w:vAlign w:val="center"/>
          </w:tcPr>
          <w:p w14:paraId="7ED4FD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0.2</w:t>
            </w:r>
          </w:p>
        </w:tc>
        <w:tc>
          <w:tcPr>
            <w:tcW w:w="855" w:type="dxa"/>
            <w:shd w:val="clear" w:color="auto" w:fill="auto"/>
            <w:vAlign w:val="center"/>
          </w:tcPr>
          <w:p w14:paraId="0434E7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0.4</w:t>
            </w:r>
          </w:p>
        </w:tc>
      </w:tr>
      <w:tr w14:paraId="6966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35" w:type="dxa"/>
            <w:shd w:val="clear" w:color="auto" w:fill="auto"/>
            <w:vAlign w:val="center"/>
          </w:tcPr>
          <w:p w14:paraId="7F1CDE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7</w:t>
            </w:r>
          </w:p>
        </w:tc>
        <w:tc>
          <w:tcPr>
            <w:tcW w:w="750" w:type="dxa"/>
            <w:shd w:val="clear" w:color="auto" w:fill="auto"/>
            <w:vAlign w:val="center"/>
          </w:tcPr>
          <w:p w14:paraId="5F1C8A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蓝牙条码打印机</w:t>
            </w:r>
          </w:p>
        </w:tc>
        <w:tc>
          <w:tcPr>
            <w:tcW w:w="6690" w:type="dxa"/>
            <w:shd w:val="clear" w:color="auto" w:fill="auto"/>
            <w:vAlign w:val="center"/>
          </w:tcPr>
          <w:p w14:paraId="04541DB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1.分辨率：≥8 点/毫米(203DPI)；</w:t>
            </w:r>
          </w:p>
          <w:p w14:paraId="1C32A75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2.打印模式：热感式；</w:t>
            </w:r>
          </w:p>
          <w:p w14:paraId="1EB504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3.最大打印速度：50.8 毫米(2")/秒；最大打印宽度：72 毫米(2.83")；最大打印长度：2,794</w:t>
            </w:r>
          </w:p>
          <w:p w14:paraId="3047697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毫米(110”)；</w:t>
            </w:r>
          </w:p>
          <w:p w14:paraId="61B922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5.内存：≥16MBFlashmemory，≥64MBSDRAM；</w:t>
            </w:r>
          </w:p>
          <w:p w14:paraId="00822CD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6.接口：USB2.0，内接式蓝牙 4.2；</w:t>
            </w:r>
          </w:p>
          <w:p w14:paraId="209DB7C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7.电池：充电式电池(7.4VDC,≥2000mAh 锂电池)；</w:t>
            </w:r>
          </w:p>
          <w:p w14:paraId="191FF2F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8.电源规格：交流输入 AC100-240V,2.0A,50-60Hz；直流输出 DC5V,2.0A；</w:t>
            </w:r>
          </w:p>
          <w:p w14:paraId="780138F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rPr>
              <w:t>9.传感器：纸张间距传感器、黑线标记传感器、印字头抬起传感器</w:t>
            </w:r>
            <w:r>
              <w:rPr>
                <w:rFonts w:hint="eastAsia" w:ascii="宋体" w:hAnsi="宋体" w:cs="宋体"/>
                <w:i w:val="0"/>
                <w:iCs w:val="0"/>
                <w:color w:val="auto"/>
                <w:sz w:val="21"/>
                <w:szCs w:val="21"/>
                <w:u w:val="none"/>
                <w:lang w:eastAsia="zh-CN"/>
              </w:rPr>
              <w:t>；</w:t>
            </w:r>
          </w:p>
          <w:p w14:paraId="472F172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rPr>
              <w:t>10.内建字型：≥八种位图字体、可透过软件下载 Windows 字型</w:t>
            </w:r>
            <w:r>
              <w:rPr>
                <w:rFonts w:hint="eastAsia" w:ascii="宋体" w:hAnsi="宋体" w:cs="宋体"/>
                <w:i w:val="0"/>
                <w:iCs w:val="0"/>
                <w:color w:val="auto"/>
                <w:sz w:val="21"/>
                <w:szCs w:val="21"/>
                <w:u w:val="none"/>
                <w:lang w:eastAsia="zh-CN"/>
              </w:rPr>
              <w:t>；</w:t>
            </w:r>
          </w:p>
          <w:p w14:paraId="4F153F1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rPr>
              <w:t>11.使用环境条件：操作环境:0~40°C,湿度(非凝结)10~85%，储存环境:-20~60°C 湿度(非凝结)5~90%</w:t>
            </w:r>
            <w:r>
              <w:rPr>
                <w:rFonts w:hint="eastAsia" w:ascii="宋体" w:hAnsi="宋体" w:cs="宋体"/>
                <w:i w:val="0"/>
                <w:iCs w:val="0"/>
                <w:color w:val="auto"/>
                <w:sz w:val="21"/>
                <w:szCs w:val="21"/>
                <w:u w:val="none"/>
                <w:lang w:eastAsia="zh-CN"/>
              </w:rPr>
              <w:t>。</w:t>
            </w:r>
          </w:p>
        </w:tc>
        <w:tc>
          <w:tcPr>
            <w:tcW w:w="435" w:type="dxa"/>
            <w:shd w:val="clear" w:color="auto" w:fill="auto"/>
            <w:vAlign w:val="center"/>
          </w:tcPr>
          <w:p w14:paraId="5B09C4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450" w:type="dxa"/>
            <w:shd w:val="clear" w:color="auto" w:fill="auto"/>
            <w:vAlign w:val="center"/>
          </w:tcPr>
          <w:p w14:paraId="451A4E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005" w:type="dxa"/>
            <w:shd w:val="clear" w:color="auto" w:fill="auto"/>
            <w:vAlign w:val="center"/>
          </w:tcPr>
          <w:p w14:paraId="0731C6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0.2</w:t>
            </w:r>
          </w:p>
        </w:tc>
        <w:tc>
          <w:tcPr>
            <w:tcW w:w="855" w:type="dxa"/>
            <w:shd w:val="clear" w:color="auto" w:fill="auto"/>
            <w:vAlign w:val="center"/>
          </w:tcPr>
          <w:p w14:paraId="293836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0.4</w:t>
            </w:r>
          </w:p>
        </w:tc>
      </w:tr>
      <w:tr w14:paraId="5337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765" w:type="dxa"/>
            <w:gridSpan w:val="6"/>
            <w:shd w:val="clear" w:color="auto" w:fill="auto"/>
            <w:vAlign w:val="center"/>
          </w:tcPr>
          <w:p w14:paraId="1D49D1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b w:val="0"/>
                <w:bCs w:val="0"/>
                <w:color w:val="auto"/>
                <w:sz w:val="21"/>
                <w:szCs w:val="21"/>
              </w:rPr>
            </w:pPr>
            <w:r>
              <w:rPr>
                <w:rFonts w:hint="eastAsia" w:ascii="宋体" w:hAnsi="宋体" w:cs="宋体"/>
                <w:b w:val="0"/>
                <w:bCs w:val="0"/>
                <w:color w:val="auto"/>
                <w:sz w:val="21"/>
                <w:szCs w:val="21"/>
                <w:lang w:val="en-US" w:eastAsia="zh-CN"/>
              </w:rPr>
              <w:t>合计</w:t>
            </w:r>
          </w:p>
        </w:tc>
        <w:tc>
          <w:tcPr>
            <w:tcW w:w="855" w:type="dxa"/>
            <w:shd w:val="clear" w:color="auto" w:fill="auto"/>
            <w:vAlign w:val="center"/>
          </w:tcPr>
          <w:p w14:paraId="22F0D3E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39.2</w:t>
            </w:r>
          </w:p>
        </w:tc>
      </w:tr>
      <w:tr w14:paraId="1D4DA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620" w:type="dxa"/>
            <w:gridSpan w:val="7"/>
            <w:shd w:val="clear" w:color="auto" w:fill="auto"/>
            <w:vAlign w:val="center"/>
          </w:tcPr>
          <w:p w14:paraId="6D972A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b w:val="0"/>
                <w:bCs w:val="0"/>
                <w:color w:val="auto"/>
                <w:sz w:val="21"/>
                <w:szCs w:val="21"/>
              </w:rPr>
            </w:pPr>
            <w:r>
              <w:rPr>
                <w:rFonts w:hint="eastAsia" w:ascii="宋体" w:hAnsi="宋体" w:cs="宋体"/>
                <w:b w:val="0"/>
                <w:bCs w:val="0"/>
                <w:color w:val="auto"/>
                <w:sz w:val="21"/>
                <w:szCs w:val="21"/>
              </w:rPr>
              <w:t>注：</w:t>
            </w:r>
            <w:r>
              <w:rPr>
                <w:rFonts w:hint="eastAsia" w:ascii="宋体" w:hAnsi="宋体" w:cs="宋体"/>
                <w:color w:val="auto"/>
                <w:sz w:val="21"/>
                <w:szCs w:val="21"/>
              </w:rPr>
              <w:t>投标公司请认真评估本项目所有技术要求表</w:t>
            </w:r>
            <w:r>
              <w:rPr>
                <w:rFonts w:hint="eastAsia" w:ascii="宋体" w:hAnsi="宋体" w:cs="宋体"/>
                <w:color w:val="auto"/>
                <w:sz w:val="21"/>
                <w:szCs w:val="21"/>
                <w:lang w:eastAsia="zh-CN"/>
              </w:rPr>
              <w:t>，</w:t>
            </w:r>
            <w:r>
              <w:rPr>
                <w:rFonts w:hint="eastAsia" w:ascii="宋体" w:hAnsi="宋体" w:cs="宋体"/>
                <w:color w:val="auto"/>
                <w:sz w:val="21"/>
                <w:szCs w:val="21"/>
              </w:rPr>
              <w:t>“▲”均要求投标供应商提供截图证明等文件，否则被视为不响应</w:t>
            </w:r>
            <w:r>
              <w:rPr>
                <w:rFonts w:hint="eastAsia" w:ascii="宋体" w:hAnsi="宋体" w:cs="宋体"/>
                <w:color w:val="auto"/>
                <w:sz w:val="21"/>
                <w:szCs w:val="21"/>
                <w:lang w:val="en-US" w:eastAsia="zh-CN"/>
              </w:rPr>
              <w:t>该条款</w:t>
            </w:r>
            <w:r>
              <w:rPr>
                <w:rFonts w:hint="eastAsia" w:ascii="宋体" w:hAnsi="宋体" w:cs="宋体"/>
                <w:color w:val="auto"/>
                <w:sz w:val="21"/>
                <w:szCs w:val="21"/>
                <w:lang w:eastAsia="zh-CN"/>
              </w:rPr>
              <w:t>。</w:t>
            </w:r>
            <w:r>
              <w:rPr>
                <w:rFonts w:hint="eastAsia" w:ascii="宋体" w:hAnsi="宋体" w:cs="宋体"/>
                <w:color w:val="auto"/>
                <w:sz w:val="21"/>
                <w:szCs w:val="21"/>
              </w:rPr>
              <w:t>“★”均为实际响应要求，需按要求响应</w:t>
            </w:r>
            <w:r>
              <w:rPr>
                <w:rFonts w:hint="eastAsia" w:ascii="宋体" w:hAnsi="宋体" w:cs="宋体"/>
                <w:color w:val="auto"/>
                <w:sz w:val="21"/>
                <w:szCs w:val="21"/>
                <w:lang w:val="en-US" w:eastAsia="zh-CN"/>
              </w:rPr>
              <w:t>并</w:t>
            </w:r>
            <w:r>
              <w:rPr>
                <w:rFonts w:hint="eastAsia" w:ascii="宋体" w:hAnsi="宋体" w:cs="宋体"/>
                <w:color w:val="auto"/>
                <w:sz w:val="21"/>
                <w:szCs w:val="21"/>
              </w:rPr>
              <w:t>提供截图证明等文件，若有任意一项偏离，投标文件作否决投标处理。</w:t>
            </w:r>
          </w:p>
        </w:tc>
      </w:tr>
    </w:tbl>
    <w:p w14:paraId="7E6001A1">
      <w:pPr>
        <w:pStyle w:val="15"/>
        <w:rPr>
          <w:rFonts w:hint="eastAsia" w:ascii="宋体" w:hAnsi="宋体" w:eastAsia="宋体" w:cs="宋体"/>
          <w:b/>
          <w:bCs w:val="0"/>
          <w:color w:val="auto"/>
          <w:kern w:val="2"/>
          <w:sz w:val="24"/>
          <w:szCs w:val="24"/>
          <w:lang w:val="en-US" w:eastAsia="zh-CN" w:bidi="ar-SA"/>
        </w:rPr>
      </w:pPr>
    </w:p>
    <w:p w14:paraId="20F3C129">
      <w:pPr>
        <w:pStyle w:val="15"/>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（二）商务要求</w:t>
      </w:r>
    </w:p>
    <w:tbl>
      <w:tblPr>
        <w:tblStyle w:val="18"/>
        <w:tblW w:w="10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8"/>
        <w:gridCol w:w="8134"/>
      </w:tblGrid>
      <w:tr w14:paraId="648F6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2468" w:type="dxa"/>
            <w:shd w:val="clear" w:color="auto" w:fill="auto"/>
            <w:vAlign w:val="center"/>
          </w:tcPr>
          <w:p w14:paraId="60133E2B">
            <w:pPr>
              <w:snapToGrid w:val="0"/>
              <w:spacing w:line="336" w:lineRule="exact"/>
              <w:jc w:val="center"/>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1.供应商资质</w:t>
            </w:r>
          </w:p>
        </w:tc>
        <w:tc>
          <w:tcPr>
            <w:tcW w:w="8134" w:type="dxa"/>
            <w:shd w:val="clear" w:color="auto" w:fill="auto"/>
            <w:vAlign w:val="center"/>
          </w:tcPr>
          <w:p w14:paraId="3954397B">
            <w:pPr>
              <w:snapToGrid w:val="0"/>
              <w:spacing w:line="336" w:lineRule="exact"/>
              <w:rPr>
                <w:rFonts w:hint="eastAsia" w:asciiTheme="minorEastAsia" w:hAnsiTheme="minorEastAsia" w:eastAsiaTheme="minorEastAsia" w:cstheme="minorEastAsia"/>
                <w:b w:val="0"/>
                <w:bCs/>
                <w:color w:val="auto"/>
                <w:sz w:val="24"/>
                <w:szCs w:val="24"/>
                <w:lang w:val="en-US"/>
              </w:rPr>
            </w:pPr>
            <w:r>
              <w:rPr>
                <w:rFonts w:hint="eastAsia" w:asciiTheme="minorEastAsia" w:hAnsiTheme="minorEastAsia" w:eastAsiaTheme="minorEastAsia" w:cstheme="minorEastAsia"/>
                <w:color w:val="auto"/>
                <w:sz w:val="24"/>
                <w:szCs w:val="24"/>
              </w:rPr>
              <w:t>国内注册【依法在市场监督管理部门（或行政审批部门）登记注册】的，具</w:t>
            </w:r>
            <w:r>
              <w:rPr>
                <w:rFonts w:hint="eastAsia" w:asciiTheme="minorEastAsia" w:hAnsiTheme="minorEastAsia" w:eastAsiaTheme="minorEastAsia" w:cstheme="minorEastAsia"/>
                <w:color w:val="auto"/>
                <w:sz w:val="24"/>
                <w:szCs w:val="24"/>
                <w:lang w:val="en-US" w:eastAsia="zh-CN"/>
              </w:rPr>
              <w:t>备合法</w:t>
            </w:r>
            <w:r>
              <w:rPr>
                <w:rFonts w:hint="eastAsia" w:asciiTheme="minorEastAsia" w:hAnsiTheme="minorEastAsia" w:eastAsiaTheme="minorEastAsia" w:cstheme="minorEastAsia"/>
                <w:color w:val="auto"/>
                <w:sz w:val="24"/>
                <w:szCs w:val="24"/>
              </w:rPr>
              <w:t>资格的供应商</w:t>
            </w:r>
            <w:r>
              <w:rPr>
                <w:rFonts w:hint="eastAsia" w:asciiTheme="minorEastAsia" w:hAnsiTheme="minorEastAsia" w:eastAsiaTheme="minorEastAsia" w:cstheme="minorEastAsia"/>
                <w:color w:val="auto"/>
                <w:sz w:val="24"/>
                <w:szCs w:val="24"/>
                <w:lang w:eastAsia="zh-CN"/>
              </w:rPr>
              <w:t>。</w:t>
            </w:r>
          </w:p>
        </w:tc>
      </w:tr>
      <w:tr w14:paraId="02AF7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atLeast"/>
          <w:jc w:val="center"/>
        </w:trPr>
        <w:tc>
          <w:tcPr>
            <w:tcW w:w="2468" w:type="dxa"/>
            <w:shd w:val="clear" w:color="auto" w:fill="auto"/>
            <w:vAlign w:val="center"/>
          </w:tcPr>
          <w:p w14:paraId="2A7CC117">
            <w:pPr>
              <w:snapToGrid w:val="0"/>
              <w:spacing w:line="336" w:lineRule="exact"/>
              <w:jc w:val="center"/>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zh-CN"/>
              </w:rPr>
              <w:t>提供免费技术培训</w:t>
            </w:r>
          </w:p>
          <w:p w14:paraId="2F957187">
            <w:pPr>
              <w:jc w:val="center"/>
              <w:rPr>
                <w:rFonts w:hint="eastAsia" w:asciiTheme="minorEastAsia" w:hAnsiTheme="minorEastAsia" w:eastAsiaTheme="minorEastAsia" w:cstheme="minorEastAsia"/>
                <w:b w:val="0"/>
                <w:bCs/>
                <w:color w:val="auto"/>
                <w:kern w:val="2"/>
                <w:sz w:val="24"/>
                <w:szCs w:val="24"/>
                <w:lang w:val="en-US" w:eastAsia="zh-CN" w:bidi="ar-SA"/>
              </w:rPr>
            </w:pPr>
          </w:p>
        </w:tc>
        <w:tc>
          <w:tcPr>
            <w:tcW w:w="8134" w:type="dxa"/>
            <w:shd w:val="clear" w:color="auto" w:fill="auto"/>
            <w:vAlign w:val="center"/>
          </w:tcPr>
          <w:p w14:paraId="6BC2C8E1">
            <w:pPr>
              <w:snapToGrid w:val="0"/>
              <w:spacing w:line="336" w:lineRule="exact"/>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color w:val="auto"/>
                <w:sz w:val="24"/>
                <w:szCs w:val="24"/>
              </w:rPr>
              <w:t>须提供详细的项目培训计划；对系统使用人员、系统运行维护管理人员等不同对象的培训计划；培训课程安排、培训方式及时间；地点场所由采购人提供；提供系统操作培训：主要面向医院医务人员及相关管理部门等使用系统的人员，提供操作培训；提供系统日常维护系统培训：主要面向医院信息管理技术人员进行培训，使其具备独立进行系统日常维护、故障的诊断与处理等方面的培训。</w:t>
            </w:r>
          </w:p>
        </w:tc>
      </w:tr>
      <w:tr w14:paraId="2B93C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2468" w:type="dxa"/>
            <w:shd w:val="clear" w:color="auto" w:fill="auto"/>
            <w:vAlign w:val="center"/>
          </w:tcPr>
          <w:p w14:paraId="59FDE80F">
            <w:pPr>
              <w:snapToGrid w:val="0"/>
              <w:spacing w:line="336" w:lineRule="exact"/>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交付地点</w:t>
            </w:r>
          </w:p>
        </w:tc>
        <w:tc>
          <w:tcPr>
            <w:tcW w:w="8134" w:type="dxa"/>
            <w:shd w:val="clear" w:color="auto" w:fill="auto"/>
            <w:vAlign w:val="center"/>
          </w:tcPr>
          <w:p w14:paraId="5F0D145C">
            <w:pPr>
              <w:snapToGrid w:val="0"/>
              <w:spacing w:line="336"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w:t>
            </w:r>
            <w:r>
              <w:rPr>
                <w:rFonts w:hint="eastAsia" w:asciiTheme="minorEastAsia" w:hAnsiTheme="minorEastAsia" w:eastAsiaTheme="minorEastAsia" w:cstheme="minorEastAsia"/>
                <w:color w:val="auto"/>
                <w:sz w:val="24"/>
                <w:szCs w:val="24"/>
              </w:rPr>
              <w:t>交付期：自签订合同之日起</w:t>
            </w:r>
            <w:r>
              <w:rPr>
                <w:rFonts w:hint="eastAsia" w:asciiTheme="minorEastAsia" w:hAnsiTheme="minorEastAsia" w:eastAsiaTheme="minorEastAsia" w:cstheme="minorEastAsia"/>
                <w:color w:val="auto"/>
                <w:sz w:val="24"/>
                <w:szCs w:val="24"/>
                <w:lang w:val="en-US" w:eastAsia="zh-CN"/>
              </w:rPr>
              <w:t>60</w:t>
            </w:r>
            <w:r>
              <w:rPr>
                <w:rFonts w:hint="eastAsia" w:asciiTheme="minorEastAsia" w:hAnsiTheme="minorEastAsia" w:eastAsiaTheme="minorEastAsia" w:cstheme="minorEastAsia"/>
                <w:color w:val="auto"/>
                <w:sz w:val="24"/>
                <w:szCs w:val="24"/>
              </w:rPr>
              <w:t>日历日内验收合格并交付采购人使用。</w:t>
            </w:r>
          </w:p>
          <w:p w14:paraId="4558604E">
            <w:pPr>
              <w:snapToGrid w:val="0"/>
              <w:spacing w:line="336" w:lineRule="exact"/>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color w:val="auto"/>
                <w:sz w:val="24"/>
                <w:szCs w:val="24"/>
                <w:lang w:val="en-US" w:eastAsia="zh-CN"/>
              </w:rPr>
              <w:t>②</w:t>
            </w:r>
            <w:r>
              <w:rPr>
                <w:rFonts w:hint="eastAsia" w:asciiTheme="minorEastAsia" w:hAnsiTheme="minorEastAsia" w:eastAsiaTheme="minorEastAsia" w:cstheme="minorEastAsia"/>
                <w:color w:val="auto"/>
                <w:sz w:val="24"/>
                <w:szCs w:val="24"/>
              </w:rPr>
              <w:t>招标人指定地点。</w:t>
            </w:r>
          </w:p>
        </w:tc>
      </w:tr>
      <w:tr w14:paraId="09E19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2" w:hRule="atLeast"/>
          <w:jc w:val="center"/>
        </w:trPr>
        <w:tc>
          <w:tcPr>
            <w:tcW w:w="2468" w:type="dxa"/>
            <w:shd w:val="clear" w:color="auto" w:fill="auto"/>
            <w:vAlign w:val="center"/>
          </w:tcPr>
          <w:p w14:paraId="14358007">
            <w:pPr>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付款方式</w:t>
            </w:r>
          </w:p>
        </w:tc>
        <w:tc>
          <w:tcPr>
            <w:tcW w:w="8134" w:type="dxa"/>
            <w:shd w:val="clear" w:color="auto" w:fill="auto"/>
            <w:vAlign w:val="center"/>
          </w:tcPr>
          <w:p w14:paraId="0AA83085">
            <w:pPr>
              <w:spacing w:line="360" w:lineRule="exact"/>
              <w:ind w:right="-55" w:rightChars="-26"/>
              <w:rPr>
                <w:rFonts w:hint="eastAsia" w:ascii="宋体" w:hAnsi="宋体" w:eastAsia="宋体" w:cs="宋体"/>
                <w:bCs/>
                <w:sz w:val="24"/>
                <w:szCs w:val="24"/>
              </w:rPr>
            </w:pPr>
            <w:r>
              <w:rPr>
                <w:rFonts w:hint="eastAsia" w:ascii="微软雅黑" w:hAnsi="微软雅黑" w:eastAsia="微软雅黑" w:cs="微软雅黑"/>
                <w:bCs/>
                <w:sz w:val="24"/>
                <w:szCs w:val="24"/>
              </w:rPr>
              <w:t>①</w:t>
            </w:r>
            <w:r>
              <w:rPr>
                <w:rFonts w:hint="eastAsia" w:ascii="宋体" w:hAnsi="宋体"/>
                <w:sz w:val="24"/>
              </w:rPr>
              <w:t>付款方式：合同签订之后，乙方将尽快安排入场安装，在软件上线并验收合格后，乙方开具对应金额的有效发票，甲方在收到发票</w:t>
            </w:r>
            <w:r>
              <w:rPr>
                <w:rFonts w:hint="eastAsia" w:ascii="宋体" w:hAnsi="宋体"/>
                <w:color w:val="000000" w:themeColor="text1"/>
                <w:sz w:val="24"/>
                <w:u w:val="none"/>
                <w:lang w:val="en-US" w:eastAsia="zh-CN"/>
                <w14:textFill>
                  <w14:solidFill>
                    <w14:schemeClr w14:val="tx1"/>
                  </w14:solidFill>
                </w14:textFill>
              </w:rPr>
              <w:t>后</w:t>
            </w:r>
            <w:r>
              <w:rPr>
                <w:rFonts w:hint="eastAsia" w:ascii="宋体" w:hAnsi="宋体"/>
                <w:sz w:val="24"/>
              </w:rPr>
              <w:t>，</w:t>
            </w:r>
            <w:r>
              <w:rPr>
                <w:rFonts w:hint="eastAsia" w:ascii="宋体" w:hAnsi="宋体"/>
                <w:sz w:val="24"/>
                <w:lang w:val="en-US" w:eastAsia="zh-CN"/>
              </w:rPr>
              <w:t>60</w:t>
            </w:r>
            <w:r>
              <w:rPr>
                <w:rFonts w:hint="eastAsia" w:ascii="宋体" w:hAnsi="宋体"/>
                <w:sz w:val="24"/>
              </w:rPr>
              <w:t>个工作</w:t>
            </w:r>
            <w:r>
              <w:rPr>
                <w:rFonts w:hint="eastAsia" w:ascii="宋体" w:hAnsi="宋体"/>
                <w:sz w:val="24"/>
                <w:lang w:val="en-US" w:eastAsia="zh-CN"/>
              </w:rPr>
              <w:t>日后</w:t>
            </w:r>
            <w:r>
              <w:rPr>
                <w:rFonts w:hint="eastAsia" w:ascii="宋体" w:hAnsi="宋体"/>
                <w:sz w:val="24"/>
              </w:rPr>
              <w:t>将终验款（合同金额9</w:t>
            </w:r>
            <w:r>
              <w:rPr>
                <w:rFonts w:hint="eastAsia" w:ascii="宋体" w:hAnsi="宋体"/>
                <w:sz w:val="24"/>
                <w:lang w:val="en-US" w:eastAsia="zh-CN"/>
              </w:rPr>
              <w:t>5</w:t>
            </w:r>
            <w:r>
              <w:rPr>
                <w:rFonts w:ascii="宋体" w:hAnsi="宋体"/>
                <w:sz w:val="24"/>
              </w:rPr>
              <w:t>%</w:t>
            </w:r>
            <w:r>
              <w:rPr>
                <w:rFonts w:hint="eastAsia" w:ascii="宋体" w:hAnsi="宋体"/>
                <w:sz w:val="24"/>
              </w:rPr>
              <w:t>），一次性支付给乙方；合同总额中包含</w:t>
            </w:r>
            <w:r>
              <w:rPr>
                <w:rFonts w:hint="eastAsia" w:ascii="宋体" w:hAnsi="宋体"/>
                <w:sz w:val="24"/>
                <w:lang w:val="en-US" w:eastAsia="zh-CN"/>
              </w:rPr>
              <w:t>不少于</w:t>
            </w:r>
            <w:r>
              <w:rPr>
                <w:rFonts w:ascii="宋体" w:hAnsi="宋体"/>
                <w:sz w:val="24"/>
                <w:u w:val="single"/>
              </w:rPr>
              <w:t xml:space="preserve"> </w:t>
            </w:r>
            <w:r>
              <w:rPr>
                <w:rFonts w:hint="eastAsia" w:ascii="宋体" w:hAnsi="宋体"/>
                <w:sz w:val="24"/>
                <w:u w:val="single"/>
                <w:lang w:val="en-US" w:eastAsia="zh-CN"/>
              </w:rPr>
              <w:t>1</w:t>
            </w:r>
            <w:r>
              <w:rPr>
                <w:rFonts w:ascii="宋体" w:hAnsi="宋体"/>
                <w:sz w:val="24"/>
                <w:u w:val="single"/>
              </w:rPr>
              <w:t xml:space="preserve"> </w:t>
            </w:r>
            <w:r>
              <w:rPr>
                <w:rFonts w:hint="eastAsia" w:ascii="宋体" w:hAnsi="宋体"/>
                <w:sz w:val="24"/>
              </w:rPr>
              <w:t>年的维保，维保到期后乙方提出履约保证金付款申请，甲方收到申请</w:t>
            </w:r>
            <w:r>
              <w:rPr>
                <w:rFonts w:hint="eastAsia" w:ascii="宋体" w:hAnsi="宋体"/>
                <w:sz w:val="24"/>
                <w:lang w:val="en-US" w:eastAsia="zh-CN"/>
              </w:rPr>
              <w:t>30</w:t>
            </w:r>
            <w:r>
              <w:rPr>
                <w:rFonts w:hint="eastAsia" w:ascii="宋体" w:hAnsi="宋体"/>
                <w:sz w:val="24"/>
              </w:rPr>
              <w:t>个工作日</w:t>
            </w:r>
            <w:r>
              <w:rPr>
                <w:rFonts w:hint="eastAsia" w:ascii="宋体" w:hAnsi="宋体"/>
                <w:sz w:val="24"/>
                <w:lang w:val="en-US" w:eastAsia="zh-CN"/>
              </w:rPr>
              <w:t>后</w:t>
            </w:r>
            <w:r>
              <w:rPr>
                <w:rFonts w:hint="eastAsia" w:ascii="宋体" w:hAnsi="宋体"/>
                <w:sz w:val="24"/>
              </w:rPr>
              <w:t>将履约保证金（合同金额</w:t>
            </w:r>
            <w:r>
              <w:rPr>
                <w:rFonts w:hint="eastAsia" w:ascii="宋体" w:hAnsi="宋体"/>
                <w:sz w:val="24"/>
                <w:lang w:val="en-US" w:eastAsia="zh-CN"/>
              </w:rPr>
              <w:t>5</w:t>
            </w:r>
            <w:r>
              <w:rPr>
                <w:rFonts w:ascii="宋体" w:hAnsi="宋体"/>
                <w:sz w:val="24"/>
              </w:rPr>
              <w:t>%</w:t>
            </w:r>
            <w:r>
              <w:rPr>
                <w:rFonts w:hint="eastAsia" w:ascii="宋体" w:hAnsi="宋体"/>
                <w:sz w:val="24"/>
              </w:rPr>
              <w:t>）一次性支付给乙方。合同维保到期以后每年的维保费用不超过合同总额的</w:t>
            </w:r>
            <w:r>
              <w:rPr>
                <w:rFonts w:ascii="宋体" w:hAnsi="宋体"/>
                <w:sz w:val="24"/>
                <w:u w:val="single"/>
              </w:rPr>
              <w:t xml:space="preserve"> </w:t>
            </w:r>
            <w:r>
              <w:rPr>
                <w:rFonts w:hint="eastAsia" w:ascii="宋体" w:hAnsi="宋体"/>
                <w:sz w:val="24"/>
                <w:u w:val="single"/>
                <w:lang w:val="en-US" w:eastAsia="zh-CN"/>
              </w:rPr>
              <w:t>6</w:t>
            </w:r>
            <w:r>
              <w:rPr>
                <w:rFonts w:ascii="宋体" w:hAnsi="宋体"/>
                <w:sz w:val="24"/>
                <w:u w:val="single"/>
              </w:rPr>
              <w:t xml:space="preserve"> </w:t>
            </w:r>
            <w:r>
              <w:rPr>
                <w:rFonts w:ascii="宋体" w:hAnsi="宋体"/>
                <w:sz w:val="24"/>
              </w:rPr>
              <w:t>%</w:t>
            </w:r>
            <w:r>
              <w:rPr>
                <w:rFonts w:hint="eastAsia" w:ascii="宋体" w:hAnsi="宋体"/>
                <w:sz w:val="24"/>
              </w:rPr>
              <w:t>，维保协议双方另行签订。</w:t>
            </w:r>
          </w:p>
          <w:p w14:paraId="6D54B2EF">
            <w:pPr>
              <w:snapToGrid w:val="0"/>
              <w:spacing w:line="336" w:lineRule="exact"/>
              <w:rPr>
                <w:rFonts w:hint="eastAsia" w:asciiTheme="minorEastAsia" w:hAnsiTheme="minorEastAsia" w:eastAsiaTheme="minorEastAsia" w:cstheme="minorEastAsia"/>
                <w:bCs/>
                <w:color w:val="auto"/>
                <w:sz w:val="24"/>
                <w:szCs w:val="24"/>
              </w:rPr>
            </w:pPr>
            <w:r>
              <w:rPr>
                <w:rFonts w:hint="eastAsia" w:ascii="微软雅黑" w:hAnsi="微软雅黑" w:eastAsia="微软雅黑" w:cs="微软雅黑"/>
                <w:bCs/>
                <w:sz w:val="24"/>
                <w:szCs w:val="24"/>
              </w:rPr>
              <w:t>②</w:t>
            </w:r>
            <w:r>
              <w:rPr>
                <w:rFonts w:hint="eastAsia" w:ascii="宋体" w:hAnsi="宋体" w:eastAsia="宋体" w:cs="宋体"/>
                <w:bCs/>
                <w:sz w:val="24"/>
                <w:szCs w:val="24"/>
              </w:rPr>
              <w:t>中标人申请款项时需同时开具正式足额发票给招标人，否则招标人可以拒绝付款。</w:t>
            </w:r>
          </w:p>
        </w:tc>
      </w:tr>
      <w:tr w14:paraId="76E2E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2468" w:type="dxa"/>
            <w:shd w:val="clear" w:color="auto" w:fill="auto"/>
            <w:vAlign w:val="center"/>
          </w:tcPr>
          <w:p w14:paraId="5A00F4EB">
            <w:pPr>
              <w:snapToGrid w:val="0"/>
              <w:spacing w:line="336"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验收标准</w:t>
            </w:r>
          </w:p>
          <w:p w14:paraId="43726854">
            <w:pPr>
              <w:jc w:val="center"/>
              <w:rPr>
                <w:rFonts w:hint="eastAsia" w:asciiTheme="minorEastAsia" w:hAnsiTheme="minorEastAsia" w:eastAsiaTheme="minorEastAsia" w:cstheme="minorEastAsia"/>
                <w:b w:val="0"/>
                <w:bCs/>
                <w:color w:val="auto"/>
                <w:sz w:val="24"/>
                <w:szCs w:val="24"/>
              </w:rPr>
            </w:pPr>
          </w:p>
        </w:tc>
        <w:tc>
          <w:tcPr>
            <w:tcW w:w="8134" w:type="dxa"/>
            <w:shd w:val="clear" w:color="auto" w:fill="auto"/>
            <w:vAlign w:val="center"/>
          </w:tcPr>
          <w:p w14:paraId="550C8BFF">
            <w:pPr>
              <w:adjustRightInd w:val="0"/>
              <w:snapToGrid w:val="0"/>
              <w:spacing w:line="360" w:lineRule="exact"/>
              <w:rPr>
                <w:rFonts w:hint="eastAsia" w:asciiTheme="minorEastAsia" w:hAnsiTheme="minorEastAsia" w:eastAsiaTheme="minorEastAsia" w:cstheme="minorEastAsia"/>
                <w:color w:val="auto"/>
                <w:spacing w:val="-2"/>
                <w:sz w:val="24"/>
                <w:szCs w:val="24"/>
              </w:rPr>
            </w:pPr>
            <w:r>
              <w:rPr>
                <w:rFonts w:hint="eastAsia" w:ascii="微软雅黑" w:hAnsi="微软雅黑" w:eastAsia="微软雅黑" w:cs="微软雅黑"/>
                <w:color w:val="auto"/>
                <w:spacing w:val="-2"/>
                <w:sz w:val="24"/>
                <w:szCs w:val="24"/>
              </w:rPr>
              <w:t>①</w:t>
            </w:r>
            <w:r>
              <w:rPr>
                <w:rFonts w:hint="eastAsia" w:asciiTheme="minorEastAsia" w:hAnsiTheme="minorEastAsia" w:eastAsiaTheme="minorEastAsia" w:cstheme="minorEastAsia"/>
                <w:color w:val="auto"/>
                <w:spacing w:val="-2"/>
                <w:sz w:val="24"/>
                <w:szCs w:val="24"/>
              </w:rPr>
              <w:t>依据</w:t>
            </w:r>
            <w:r>
              <w:rPr>
                <w:rFonts w:hint="eastAsia" w:asciiTheme="minorEastAsia" w:hAnsiTheme="minorEastAsia" w:eastAsiaTheme="minorEastAsia" w:cstheme="minorEastAsia"/>
                <w:color w:val="auto"/>
                <w:spacing w:val="-2"/>
                <w:sz w:val="24"/>
                <w:szCs w:val="24"/>
                <w:lang w:val="en-US" w:eastAsia="zh-CN"/>
              </w:rPr>
              <w:t>招标</w:t>
            </w:r>
            <w:r>
              <w:rPr>
                <w:rFonts w:hint="eastAsia" w:asciiTheme="minorEastAsia" w:hAnsiTheme="minorEastAsia" w:eastAsiaTheme="minorEastAsia" w:cstheme="minorEastAsia"/>
                <w:color w:val="auto"/>
                <w:spacing w:val="-2"/>
                <w:sz w:val="24"/>
                <w:szCs w:val="24"/>
              </w:rPr>
              <w:t>文件要求的采购需求、</w:t>
            </w:r>
            <w:r>
              <w:rPr>
                <w:rFonts w:hint="eastAsia" w:asciiTheme="minorEastAsia" w:hAnsiTheme="minorEastAsia" w:eastAsiaTheme="minorEastAsia" w:cstheme="minorEastAsia"/>
                <w:color w:val="auto"/>
                <w:spacing w:val="-2"/>
                <w:sz w:val="24"/>
                <w:szCs w:val="24"/>
                <w:lang w:val="en-US" w:eastAsia="zh-CN"/>
              </w:rPr>
              <w:t>投标人</w:t>
            </w:r>
            <w:r>
              <w:rPr>
                <w:rFonts w:hint="eastAsia" w:asciiTheme="minorEastAsia" w:hAnsiTheme="minorEastAsia" w:eastAsiaTheme="minorEastAsia" w:cstheme="minorEastAsia"/>
                <w:color w:val="auto"/>
                <w:spacing w:val="-2"/>
                <w:sz w:val="24"/>
                <w:szCs w:val="24"/>
              </w:rPr>
              <w:t>报价响应文件承诺以及国家现行相关标准、规范履行合同。</w:t>
            </w:r>
          </w:p>
          <w:p w14:paraId="760B6B7C">
            <w:pPr>
              <w:snapToGrid w:val="0"/>
              <w:spacing w:line="336" w:lineRule="exact"/>
              <w:rPr>
                <w:rFonts w:hint="eastAsia" w:asciiTheme="minorEastAsia" w:hAnsiTheme="minorEastAsia" w:eastAsiaTheme="minorEastAsia" w:cstheme="minorEastAsia"/>
                <w:b w:val="0"/>
                <w:bCs/>
                <w:color w:val="auto"/>
                <w:kern w:val="0"/>
                <w:sz w:val="24"/>
                <w:szCs w:val="24"/>
              </w:rPr>
            </w:pPr>
            <w:r>
              <w:rPr>
                <w:rFonts w:hint="eastAsia" w:ascii="微软雅黑" w:hAnsi="微软雅黑" w:eastAsia="微软雅黑" w:cs="微软雅黑"/>
                <w:color w:val="auto"/>
                <w:spacing w:val="-2"/>
                <w:sz w:val="24"/>
                <w:szCs w:val="24"/>
              </w:rPr>
              <w:t>②</w:t>
            </w:r>
            <w:r>
              <w:rPr>
                <w:rFonts w:hint="eastAsia" w:asciiTheme="minorEastAsia" w:hAnsiTheme="minorEastAsia" w:eastAsiaTheme="minorEastAsia" w:cstheme="minorEastAsia"/>
                <w:color w:val="auto"/>
                <w:spacing w:val="-2"/>
                <w:sz w:val="24"/>
                <w:szCs w:val="24"/>
              </w:rPr>
              <w:t>采购人依照国家相关法律法规及行业规定及询价文件要求</w:t>
            </w:r>
            <w:r>
              <w:rPr>
                <w:rFonts w:hint="eastAsia" w:asciiTheme="minorEastAsia" w:hAnsiTheme="minorEastAsia" w:eastAsiaTheme="minorEastAsia" w:cstheme="minorEastAsia"/>
                <w:color w:val="auto"/>
                <w:spacing w:val="-2"/>
                <w:sz w:val="24"/>
                <w:szCs w:val="24"/>
                <w:lang w:eastAsia="zh-CN"/>
              </w:rPr>
              <w:t>、</w:t>
            </w:r>
            <w:r>
              <w:rPr>
                <w:rFonts w:hint="eastAsia" w:asciiTheme="minorEastAsia" w:hAnsiTheme="minorEastAsia" w:eastAsiaTheme="minorEastAsia" w:cstheme="minorEastAsia"/>
                <w:color w:val="auto"/>
                <w:spacing w:val="-2"/>
                <w:sz w:val="24"/>
                <w:szCs w:val="24"/>
                <w:lang w:val="en-US" w:eastAsia="zh-CN"/>
              </w:rPr>
              <w:t>投标人</w:t>
            </w:r>
            <w:r>
              <w:rPr>
                <w:rFonts w:hint="eastAsia" w:asciiTheme="minorEastAsia" w:hAnsiTheme="minorEastAsia" w:eastAsiaTheme="minorEastAsia" w:cstheme="minorEastAsia"/>
                <w:color w:val="auto"/>
                <w:spacing w:val="-2"/>
                <w:sz w:val="24"/>
                <w:szCs w:val="24"/>
              </w:rPr>
              <w:t>报价响应文件承诺进行验收。</w:t>
            </w:r>
          </w:p>
        </w:tc>
      </w:tr>
      <w:tr w14:paraId="73848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2468" w:type="dxa"/>
            <w:shd w:val="clear" w:color="auto" w:fill="auto"/>
            <w:vAlign w:val="center"/>
          </w:tcPr>
          <w:p w14:paraId="1AF9F7FE">
            <w:pPr>
              <w:jc w:val="center"/>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6.报价要求</w:t>
            </w:r>
          </w:p>
        </w:tc>
        <w:tc>
          <w:tcPr>
            <w:tcW w:w="8134" w:type="dxa"/>
            <w:shd w:val="clear" w:color="auto" w:fill="auto"/>
            <w:vAlign w:val="center"/>
          </w:tcPr>
          <w:p w14:paraId="28F1B5A5">
            <w:pPr>
              <w:widowControl/>
              <w:jc w:val="left"/>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color w:val="auto"/>
                <w:spacing w:val="-2"/>
                <w:sz w:val="24"/>
                <w:szCs w:val="24"/>
              </w:rPr>
              <w:t>本项目采用综合单价方式报价，综合单价应综合考虑完成本项目产生的所有成本、税金及合理利润，具体包含但不限于完成采购标的包含的所有人工费用、差旅费、交通费、故障诊断费</w:t>
            </w:r>
            <w:r>
              <w:rPr>
                <w:rFonts w:hint="eastAsia" w:asciiTheme="minorEastAsia" w:hAnsiTheme="minorEastAsia" w:eastAsiaTheme="minorEastAsia" w:cstheme="minorEastAsia"/>
                <w:color w:val="auto"/>
                <w:spacing w:val="-2"/>
                <w:sz w:val="24"/>
                <w:szCs w:val="24"/>
                <w:lang w:eastAsia="zh-CN"/>
              </w:rPr>
              <w:t>、</w:t>
            </w:r>
            <w:r>
              <w:rPr>
                <w:rFonts w:hint="eastAsia" w:asciiTheme="minorEastAsia" w:hAnsiTheme="minorEastAsia" w:eastAsiaTheme="minorEastAsia" w:cstheme="minorEastAsia"/>
                <w:color w:val="auto"/>
                <w:spacing w:val="-2"/>
                <w:sz w:val="24"/>
                <w:szCs w:val="24"/>
              </w:rPr>
              <w:t>培训费、保险、税金、利润等所有成本费用。在合同实施时，采购人将不予支付完成本项目必须的但成交人没有列入的费用，并认为此费用已包括在报价中。</w:t>
            </w:r>
          </w:p>
        </w:tc>
      </w:tr>
      <w:tr w14:paraId="4971D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2468" w:type="dxa"/>
            <w:shd w:val="clear" w:color="auto" w:fill="auto"/>
            <w:vAlign w:val="center"/>
          </w:tcPr>
          <w:p w14:paraId="127B986E">
            <w:pPr>
              <w:jc w:val="center"/>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7.最高限价</w:t>
            </w:r>
          </w:p>
        </w:tc>
        <w:tc>
          <w:tcPr>
            <w:tcW w:w="8134" w:type="dxa"/>
            <w:shd w:val="clear" w:color="auto" w:fill="auto"/>
            <w:vAlign w:val="center"/>
          </w:tcPr>
          <w:p w14:paraId="368C8CED">
            <w:pPr>
              <w:widowControl/>
              <w:jc w:val="left"/>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color w:val="auto"/>
                <w:spacing w:val="-2"/>
                <w:sz w:val="24"/>
                <w:szCs w:val="24"/>
              </w:rPr>
              <w:t>本项目预算金额为</w:t>
            </w:r>
            <w:r>
              <w:rPr>
                <w:rFonts w:hint="eastAsia" w:asciiTheme="minorEastAsia" w:hAnsiTheme="minorEastAsia" w:eastAsiaTheme="minorEastAsia" w:cstheme="minorEastAsia"/>
                <w:color w:val="auto"/>
                <w:sz w:val="24"/>
                <w:szCs w:val="24"/>
              </w:rPr>
              <w:t>人民币</w:t>
            </w:r>
            <w:r>
              <w:rPr>
                <w:rFonts w:hint="eastAsia" w:asciiTheme="minorEastAsia" w:hAnsiTheme="minorEastAsia" w:eastAsiaTheme="minorEastAsia" w:cstheme="minorEastAsia"/>
                <w:color w:val="auto"/>
                <w:sz w:val="24"/>
                <w:szCs w:val="24"/>
                <w:lang w:val="en-US" w:eastAsia="zh-CN"/>
              </w:rPr>
              <w:t>叁拾玖万贰仟元</w:t>
            </w:r>
            <w:r>
              <w:rPr>
                <w:rFonts w:hint="eastAsia" w:asciiTheme="minorEastAsia" w:hAnsiTheme="minorEastAsia" w:eastAsiaTheme="minorEastAsia" w:cstheme="minorEastAsia"/>
                <w:color w:val="auto"/>
                <w:sz w:val="24"/>
                <w:szCs w:val="24"/>
              </w:rPr>
              <w:t>整（¥</w:t>
            </w:r>
            <w:r>
              <w:rPr>
                <w:rFonts w:hint="eastAsia" w:asciiTheme="minorEastAsia" w:hAnsiTheme="minorEastAsia" w:eastAsiaTheme="minorEastAsia" w:cstheme="minorEastAsia"/>
                <w:color w:val="auto"/>
                <w:sz w:val="24"/>
                <w:szCs w:val="24"/>
                <w:lang w:val="en-US" w:eastAsia="zh-CN"/>
              </w:rPr>
              <w:t>392000.00</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pacing w:val="-2"/>
                <w:sz w:val="24"/>
                <w:szCs w:val="24"/>
              </w:rPr>
              <w:t>，</w:t>
            </w:r>
            <w:r>
              <w:rPr>
                <w:rFonts w:hint="eastAsia" w:asciiTheme="minorEastAsia" w:hAnsiTheme="minorEastAsia" w:eastAsiaTheme="minorEastAsia" w:cstheme="minorEastAsia"/>
                <w:color w:val="auto"/>
                <w:spacing w:val="-2"/>
                <w:sz w:val="24"/>
                <w:szCs w:val="24"/>
                <w:lang w:val="en-US" w:eastAsia="zh-CN"/>
              </w:rPr>
              <w:t>投标人</w:t>
            </w:r>
            <w:r>
              <w:rPr>
                <w:rFonts w:hint="eastAsia" w:asciiTheme="minorEastAsia" w:hAnsiTheme="minorEastAsia" w:eastAsiaTheme="minorEastAsia" w:cstheme="minorEastAsia"/>
                <w:color w:val="auto"/>
                <w:spacing w:val="-2"/>
                <w:sz w:val="24"/>
                <w:szCs w:val="24"/>
              </w:rPr>
              <w:t>报价超出参考预算金额的，按无效处理。</w:t>
            </w:r>
          </w:p>
        </w:tc>
      </w:tr>
      <w:tr w14:paraId="629D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2468" w:type="dxa"/>
            <w:shd w:val="clear" w:color="auto" w:fill="auto"/>
            <w:vAlign w:val="center"/>
          </w:tcPr>
          <w:p w14:paraId="4C02CDB2">
            <w:pPr>
              <w:jc w:val="center"/>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lang w:val="zh-CN"/>
              </w:rPr>
              <w:t>其他要求</w:t>
            </w:r>
          </w:p>
        </w:tc>
        <w:tc>
          <w:tcPr>
            <w:tcW w:w="8134" w:type="dxa"/>
            <w:shd w:val="clear" w:color="auto" w:fill="auto"/>
            <w:vAlign w:val="center"/>
          </w:tcPr>
          <w:p w14:paraId="2B82B182">
            <w:pPr>
              <w:snapToGrid w:val="0"/>
              <w:spacing w:line="336" w:lineRule="exact"/>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color w:val="auto"/>
                <w:sz w:val="24"/>
                <w:szCs w:val="24"/>
              </w:rPr>
              <w:t>本项目所提供的软件必须具有合法的版权或使用权，如在本项目范围内使用过程中出现版权或使用权纠纷，应由中标人负责</w:t>
            </w:r>
            <w:r>
              <w:rPr>
                <w:rFonts w:hint="eastAsia" w:asciiTheme="minorEastAsia" w:hAnsiTheme="minorEastAsia" w:eastAsiaTheme="minorEastAsia" w:cstheme="minorEastAsia"/>
                <w:color w:val="auto"/>
                <w:sz w:val="24"/>
                <w:szCs w:val="24"/>
                <w:lang w:eastAsia="zh-CN"/>
              </w:rPr>
              <w:t>。</w:t>
            </w:r>
          </w:p>
        </w:tc>
      </w:tr>
    </w:tbl>
    <w:p w14:paraId="11FB9C26">
      <w:pPr>
        <w:keepNext w:val="0"/>
        <w:keepLines w:val="0"/>
        <w:pageBreakBefore w:val="0"/>
        <w:widowControl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四、合同主要条款</w:t>
      </w:r>
    </w:p>
    <w:p w14:paraId="63EF5DF0">
      <w:pPr>
        <w:keepNext w:val="0"/>
        <w:keepLines w:val="0"/>
        <w:pageBreakBefore w:val="0"/>
        <w:widowControl w:val="0"/>
        <w:kinsoku/>
        <w:wordWrap/>
        <w:overflowPunct/>
        <w:topLinePunct w:val="0"/>
        <w:autoSpaceDE/>
        <w:autoSpaceDN/>
        <w:bidi w:val="0"/>
        <w:snapToGrid w:val="0"/>
        <w:spacing w:line="400" w:lineRule="exact"/>
        <w:textAlignment w:val="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甲方：</w:t>
      </w:r>
      <w:r>
        <w:rPr>
          <w:rFonts w:hint="eastAsia" w:asciiTheme="minorEastAsia" w:hAnsiTheme="minorEastAsia" w:eastAsiaTheme="minorEastAsia" w:cstheme="minorEastAsia"/>
          <w:color w:val="auto"/>
          <w:sz w:val="24"/>
          <w:szCs w:val="24"/>
          <w:u w:val="single"/>
        </w:rPr>
        <w:t xml:space="preserve">桂林市人民医院  </w:t>
      </w:r>
    </w:p>
    <w:p w14:paraId="70F3A93C">
      <w:pPr>
        <w:keepNext w:val="0"/>
        <w:keepLines w:val="0"/>
        <w:pageBreakBefore w:val="0"/>
        <w:widowControl w:val="0"/>
        <w:kinsoku/>
        <w:wordWrap/>
        <w:overflowPunct/>
        <w:topLinePunct w:val="0"/>
        <w:autoSpaceDE/>
        <w:autoSpaceDN/>
        <w:bidi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注册地址：广西桂林市象山区文明路12号</w:t>
      </w:r>
    </w:p>
    <w:p w14:paraId="4EB055F6">
      <w:pPr>
        <w:keepNext w:val="0"/>
        <w:keepLines w:val="0"/>
        <w:pageBreakBefore w:val="0"/>
        <w:widowControl w:val="0"/>
        <w:kinsoku/>
        <w:wordWrap/>
        <w:overflowPunct/>
        <w:topLinePunct w:val="0"/>
        <w:autoSpaceDE/>
        <w:autoSpaceDN/>
        <w:bidi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w:t>
      </w:r>
      <w:r>
        <w:rPr>
          <w:rFonts w:hint="eastAsia" w:asciiTheme="minorEastAsia" w:hAnsiTheme="minorEastAsia" w:eastAsiaTheme="minorEastAsia" w:cstheme="minorEastAsia"/>
          <w:color w:val="auto"/>
          <w:sz w:val="24"/>
          <w:szCs w:val="24"/>
          <w:u w:val="single"/>
        </w:rPr>
        <w:t xml:space="preserve">          </w:t>
      </w:r>
    </w:p>
    <w:p w14:paraId="5DDE9F3F">
      <w:pPr>
        <w:keepNext w:val="0"/>
        <w:keepLines w:val="0"/>
        <w:pageBreakBefore w:val="0"/>
        <w:widowControl w:val="0"/>
        <w:kinsoku/>
        <w:wordWrap/>
        <w:overflowPunct/>
        <w:topLinePunct w:val="0"/>
        <w:autoSpaceDE/>
        <w:autoSpaceDN/>
        <w:bidi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联系人：</w:t>
      </w:r>
      <w:r>
        <w:rPr>
          <w:rFonts w:hint="eastAsia" w:asciiTheme="minorEastAsia" w:hAnsiTheme="minorEastAsia" w:eastAsiaTheme="minorEastAsia" w:cstheme="minorEastAsia"/>
          <w:color w:val="auto"/>
          <w:sz w:val="24"/>
          <w:szCs w:val="24"/>
          <w:u w:val="single"/>
        </w:rPr>
        <w:t xml:space="preserve">             </w:t>
      </w:r>
    </w:p>
    <w:p w14:paraId="40902EC5">
      <w:pPr>
        <w:keepNext w:val="0"/>
        <w:keepLines w:val="0"/>
        <w:pageBreakBefore w:val="0"/>
        <w:widowControl w:val="0"/>
        <w:kinsoku/>
        <w:wordWrap/>
        <w:overflowPunct/>
        <w:topLinePunct w:val="0"/>
        <w:autoSpaceDE/>
        <w:autoSpaceDN/>
        <w:bidi w:val="0"/>
        <w:snapToGrid w:val="0"/>
        <w:spacing w:line="400" w:lineRule="exact"/>
        <w:textAlignment w:val="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联系电话：</w:t>
      </w:r>
      <w:r>
        <w:rPr>
          <w:rFonts w:hint="eastAsia" w:asciiTheme="minorEastAsia" w:hAnsiTheme="minorEastAsia" w:eastAsiaTheme="minorEastAsia" w:cstheme="minorEastAsia"/>
          <w:color w:val="auto"/>
          <w:sz w:val="24"/>
          <w:szCs w:val="24"/>
          <w:u w:val="single"/>
        </w:rPr>
        <w:t xml:space="preserve">              </w:t>
      </w:r>
    </w:p>
    <w:p w14:paraId="765F1135">
      <w:pPr>
        <w:keepNext w:val="0"/>
        <w:keepLines w:val="0"/>
        <w:pageBreakBefore w:val="0"/>
        <w:widowControl w:val="0"/>
        <w:kinsoku/>
        <w:wordWrap/>
        <w:overflowPunct/>
        <w:topLinePunct w:val="0"/>
        <w:autoSpaceDE/>
        <w:autoSpaceDN/>
        <w:bidi w:val="0"/>
        <w:snapToGrid w:val="0"/>
        <w:spacing w:line="400" w:lineRule="exact"/>
        <w:textAlignment w:val="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通讯地址：广西桂林市象山区文明路12号桂林市人民医院</w:t>
      </w:r>
    </w:p>
    <w:p w14:paraId="38240FB2">
      <w:pPr>
        <w:keepNext w:val="0"/>
        <w:keepLines w:val="0"/>
        <w:pageBreakBefore w:val="0"/>
        <w:widowControl w:val="0"/>
        <w:kinsoku/>
        <w:wordWrap/>
        <w:overflowPunct/>
        <w:topLinePunct w:val="0"/>
        <w:autoSpaceDE/>
        <w:autoSpaceDN/>
        <w:bidi w:val="0"/>
        <w:snapToGrid w:val="0"/>
        <w:spacing w:line="400" w:lineRule="exact"/>
        <w:textAlignment w:val="auto"/>
        <w:rPr>
          <w:rFonts w:hint="eastAsia" w:asciiTheme="minorEastAsia" w:hAnsiTheme="minorEastAsia" w:eastAsiaTheme="minorEastAsia" w:cstheme="minorEastAsia"/>
          <w:color w:val="auto"/>
          <w:sz w:val="24"/>
          <w:szCs w:val="24"/>
        </w:rPr>
      </w:pPr>
    </w:p>
    <w:p w14:paraId="5A7AF9CD">
      <w:pPr>
        <w:keepNext w:val="0"/>
        <w:keepLines w:val="0"/>
        <w:pageBreakBefore w:val="0"/>
        <w:widowControl w:val="0"/>
        <w:kinsoku/>
        <w:wordWrap/>
        <w:overflowPunct/>
        <w:topLinePunct w:val="0"/>
        <w:autoSpaceDE/>
        <w:autoSpaceDN/>
        <w:bidi w:val="0"/>
        <w:snapToGrid w:val="0"/>
        <w:spacing w:line="400" w:lineRule="exact"/>
        <w:textAlignment w:val="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乙方：</w:t>
      </w:r>
      <w:r>
        <w:rPr>
          <w:rFonts w:hint="eastAsia" w:asciiTheme="minorEastAsia" w:hAnsiTheme="minorEastAsia" w:eastAsiaTheme="minorEastAsia" w:cstheme="minorEastAsia"/>
          <w:color w:val="auto"/>
          <w:sz w:val="24"/>
          <w:szCs w:val="24"/>
          <w:u w:val="single"/>
        </w:rPr>
        <w:t xml:space="preserve">                 </w:t>
      </w:r>
    </w:p>
    <w:p w14:paraId="3ACE1B05">
      <w:pPr>
        <w:keepNext w:val="0"/>
        <w:keepLines w:val="0"/>
        <w:pageBreakBefore w:val="0"/>
        <w:widowControl w:val="0"/>
        <w:kinsoku/>
        <w:wordWrap/>
        <w:overflowPunct/>
        <w:topLinePunct w:val="0"/>
        <w:autoSpaceDE/>
        <w:autoSpaceDN/>
        <w:bidi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注册地址：</w:t>
      </w:r>
      <w:r>
        <w:rPr>
          <w:rFonts w:hint="eastAsia" w:asciiTheme="minorEastAsia" w:hAnsiTheme="minorEastAsia" w:eastAsiaTheme="minorEastAsia" w:cstheme="minorEastAsia"/>
          <w:color w:val="auto"/>
          <w:sz w:val="24"/>
          <w:szCs w:val="24"/>
          <w:u w:val="single"/>
        </w:rPr>
        <w:t xml:space="preserve">                                       </w:t>
      </w:r>
    </w:p>
    <w:p w14:paraId="0FEF57BA">
      <w:pPr>
        <w:keepNext w:val="0"/>
        <w:keepLines w:val="0"/>
        <w:pageBreakBefore w:val="0"/>
        <w:widowControl w:val="0"/>
        <w:kinsoku/>
        <w:wordWrap/>
        <w:overflowPunct/>
        <w:topLinePunct w:val="0"/>
        <w:autoSpaceDE/>
        <w:autoSpaceDN/>
        <w:bidi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w:t>
      </w:r>
      <w:r>
        <w:rPr>
          <w:rFonts w:hint="eastAsia" w:asciiTheme="minorEastAsia" w:hAnsiTheme="minorEastAsia" w:eastAsiaTheme="minorEastAsia" w:cstheme="minorEastAsia"/>
          <w:color w:val="auto"/>
          <w:sz w:val="24"/>
          <w:szCs w:val="24"/>
          <w:u w:val="single"/>
        </w:rPr>
        <w:t xml:space="preserve">              </w:t>
      </w:r>
    </w:p>
    <w:p w14:paraId="6C0523EE">
      <w:pPr>
        <w:keepNext w:val="0"/>
        <w:keepLines w:val="0"/>
        <w:pageBreakBefore w:val="0"/>
        <w:widowControl w:val="0"/>
        <w:kinsoku/>
        <w:wordWrap/>
        <w:overflowPunct/>
        <w:topLinePunct w:val="0"/>
        <w:autoSpaceDE/>
        <w:autoSpaceDN/>
        <w:bidi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联系人：</w:t>
      </w:r>
      <w:r>
        <w:rPr>
          <w:rFonts w:hint="eastAsia" w:asciiTheme="minorEastAsia" w:hAnsiTheme="minorEastAsia" w:eastAsiaTheme="minorEastAsia" w:cstheme="minorEastAsia"/>
          <w:color w:val="auto"/>
          <w:sz w:val="24"/>
          <w:szCs w:val="24"/>
          <w:u w:val="single"/>
        </w:rPr>
        <w:t xml:space="preserve">           </w:t>
      </w:r>
    </w:p>
    <w:p w14:paraId="1C40457E">
      <w:pPr>
        <w:keepNext w:val="0"/>
        <w:keepLines w:val="0"/>
        <w:pageBreakBefore w:val="0"/>
        <w:widowControl w:val="0"/>
        <w:kinsoku/>
        <w:wordWrap/>
        <w:overflowPunct/>
        <w:topLinePunct w:val="0"/>
        <w:autoSpaceDE/>
        <w:autoSpaceDN/>
        <w:bidi w:val="0"/>
        <w:snapToGrid w:val="0"/>
        <w:spacing w:line="400" w:lineRule="exact"/>
        <w:textAlignment w:val="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 xml:space="preserve">联系电话： </w:t>
      </w:r>
      <w:r>
        <w:rPr>
          <w:rFonts w:hint="eastAsia" w:asciiTheme="minorEastAsia" w:hAnsiTheme="minorEastAsia" w:eastAsiaTheme="minorEastAsia" w:cstheme="minorEastAsia"/>
          <w:color w:val="auto"/>
          <w:sz w:val="24"/>
          <w:szCs w:val="24"/>
          <w:u w:val="single"/>
        </w:rPr>
        <w:t xml:space="preserve">             </w:t>
      </w:r>
    </w:p>
    <w:p w14:paraId="68B6B921">
      <w:pPr>
        <w:keepNext w:val="0"/>
        <w:keepLines w:val="0"/>
        <w:pageBreakBefore w:val="0"/>
        <w:widowControl w:val="0"/>
        <w:kinsoku/>
        <w:wordWrap/>
        <w:overflowPunct/>
        <w:topLinePunct w:val="0"/>
        <w:autoSpaceDE/>
        <w:autoSpaceDN/>
        <w:bidi w:val="0"/>
        <w:snapToGrid w:val="0"/>
        <w:spacing w:line="400" w:lineRule="exact"/>
        <w:textAlignment w:val="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 xml:space="preserve">通讯地址： </w:t>
      </w:r>
      <w:r>
        <w:rPr>
          <w:rFonts w:hint="eastAsia" w:asciiTheme="minorEastAsia" w:hAnsiTheme="minorEastAsia" w:eastAsiaTheme="minorEastAsia" w:cstheme="minorEastAsia"/>
          <w:color w:val="auto"/>
          <w:sz w:val="24"/>
          <w:szCs w:val="24"/>
          <w:u w:val="single"/>
          <w:shd w:val="clear" w:color="auto" w:fill="FFFFFF"/>
        </w:rPr>
        <w:t xml:space="preserve">                                         </w:t>
      </w:r>
    </w:p>
    <w:p w14:paraId="44E91655">
      <w:pPr>
        <w:keepNext w:val="0"/>
        <w:keepLines w:val="0"/>
        <w:pageBreakBefore w:val="0"/>
        <w:widowControl w:val="0"/>
        <w:kinsoku/>
        <w:wordWrap/>
        <w:overflowPunct/>
        <w:topLinePunct w:val="0"/>
        <w:autoSpaceDE/>
        <w:autoSpaceDN/>
        <w:bidi w:val="0"/>
        <w:adjustRightInd w:val="0"/>
        <w:snapToGrid w:val="0"/>
        <w:spacing w:line="400" w:lineRule="exact"/>
        <w:ind w:firstLine="42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根据《中华人民共和国民法典》及其他有关法律、法规，经甲、乙双方协商一致，就乙方向甲方提供以下软件产品一事签署本合同如下：</w:t>
      </w:r>
    </w:p>
    <w:p w14:paraId="3D0A9192">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第一条</w:t>
      </w:r>
      <w:r>
        <w:rPr>
          <w:rFonts w:hint="eastAsia" w:asciiTheme="minorEastAsia" w:hAnsiTheme="minorEastAsia" w:eastAsiaTheme="minorEastAsia" w:cstheme="minorEastAsia"/>
          <w:b/>
          <w:color w:val="auto"/>
          <w:sz w:val="24"/>
          <w:szCs w:val="24"/>
          <w:lang w:val="en-US" w:eastAsia="zh-CN"/>
        </w:rPr>
        <w:t xml:space="preserve">  </w:t>
      </w:r>
      <w:r>
        <w:rPr>
          <w:rFonts w:hint="eastAsia" w:asciiTheme="minorEastAsia" w:hAnsiTheme="minorEastAsia" w:eastAsiaTheme="minorEastAsia" w:cstheme="minorEastAsia"/>
          <w:b/>
          <w:color w:val="auto"/>
          <w:sz w:val="24"/>
          <w:szCs w:val="24"/>
        </w:rPr>
        <w:t>合同标的</w:t>
      </w:r>
    </w:p>
    <w:p w14:paraId="597F6DF2">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项目名称为：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p>
    <w:p w14:paraId="08A9C9F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软件总价：</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元</w:t>
      </w:r>
      <w:bookmarkStart w:id="0" w:name="_GoBack"/>
      <w:bookmarkEnd w:id="0"/>
      <w:r>
        <w:rPr>
          <w:rFonts w:hint="eastAsia" w:asciiTheme="minorEastAsia" w:hAnsiTheme="minorEastAsia" w:eastAsiaTheme="minorEastAsia" w:cstheme="minorEastAsia"/>
          <w:color w:val="auto"/>
          <w:sz w:val="24"/>
          <w:szCs w:val="24"/>
        </w:rPr>
        <w:t>（大写人民币</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元整）</w:t>
      </w:r>
    </w:p>
    <w:p w14:paraId="3E6C6DF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结算资金来源：自有资金</w:t>
      </w:r>
    </w:p>
    <w:p w14:paraId="68955CF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rPr>
        <w:t>全部软件功能模块及价格清单详见本协议附件一。</w:t>
      </w:r>
    </w:p>
    <w:p w14:paraId="546A6B6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第二条</w:t>
      </w:r>
      <w:r>
        <w:rPr>
          <w:rFonts w:hint="eastAsia" w:asciiTheme="minorEastAsia" w:hAnsiTheme="minorEastAsia" w:eastAsiaTheme="minorEastAsia" w:cstheme="minorEastAsia"/>
          <w:b/>
          <w:color w:val="auto"/>
          <w:sz w:val="24"/>
          <w:szCs w:val="24"/>
          <w:lang w:val="en-US" w:eastAsia="zh-CN"/>
        </w:rPr>
        <w:t xml:space="preserve">  </w:t>
      </w:r>
      <w:r>
        <w:rPr>
          <w:rFonts w:hint="eastAsia" w:asciiTheme="minorEastAsia" w:hAnsiTheme="minorEastAsia" w:eastAsiaTheme="minorEastAsia" w:cstheme="minorEastAsia"/>
          <w:b/>
          <w:color w:val="auto"/>
          <w:sz w:val="24"/>
          <w:szCs w:val="24"/>
        </w:rPr>
        <w:t>产品使用范围</w:t>
      </w:r>
    </w:p>
    <w:p w14:paraId="11A7C95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甲方采购乙方软件产品的用途为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6CE4679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甲方仅可以在本院范围内使用乙方产品。如果甲方需要在超出本合同规定的使用范围以外使用乙方产品，应向乙方提出书面申请，并由双方另行签署合同或补充协议。</w:t>
      </w:r>
    </w:p>
    <w:p w14:paraId="116733A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第三条  甲方权利义务</w:t>
      </w:r>
    </w:p>
    <w:p w14:paraId="3F3428E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甲方应按乙方要求提供合同所规定的软件产品所需的硬件设备及硬件、网络环境，并有责任为乙方安装、调试及培训提供便利的工作条件。</w:t>
      </w:r>
    </w:p>
    <w:p w14:paraId="4F125DC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甲方有责任为乙方的安装工作进行内部各部门、各营业部的协调，调动相关资源。</w:t>
      </w:r>
    </w:p>
    <w:p w14:paraId="0EA504D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如该软件产品的安装需要第三方给予软、硬件配合的，甲方有责任按照乙方安装产品所需的条件与相关第三方沟通，确保产品能够顺利安装、调试。如由于甲方与第三方沟通问题，或第三方自身问题导致产品无法按照本合同“第五条 产品交付”的约定时间正常交付，则甲乙双方约定在原有交付约定时间基础上顺延。</w:t>
      </w:r>
    </w:p>
    <w:p w14:paraId="6BB7B2F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甲方应按照本协议规定的时间按时足额的向乙方支付相关费用。</w:t>
      </w:r>
    </w:p>
    <w:p w14:paraId="0159F8DD">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非因产品质量问题或交付产品与合同规定不符的，甲方不得退回产品。</w:t>
      </w:r>
    </w:p>
    <w:p w14:paraId="73ACFA3E">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甲方应当按乙方所提供的相关软件的操作手册进行操作，以确保软件产品运行安全可靠。</w:t>
      </w:r>
    </w:p>
    <w:p w14:paraId="4E09131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第四条 </w:t>
      </w:r>
      <w:r>
        <w:rPr>
          <w:rFonts w:hint="eastAsia" w:asciiTheme="minorEastAsia" w:hAnsiTheme="minorEastAsia" w:eastAsiaTheme="minorEastAsia" w:cstheme="minorEastAsia"/>
          <w:b/>
          <w:sz w:val="24"/>
          <w:szCs w:val="24"/>
          <w:lang w:val="en-US" w:eastAsia="zh-CN"/>
        </w:rPr>
        <w:t xml:space="preserve"> </w:t>
      </w:r>
      <w:r>
        <w:rPr>
          <w:rFonts w:hint="eastAsia" w:asciiTheme="minorEastAsia" w:hAnsiTheme="minorEastAsia" w:eastAsiaTheme="minorEastAsia" w:cstheme="minorEastAsia"/>
          <w:b/>
          <w:sz w:val="24"/>
          <w:szCs w:val="24"/>
        </w:rPr>
        <w:t>乙方权利义务</w:t>
      </w:r>
    </w:p>
    <w:p w14:paraId="4D2D1977">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乙方承诺本合同软件由原厂商供应并完全符合厂商规定的质量、规格、性能及标准，乙方并保证本合同软件在正确安装、正常使用和维护的情况下运行良好。</w:t>
      </w:r>
    </w:p>
    <w:p w14:paraId="5636BD1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乙方承诺以上软件产品系经严格测试、成熟稳定、无病毒及重大缺陷的软件产品。</w:t>
      </w:r>
    </w:p>
    <w:p w14:paraId="0D01643E">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乙方承诺以上软件产品符合网络安全等级保护三级相关技术规范和要求，若不满足，乙方免费升级优化，直至满足。</w:t>
      </w:r>
    </w:p>
    <w:p w14:paraId="096F512E">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乙方承诺以上软件产品无任何著作权归属的纠纷，并承诺以上产品皆为可执行的软件产品，未在其中设置任何妨碍软件正常运行的限制措施。</w:t>
      </w:r>
    </w:p>
    <w:p w14:paraId="0E89FD1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乙方应为甲方提供相关软件产品及相应的技术文档，包含规格说明书、操作手册、项目实施文档、项目过程资产文档等，有责任对甲方相关人员进行管理、操作、使用及技术培训。</w:t>
      </w:r>
    </w:p>
    <w:p w14:paraId="5EBF6213">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乙方以优惠价格向甲方提供软件产品的版本升级服务，具体价款等内容由甲、乙双方协商后签署补充协议或服务协议。</w:t>
      </w:r>
    </w:p>
    <w:p w14:paraId="6F22635E">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乙方为甲方提供免费培训服务，以确保甲方人员能熟练使用和操作该产品。</w:t>
      </w:r>
    </w:p>
    <w:p w14:paraId="154AFFA4">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以上软件产品在项目实施及维护期间，乙方免费向第三方提供接口。</w:t>
      </w:r>
    </w:p>
    <w:p w14:paraId="793DFF0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 xml:space="preserve">乙方需安排符合甲方要求的项目人员到场进行项目管理和实施，如项目人员发生变动或离场的需提前一周先甲方申请，甲方认可后方允许变更或离场。 </w:t>
      </w:r>
    </w:p>
    <w:p w14:paraId="69EF7A9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如乙方（厂商）存在配合相关部门调查商业贿赂等违法行为的情况，甲方（医院）可暂缓付款，一经查实乙方存在对甲方员工进行商业贿赂等违法行为的，乙方须向甲方支付合同总价款40%的违约金作为处罚，甲方有权从应支付给乙方的款项中予以直接扣减。</w:t>
      </w:r>
    </w:p>
    <w:p w14:paraId="5A6DC88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第五条  产品交付</w:t>
      </w:r>
    </w:p>
    <w:p w14:paraId="40B37967">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交付时间：乙方应于合同签订后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个工作日内向甲方交付产品，产品以</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为载体。</w:t>
      </w:r>
    </w:p>
    <w:p w14:paraId="40453664">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交付地点：桂林市</w:t>
      </w:r>
    </w:p>
    <w:p w14:paraId="3A44693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接收人名称：桂林市人民医院</w:t>
      </w:r>
    </w:p>
    <w:p w14:paraId="6D85BA2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地址：广西桂林市象山区文明路12号</w:t>
      </w:r>
    </w:p>
    <w:p w14:paraId="3E441D9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电话：       </w:t>
      </w:r>
    </w:p>
    <w:p w14:paraId="56305AE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传真：</w:t>
      </w:r>
      <w:r>
        <w:rPr>
          <w:rFonts w:hint="eastAsia" w:asciiTheme="minorEastAsia" w:hAnsiTheme="minorEastAsia" w:eastAsiaTheme="minorEastAsia" w:cstheme="minorEastAsia"/>
          <w:sz w:val="24"/>
          <w:szCs w:val="24"/>
        </w:rPr>
        <w:tab/>
      </w:r>
    </w:p>
    <w:p w14:paraId="181C7ECE">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第六条  验收标准和方式</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ab/>
      </w:r>
    </w:p>
    <w:p w14:paraId="1839565E">
      <w:pPr>
        <w:keepNext w:val="0"/>
        <w:keepLines w:val="0"/>
        <w:pageBreakBefore w:val="0"/>
        <w:widowControl w:val="0"/>
        <w:kinsoku/>
        <w:wordWrap/>
        <w:overflowPunct/>
        <w:topLinePunct w:val="0"/>
        <w:autoSpaceDE/>
        <w:autoSpaceDN/>
        <w:bidi w:val="0"/>
        <w:adjustRightInd w:val="0"/>
        <w:snapToGrid w:val="0"/>
        <w:spacing w:line="400" w:lineRule="exact"/>
        <w:ind w:left="-2" w:leftChars="-1"/>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验收标准：产品验收范围应严格依据本合同及附件所界定的内容进行，验收合格与否应以附件《产品功能明细表》为验收标准。</w:t>
      </w:r>
    </w:p>
    <w:p w14:paraId="6AB30A18">
      <w:pPr>
        <w:keepNext w:val="0"/>
        <w:keepLines w:val="0"/>
        <w:pageBreakBefore w:val="0"/>
        <w:widowControl w:val="0"/>
        <w:kinsoku/>
        <w:wordWrap/>
        <w:overflowPunct/>
        <w:topLinePunct w:val="0"/>
        <w:autoSpaceDE/>
        <w:autoSpaceDN/>
        <w:bidi w:val="0"/>
        <w:adjustRightInd w:val="0"/>
        <w:snapToGrid w:val="0"/>
        <w:spacing w:line="400" w:lineRule="exact"/>
        <w:ind w:left="-2" w:leftChars="-1"/>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项目上线：完成系统全部功能模块安装部署并完成试运行，乙方完成用户培训，用户开始正常使用系统后，乙方提交项目上线报告，甲乙双方共同签署确认。</w:t>
      </w:r>
    </w:p>
    <w:p w14:paraId="71973287">
      <w:pPr>
        <w:keepNext w:val="0"/>
        <w:keepLines w:val="0"/>
        <w:pageBreakBefore w:val="0"/>
        <w:widowControl w:val="0"/>
        <w:kinsoku/>
        <w:wordWrap/>
        <w:overflowPunct/>
        <w:topLinePunct w:val="0"/>
        <w:autoSpaceDE/>
        <w:autoSpaceDN/>
        <w:bidi w:val="0"/>
        <w:adjustRightInd w:val="0"/>
        <w:snapToGrid w:val="0"/>
        <w:spacing w:line="400" w:lineRule="exact"/>
        <w:ind w:left="-2" w:leftChars="-1"/>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验收方式：在项目正式上线后，连续运行且无故障出现达到60日，甲乙双方共同进行软件验收满意度调查，发放合同附件二《软件验收满意度调查表》，抽查范围及人数根据软件应用范围由甲乙双方协商确认。验收满意率大于等于80%，乙方向甲方提请验收并提供验收报告。甲方在接到验收报告之日起10个工作日内组织验收或提出修改意见。</w:t>
      </w:r>
    </w:p>
    <w:p w14:paraId="507A4FE4">
      <w:pPr>
        <w:keepNext w:val="0"/>
        <w:keepLines w:val="0"/>
        <w:pageBreakBefore w:val="0"/>
        <w:widowControl w:val="0"/>
        <w:kinsoku/>
        <w:wordWrap/>
        <w:overflowPunct/>
        <w:topLinePunct w:val="0"/>
        <w:autoSpaceDE/>
        <w:autoSpaceDN/>
        <w:bidi w:val="0"/>
        <w:adjustRightInd w:val="0"/>
        <w:snapToGrid w:val="0"/>
        <w:spacing w:line="400" w:lineRule="exact"/>
        <w:ind w:left="-2" w:leftChars="-1"/>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甲方接到验收报告后10个工作日内无正当理由不组织验收，且不能提出修改意见，则视作验收报告已被批准，甲方即应给乙方办理结算手续。</w:t>
      </w:r>
    </w:p>
    <w:p w14:paraId="7F57B890">
      <w:pPr>
        <w:keepNext w:val="0"/>
        <w:keepLines w:val="0"/>
        <w:pageBreakBefore w:val="0"/>
        <w:widowControl w:val="0"/>
        <w:kinsoku/>
        <w:wordWrap/>
        <w:overflowPunct/>
        <w:topLinePunct w:val="0"/>
        <w:autoSpaceDE/>
        <w:autoSpaceDN/>
        <w:bidi w:val="0"/>
        <w:adjustRightInd w:val="0"/>
        <w:snapToGrid w:val="0"/>
        <w:spacing w:line="400" w:lineRule="exact"/>
        <w:ind w:left="-2" w:leftChars="-1"/>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如验收不合格，乙方应当在收到甲方书面通知之日起 10 日内对系统进行修改完善直至合格，该情形不视为乙方逾期违约，并由双方约定新的验收时间重新进行验收。</w:t>
      </w:r>
    </w:p>
    <w:p w14:paraId="63506B3D">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维保到期后，需提交《质保期到期验收单》方可提出质保申请。</w:t>
      </w:r>
    </w:p>
    <w:p w14:paraId="1F2EF7F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第七条</w:t>
      </w:r>
      <w:r>
        <w:rPr>
          <w:rFonts w:hint="eastAsia" w:asciiTheme="minorEastAsia" w:hAnsiTheme="minorEastAsia" w:eastAsiaTheme="minorEastAsia" w:cstheme="minorEastAsia"/>
          <w:b/>
          <w:color w:val="auto"/>
          <w:sz w:val="24"/>
          <w:szCs w:val="24"/>
          <w:lang w:val="en-US" w:eastAsia="zh-CN"/>
        </w:rPr>
        <w:t xml:space="preserve">  </w:t>
      </w:r>
      <w:r>
        <w:rPr>
          <w:rFonts w:hint="eastAsia" w:asciiTheme="minorEastAsia" w:hAnsiTheme="minorEastAsia" w:eastAsiaTheme="minorEastAsia" w:cstheme="minorEastAsia"/>
          <w:b/>
          <w:color w:val="auto"/>
          <w:sz w:val="24"/>
          <w:szCs w:val="24"/>
        </w:rPr>
        <w:t>货款支付</w:t>
      </w:r>
    </w:p>
    <w:p w14:paraId="6A4A193B">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ascii="宋体" w:hAnsi="宋体"/>
          <w:sz w:val="24"/>
        </w:rPr>
        <w:t>1</w:t>
      </w:r>
      <w:r>
        <w:rPr>
          <w:rFonts w:hint="eastAsia" w:ascii="宋体" w:hAnsi="宋体"/>
          <w:sz w:val="24"/>
          <w:lang w:val="en-US" w:eastAsia="zh-CN"/>
        </w:rPr>
        <w:t>.</w:t>
      </w:r>
      <w:r>
        <w:rPr>
          <w:rFonts w:hint="eastAsia" w:ascii="宋体" w:hAnsi="宋体"/>
          <w:sz w:val="24"/>
        </w:rPr>
        <w:t>付款方式：合同签订之后，乙方将尽快安排入场安装，在软件上线并验收合格后，乙方开具对应金额的有效发票，甲方在收到发票，</w:t>
      </w:r>
      <w:r>
        <w:rPr>
          <w:rFonts w:hint="eastAsia" w:ascii="宋体" w:hAnsi="宋体"/>
          <w:sz w:val="24"/>
          <w:lang w:val="en-US" w:eastAsia="zh-CN"/>
        </w:rPr>
        <w:t>60</w:t>
      </w:r>
      <w:r>
        <w:rPr>
          <w:rFonts w:hint="eastAsia" w:ascii="宋体" w:hAnsi="宋体"/>
          <w:sz w:val="24"/>
        </w:rPr>
        <w:t>个工作</w:t>
      </w:r>
      <w:r>
        <w:rPr>
          <w:rFonts w:hint="eastAsia" w:ascii="宋体" w:hAnsi="宋体"/>
          <w:sz w:val="24"/>
          <w:lang w:val="en-US" w:eastAsia="zh-CN"/>
        </w:rPr>
        <w:t>日后</w:t>
      </w:r>
      <w:r>
        <w:rPr>
          <w:rFonts w:hint="eastAsia" w:ascii="宋体" w:hAnsi="宋体"/>
          <w:sz w:val="24"/>
        </w:rPr>
        <w:t>将终验款（合同金额9</w:t>
      </w:r>
      <w:r>
        <w:rPr>
          <w:rFonts w:hint="eastAsia" w:ascii="宋体" w:hAnsi="宋体"/>
          <w:sz w:val="24"/>
          <w:lang w:val="en-US" w:eastAsia="zh-CN"/>
        </w:rPr>
        <w:t>5</w:t>
      </w:r>
      <w:r>
        <w:rPr>
          <w:rFonts w:ascii="宋体" w:hAnsi="宋体"/>
          <w:sz w:val="24"/>
        </w:rPr>
        <w:t>%</w:t>
      </w:r>
      <w:r>
        <w:rPr>
          <w:rFonts w:hint="eastAsia" w:ascii="宋体" w:hAnsi="宋体"/>
          <w:sz w:val="24"/>
        </w:rPr>
        <w:t>），</w:t>
      </w:r>
      <w:r>
        <w:rPr>
          <w:rFonts w:ascii="宋体" w:hAnsi="宋体"/>
          <w:sz w:val="24"/>
          <w:u w:val="single"/>
        </w:rPr>
        <w:t xml:space="preserve">         </w:t>
      </w:r>
      <w:r>
        <w:rPr>
          <w:rFonts w:hint="eastAsia" w:ascii="宋体" w:hAnsi="宋体"/>
          <w:sz w:val="24"/>
          <w:u w:val="single"/>
        </w:rPr>
        <w:t>元（大写人民币</w:t>
      </w:r>
      <w:r>
        <w:rPr>
          <w:rFonts w:ascii="宋体" w:hAnsi="宋体"/>
          <w:sz w:val="24"/>
          <w:u w:val="single"/>
        </w:rPr>
        <w:t xml:space="preserve">              </w:t>
      </w:r>
      <w:r>
        <w:rPr>
          <w:rFonts w:hint="eastAsia" w:ascii="宋体" w:hAnsi="宋体"/>
          <w:sz w:val="24"/>
          <w:u w:val="single"/>
        </w:rPr>
        <w:t>元整）</w:t>
      </w:r>
      <w:r>
        <w:rPr>
          <w:rFonts w:hint="eastAsia" w:ascii="宋体" w:hAnsi="宋体"/>
          <w:sz w:val="24"/>
        </w:rPr>
        <w:t>一次性支付给乙方；合同总额中包含</w:t>
      </w:r>
      <w:r>
        <w:rPr>
          <w:rFonts w:ascii="宋体" w:hAnsi="宋体"/>
          <w:sz w:val="24"/>
          <w:u w:val="single"/>
        </w:rPr>
        <w:t xml:space="preserve">     </w:t>
      </w:r>
      <w:r>
        <w:rPr>
          <w:rFonts w:hint="eastAsia" w:ascii="宋体" w:hAnsi="宋体"/>
          <w:sz w:val="24"/>
        </w:rPr>
        <w:t>年的维保，维保到期后乙方提出履约保证金付款申请，甲方收到申请</w:t>
      </w:r>
      <w:r>
        <w:rPr>
          <w:rFonts w:hint="eastAsia" w:ascii="宋体" w:hAnsi="宋体"/>
          <w:sz w:val="24"/>
          <w:lang w:val="en-US" w:eastAsia="zh-CN"/>
        </w:rPr>
        <w:t>30</w:t>
      </w:r>
      <w:r>
        <w:rPr>
          <w:rFonts w:hint="eastAsia" w:ascii="宋体" w:hAnsi="宋体"/>
          <w:sz w:val="24"/>
        </w:rPr>
        <w:t>个工作日</w:t>
      </w:r>
      <w:r>
        <w:rPr>
          <w:rFonts w:hint="eastAsia" w:ascii="宋体" w:hAnsi="宋体"/>
          <w:sz w:val="24"/>
          <w:lang w:val="en-US" w:eastAsia="zh-CN"/>
        </w:rPr>
        <w:t>后</w:t>
      </w:r>
      <w:r>
        <w:rPr>
          <w:rFonts w:hint="eastAsia" w:ascii="宋体" w:hAnsi="宋体"/>
          <w:sz w:val="24"/>
        </w:rPr>
        <w:t>将履约保证金（合同金额</w:t>
      </w:r>
      <w:r>
        <w:rPr>
          <w:rFonts w:hint="eastAsia" w:ascii="宋体" w:hAnsi="宋体"/>
          <w:sz w:val="24"/>
          <w:lang w:val="en-US" w:eastAsia="zh-CN"/>
        </w:rPr>
        <w:t>5</w:t>
      </w:r>
      <w:r>
        <w:rPr>
          <w:rFonts w:ascii="宋体" w:hAnsi="宋体"/>
          <w:sz w:val="24"/>
        </w:rPr>
        <w:t>%</w:t>
      </w:r>
      <w:r>
        <w:rPr>
          <w:rFonts w:hint="eastAsia" w:ascii="宋体" w:hAnsi="宋体"/>
          <w:sz w:val="24"/>
        </w:rPr>
        <w:t>）</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元（大写人民币</w:t>
      </w:r>
      <w:r>
        <w:rPr>
          <w:rFonts w:ascii="宋体" w:hAnsi="宋体"/>
          <w:sz w:val="24"/>
          <w:u w:val="single"/>
        </w:rPr>
        <w:t xml:space="preserve">             </w:t>
      </w:r>
      <w:r>
        <w:rPr>
          <w:rFonts w:hint="eastAsia" w:ascii="宋体" w:hAnsi="宋体"/>
          <w:sz w:val="24"/>
          <w:u w:val="single"/>
        </w:rPr>
        <w:t>元整）</w:t>
      </w:r>
      <w:r>
        <w:rPr>
          <w:rFonts w:hint="eastAsia" w:ascii="宋体" w:hAnsi="宋体"/>
          <w:sz w:val="24"/>
        </w:rPr>
        <w:t>一次性支付给乙方。合同维保到期以后每年的维保费用不超过合同总额的</w:t>
      </w:r>
      <w:r>
        <w:rPr>
          <w:rFonts w:ascii="宋体" w:hAnsi="宋体"/>
          <w:sz w:val="24"/>
          <w:u w:val="single"/>
        </w:rPr>
        <w:t xml:space="preserve">   </w:t>
      </w:r>
      <w:r>
        <w:rPr>
          <w:rFonts w:ascii="宋体" w:hAnsi="宋体"/>
          <w:sz w:val="24"/>
        </w:rPr>
        <w:t>%</w:t>
      </w:r>
      <w:r>
        <w:rPr>
          <w:rFonts w:hint="eastAsia" w:ascii="宋体" w:hAnsi="宋体"/>
          <w:sz w:val="24"/>
        </w:rPr>
        <w:t>，维保协议双方另行签订。</w:t>
      </w:r>
    </w:p>
    <w:p w14:paraId="60CDFA83">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乙方开户银行名称、地址和账号为：</w:t>
      </w:r>
    </w:p>
    <w:p w14:paraId="5910559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名称：</w:t>
      </w:r>
      <w:r>
        <w:rPr>
          <w:rFonts w:hint="eastAsia" w:asciiTheme="minorEastAsia" w:hAnsiTheme="minorEastAsia" w:eastAsiaTheme="minorEastAsia" w:cstheme="minorEastAsia"/>
          <w:color w:val="auto"/>
          <w:sz w:val="24"/>
          <w:szCs w:val="24"/>
          <w:u w:val="single"/>
        </w:rPr>
        <w:t xml:space="preserve">                        </w:t>
      </w:r>
    </w:p>
    <w:p w14:paraId="62B0988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开户行：</w:t>
      </w:r>
      <w:r>
        <w:rPr>
          <w:rFonts w:hint="eastAsia" w:asciiTheme="minorEastAsia" w:hAnsiTheme="minorEastAsia" w:eastAsiaTheme="minorEastAsia" w:cstheme="minorEastAsia"/>
          <w:color w:val="auto"/>
          <w:sz w:val="24"/>
          <w:szCs w:val="24"/>
          <w:u w:val="single"/>
        </w:rPr>
        <w:t xml:space="preserve">                    </w:t>
      </w:r>
    </w:p>
    <w:p w14:paraId="2BD8A453">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账号：</w:t>
      </w:r>
      <w:r>
        <w:rPr>
          <w:rFonts w:hint="eastAsia" w:asciiTheme="minorEastAsia" w:hAnsiTheme="minorEastAsia" w:eastAsiaTheme="minorEastAsia" w:cstheme="minorEastAsia"/>
          <w:color w:val="auto"/>
          <w:sz w:val="24"/>
          <w:szCs w:val="24"/>
          <w:u w:val="single"/>
        </w:rPr>
        <w:t xml:space="preserve">                         </w:t>
      </w:r>
    </w:p>
    <w:p w14:paraId="3124D4D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甲方开票信息：</w:t>
      </w:r>
    </w:p>
    <w:p w14:paraId="6D067AB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名称：桂林市人民医院</w:t>
      </w:r>
    </w:p>
    <w:p w14:paraId="2C9EE8A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信用代码：12450300498668197M</w:t>
      </w:r>
    </w:p>
    <w:p w14:paraId="674FC8E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地址 ：广西桂林市文明路12号</w:t>
      </w:r>
    </w:p>
    <w:p w14:paraId="7ADAF9E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开户行：桂林银行文明路支行</w:t>
      </w:r>
    </w:p>
    <w:p w14:paraId="3DB2887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帐号：660012017474300020</w:t>
      </w:r>
    </w:p>
    <w:p w14:paraId="0529D37D">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第八条</w:t>
      </w:r>
      <w:r>
        <w:rPr>
          <w:rFonts w:hint="eastAsia" w:asciiTheme="minorEastAsia" w:hAnsiTheme="minorEastAsia" w:eastAsiaTheme="minorEastAsia" w:cstheme="minorEastAsia"/>
          <w:b/>
          <w:color w:val="auto"/>
          <w:sz w:val="24"/>
          <w:szCs w:val="24"/>
          <w:lang w:val="en-US" w:eastAsia="zh-CN"/>
        </w:rPr>
        <w:t xml:space="preserve">  </w:t>
      </w:r>
      <w:r>
        <w:rPr>
          <w:rFonts w:hint="eastAsia" w:asciiTheme="minorEastAsia" w:hAnsiTheme="minorEastAsia" w:eastAsiaTheme="minorEastAsia" w:cstheme="minorEastAsia"/>
          <w:b/>
          <w:color w:val="auto"/>
          <w:sz w:val="24"/>
          <w:szCs w:val="24"/>
        </w:rPr>
        <w:t>售后服务</w:t>
      </w:r>
    </w:p>
    <w:p w14:paraId="30A313DD">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乙方承诺对甲方提供电话技术支持及远程维护服务</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人员驻场技术支持服务。</w:t>
      </w:r>
    </w:p>
    <w:p w14:paraId="7B3DDAA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如乙方提供电话技术支持及远程维护服务的，每年应提供</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次现场巡检服务，并出具巡检报告。当出现短时间不能解决的系统重大事故时，乙方相应技术支持人员应当在24小时内进行现场处理。</w:t>
      </w:r>
    </w:p>
    <w:p w14:paraId="0EF9280F">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乙方承诺在项目维护期间，故障问题响应时间不超过</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分钟/小时，一般软件问题处理时长不超过</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小时/工作日，重大故障问题处理时长不超过</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小时。</w:t>
      </w:r>
    </w:p>
    <w:p w14:paraId="07828BB6">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对于甲方在使用乙方相关软件产品过程中产生的个性化需求及由此产生的定制化开发要求，甲方应向乙方售后服务机构提出，乙方应及时给以评估和答复，必要时另行立项开发并签署相关协议。</w:t>
      </w:r>
    </w:p>
    <w:p w14:paraId="36368ACD">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从合同涉及的软件产品投入使用之日起，因甲方自身原因造成系统不能正常运行，要求乙方提供服务，乙方所产生的费用由甲方承担。</w:t>
      </w:r>
    </w:p>
    <w:p w14:paraId="6577B176">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非乙方产品和服务本身引发的产品问题不在本合同的售后服务范围之内，包括但不限于：(</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)甲方未按使用规范使用乙方产品（包括操作失误、恶意删改数据等）；(</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)未经乙方同意，甲方或者第三方对乙方产品进行了任何方式的修改，或者与第三方软件产品合并使用；（</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）由于甲方原因（包括操作失误）或第三方产品的瑕疵或故障、甲方使用的硬件或网络出错或遭遇计算机病毒侵犯而导致系统瘫痪等。</w:t>
      </w:r>
    </w:p>
    <w:p w14:paraId="3BDFF7A6">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第九条</w:t>
      </w:r>
      <w:r>
        <w:rPr>
          <w:rFonts w:hint="eastAsia" w:asciiTheme="minorEastAsia" w:hAnsiTheme="minorEastAsia" w:eastAsiaTheme="minorEastAsia" w:cstheme="minorEastAsia"/>
          <w:b/>
          <w:color w:val="auto"/>
          <w:sz w:val="24"/>
          <w:szCs w:val="24"/>
          <w:lang w:val="en-US" w:eastAsia="zh-CN"/>
        </w:rPr>
        <w:t xml:space="preserve">  </w:t>
      </w:r>
      <w:r>
        <w:rPr>
          <w:rFonts w:hint="eastAsia" w:asciiTheme="minorEastAsia" w:hAnsiTheme="minorEastAsia" w:eastAsiaTheme="minorEastAsia" w:cstheme="minorEastAsia"/>
          <w:b/>
          <w:color w:val="auto"/>
          <w:sz w:val="24"/>
          <w:szCs w:val="24"/>
        </w:rPr>
        <w:t>知识产权</w:t>
      </w:r>
    </w:p>
    <w:p w14:paraId="1A2C77D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乙方承诺拥有本合同第一条所述的软件产品的完整的知识产权或合法的转售权。对于由乙方提供的计算机软件和程序，甲方被授予不可转让的、非独家的使用权。</w:t>
      </w:r>
    </w:p>
    <w:p w14:paraId="36FE597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对乙方提供的技术资料，甲方应负责保密并保证以本合同约定的方式使用，甲方的此项责任并不因本合同的终止及无效而解除。</w:t>
      </w:r>
    </w:p>
    <w:p w14:paraId="56BABBFD">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乙方对合同涉及的软件产品及相关文档拥有独立版权。甲方不得许可第三方使用或作他用，并不得向第三方公开及转让。</w:t>
      </w:r>
    </w:p>
    <w:p w14:paraId="54CAB49F">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甲方不得自行复制、仿制相关软件产品，并不得使用于本合同未涉及的其它地点。</w:t>
      </w:r>
    </w:p>
    <w:p w14:paraId="7F801E2F">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甲方不得对软件自行修改，对修改后软件的使用效果乙方不作质量保证，并且甲方亦不得向任何第三方提供修改后的版本。</w:t>
      </w:r>
    </w:p>
    <w:p w14:paraId="7112FCE3">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第十条</w:t>
      </w:r>
      <w:r>
        <w:rPr>
          <w:rFonts w:hint="eastAsia" w:asciiTheme="minorEastAsia" w:hAnsiTheme="minorEastAsia" w:eastAsiaTheme="minorEastAsia" w:cstheme="minorEastAsia"/>
          <w:b/>
          <w:color w:val="auto"/>
          <w:sz w:val="24"/>
          <w:szCs w:val="24"/>
          <w:lang w:val="en-US" w:eastAsia="zh-CN"/>
        </w:rPr>
        <w:t xml:space="preserve">  </w:t>
      </w:r>
      <w:r>
        <w:rPr>
          <w:rFonts w:hint="eastAsia" w:asciiTheme="minorEastAsia" w:hAnsiTheme="minorEastAsia" w:eastAsiaTheme="minorEastAsia" w:cstheme="minorEastAsia"/>
          <w:b/>
          <w:color w:val="auto"/>
          <w:sz w:val="24"/>
          <w:szCs w:val="24"/>
        </w:rPr>
        <w:t>违约责任</w:t>
      </w:r>
    </w:p>
    <w:p w14:paraId="007C8E93">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甲方逾期付款，每逾期一日应支付乙方逾期总额2‰（千分之二）的违约金，违约金总额不超过合同总额的30%（百分之三十）。</w:t>
      </w:r>
    </w:p>
    <w:p w14:paraId="4576457D">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乙方逾期交付产品，每逾期一日应支付甲方合同总额2‰（千分之二）的违约金，违约金总额不超过合同总额的30%（百分之三十）。逾期20天乙方仍未交货，甲方有权单方面取消合同。</w:t>
      </w:r>
    </w:p>
    <w:p w14:paraId="6554AD11">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本合同软件产品实现的功能及性能以附件所载功能为准。对甲方不按技术规范操作、甲方软硬件问题、第三方软件问题等非本合同软件产品的原因而造成的甲方损失，乙方不承担任何违约责任和赔偿责任。</w:t>
      </w:r>
    </w:p>
    <w:p w14:paraId="7C80569D">
      <w:pPr>
        <w:keepNext w:val="0"/>
        <w:keepLines w:val="0"/>
        <w:pageBreakBefore w:val="0"/>
        <w:widowControl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因乙方产品质量问题造成的甲方损失，由乙方承担违约责任，每次应支付甲方合同应付金额的2%（百分之二）的违约金，违约金总额不超过合同总额的10%（百分之十）。如对甲方造成损失，乙方负责赔偿。</w:t>
      </w:r>
    </w:p>
    <w:p w14:paraId="6287C563">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甲方违反本协议关于版权保护的条款，对乙方提供的软件产品进行的任何的侵害性的行为给乙方造成损失的，乙方有权就损失部分要求甲方赔偿。</w:t>
      </w:r>
    </w:p>
    <w:p w14:paraId="0DAC46A7">
      <w:pPr>
        <w:keepNext w:val="0"/>
        <w:keepLines w:val="0"/>
        <w:pageBreakBefore w:val="0"/>
        <w:widowControl/>
        <w:suppressLineNumbers w:val="0"/>
        <w:kinsoku/>
        <w:wordWrap/>
        <w:overflowPunct/>
        <w:topLinePunct w:val="0"/>
        <w:autoSpaceDE/>
        <w:autoSpaceDN/>
        <w:bidi w:val="0"/>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r>
        <w:rPr>
          <w:rFonts w:hint="eastAsia" w:asciiTheme="minorEastAsia" w:hAnsiTheme="minorEastAsia" w:eastAsiaTheme="minorEastAsia" w:cstheme="minorEastAsia"/>
          <w:color w:val="auto"/>
          <w:sz w:val="24"/>
          <w:szCs w:val="24"/>
          <w:lang w:val="en-US" w:eastAsia="zh-CN"/>
        </w:rPr>
        <w:t>.</w:t>
      </w:r>
      <w:r>
        <w:rPr>
          <w:rFonts w:hint="eastAsia" w:ascii="宋体" w:hAnsi="宋体" w:eastAsia="宋体" w:cs="宋体"/>
          <w:color w:val="000000"/>
          <w:kern w:val="0"/>
          <w:sz w:val="24"/>
          <w:szCs w:val="24"/>
          <w:lang w:val="en-US" w:eastAsia="zh-CN" w:bidi="ar"/>
        </w:rPr>
        <w:t>乙方没有按约定派驻人员，每人次支付合同总额 2‰（千分之二）的违约金。</w:t>
      </w:r>
    </w:p>
    <w:p w14:paraId="251F266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乙方不按售后服务条款执行，每次扣除质保金的30%。</w:t>
      </w:r>
    </w:p>
    <w:p w14:paraId="12CDAEE6">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8.乙方应该开具真实的发票，一旦查出发票作假，甲方有权解除协议并且甲方有权利不支付该笔发票款项。</w:t>
      </w:r>
    </w:p>
    <w:p w14:paraId="3711C817">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第十一条</w:t>
      </w:r>
      <w:r>
        <w:rPr>
          <w:rFonts w:hint="eastAsia" w:asciiTheme="minorEastAsia" w:hAnsiTheme="minorEastAsia" w:eastAsiaTheme="minorEastAsia" w:cstheme="minorEastAsia"/>
          <w:b/>
          <w:color w:val="auto"/>
          <w:sz w:val="24"/>
          <w:szCs w:val="24"/>
          <w:lang w:val="en-US" w:eastAsia="zh-CN"/>
        </w:rPr>
        <w:t xml:space="preserve">  </w:t>
      </w:r>
      <w:r>
        <w:rPr>
          <w:rFonts w:hint="eastAsia" w:asciiTheme="minorEastAsia" w:hAnsiTheme="minorEastAsia" w:eastAsiaTheme="minorEastAsia" w:cstheme="minorEastAsia"/>
          <w:b/>
          <w:color w:val="auto"/>
          <w:sz w:val="24"/>
          <w:szCs w:val="24"/>
        </w:rPr>
        <w:t>保密</w:t>
      </w:r>
    </w:p>
    <w:p w14:paraId="4035DF71">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永久。</w:t>
      </w:r>
    </w:p>
    <w:p w14:paraId="6DC9B7A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第十二条</w:t>
      </w:r>
      <w:r>
        <w:rPr>
          <w:rFonts w:hint="eastAsia" w:asciiTheme="minorEastAsia" w:hAnsiTheme="minorEastAsia" w:eastAsiaTheme="minorEastAsia" w:cstheme="minorEastAsia"/>
          <w:b/>
          <w:color w:val="auto"/>
          <w:sz w:val="24"/>
          <w:szCs w:val="24"/>
          <w:lang w:val="en-US" w:eastAsia="zh-CN"/>
        </w:rPr>
        <w:t xml:space="preserve">  </w:t>
      </w:r>
      <w:r>
        <w:rPr>
          <w:rFonts w:hint="eastAsia" w:asciiTheme="minorEastAsia" w:hAnsiTheme="minorEastAsia" w:eastAsiaTheme="minorEastAsia" w:cstheme="minorEastAsia"/>
          <w:b/>
          <w:color w:val="auto"/>
          <w:sz w:val="24"/>
          <w:szCs w:val="24"/>
        </w:rPr>
        <w:t>联系</w:t>
      </w:r>
    </w:p>
    <w:p w14:paraId="6E979E6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根据本合同需要一方向另一方发出的全部通知以及双方的文件往来及与本合同有关的通知和要求等，必须用书面形式（含电子邮件），书面方式无法送达的，方可采取公告送达的方式。</w:t>
      </w:r>
    </w:p>
    <w:p w14:paraId="49A5486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一方变更本合同所载联系信息地址，应自变更之日起</w:t>
      </w:r>
      <w:r>
        <w:rPr>
          <w:rFonts w:hint="eastAsia" w:asciiTheme="minorEastAsia" w:hAnsiTheme="minorEastAsia" w:eastAsiaTheme="minorEastAsia" w:cstheme="minorEastAsia"/>
          <w:color w:val="auto"/>
          <w:sz w:val="24"/>
          <w:szCs w:val="24"/>
          <w:u w:val="single"/>
        </w:rPr>
        <w:t xml:space="preserve">   7   </w:t>
      </w:r>
      <w:r>
        <w:rPr>
          <w:rFonts w:hint="eastAsia" w:asciiTheme="minorEastAsia" w:hAnsiTheme="minorEastAsia" w:eastAsiaTheme="minorEastAsia" w:cstheme="minorEastAsia"/>
          <w:color w:val="auto"/>
          <w:sz w:val="24"/>
          <w:szCs w:val="24"/>
        </w:rPr>
        <w:t>日内，以书面形式通知对方；否则，由未通知方承担由此而引起的相关责任。</w:t>
      </w:r>
    </w:p>
    <w:p w14:paraId="64D7C061">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第十三条</w:t>
      </w:r>
      <w:r>
        <w:rPr>
          <w:rFonts w:hint="eastAsia" w:asciiTheme="minorEastAsia" w:hAnsiTheme="minorEastAsia" w:eastAsiaTheme="minorEastAsia" w:cstheme="minorEastAsia"/>
          <w:b/>
          <w:color w:val="auto"/>
          <w:sz w:val="24"/>
          <w:szCs w:val="24"/>
          <w:lang w:val="en-US" w:eastAsia="zh-CN"/>
        </w:rPr>
        <w:t xml:space="preserve">  </w:t>
      </w:r>
      <w:r>
        <w:rPr>
          <w:rFonts w:hint="eastAsia" w:asciiTheme="minorEastAsia" w:hAnsiTheme="minorEastAsia" w:eastAsiaTheme="minorEastAsia" w:cstheme="minorEastAsia"/>
          <w:b/>
          <w:color w:val="auto"/>
          <w:sz w:val="24"/>
          <w:szCs w:val="24"/>
        </w:rPr>
        <w:t>争议的处理方式</w:t>
      </w:r>
    </w:p>
    <w:p w14:paraId="43FC3A1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对于因本合同的解释及执行而产生之争议，应首先由双方通过友好协商或经由中立之第三方调解来解决。如争议未能于前述方式在开始协商后30日内解决，则任何一方可向甲方所在地人民法院提起诉讼。</w:t>
      </w:r>
    </w:p>
    <w:p w14:paraId="3E4D003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第十四条</w:t>
      </w:r>
      <w:r>
        <w:rPr>
          <w:rFonts w:hint="eastAsia" w:asciiTheme="minorEastAsia" w:hAnsiTheme="minorEastAsia" w:eastAsiaTheme="minorEastAsia" w:cstheme="minorEastAsia"/>
          <w:b/>
          <w:color w:val="auto"/>
          <w:sz w:val="24"/>
          <w:szCs w:val="24"/>
          <w:lang w:val="en-US" w:eastAsia="zh-CN"/>
        </w:rPr>
        <w:t xml:space="preserve">  </w:t>
      </w:r>
      <w:r>
        <w:rPr>
          <w:rFonts w:hint="eastAsia" w:asciiTheme="minorEastAsia" w:hAnsiTheme="minorEastAsia" w:eastAsiaTheme="minorEastAsia" w:cstheme="minorEastAsia"/>
          <w:b/>
          <w:color w:val="auto"/>
          <w:sz w:val="24"/>
          <w:szCs w:val="24"/>
        </w:rPr>
        <w:t>其他</w:t>
      </w:r>
    </w:p>
    <w:p w14:paraId="2B0ED803">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本合同未尽事宜，依照有关法律、法规执行，法律、法规未作规定的，甲乙双方可以达成书面补充合同。本合同的附件和补充合同均为本合同不可分割的组成部分，与本合同具有同等的法律效力。</w:t>
      </w:r>
    </w:p>
    <w:p w14:paraId="7381B93D">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本合同履行期间，发生特殊情况时，甲、乙任何一方需变更本合同的，双方需签订书面变更协议，该协议将成为合同不可分割的部分。未经双方签署书面文件，任何一方无权变更本合同，否则，由此造成对方的经济损失，由责任方承担。</w:t>
      </w:r>
    </w:p>
    <w:p w14:paraId="52AC444F">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本合同自双方签字、盖章之日起生效。</w:t>
      </w:r>
    </w:p>
    <w:p w14:paraId="35C55AF3">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本协议壹式伍份，甲方执叁份，乙方执贰份，具有同等法律效力。</w:t>
      </w:r>
    </w:p>
    <w:p w14:paraId="6F3EE45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本合同的附件一软件产品功能列表清单、附件二软件验收满意度调查表，为本合同不可分割的组成部分，与本合同具有同等的法律效力。</w:t>
      </w:r>
    </w:p>
    <w:p w14:paraId="62EE4E47">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auto"/>
          <w:sz w:val="24"/>
          <w:szCs w:val="24"/>
          <w:lang w:val="en-US" w:eastAsia="zh-CN"/>
        </w:rPr>
      </w:pPr>
    </w:p>
    <w:p w14:paraId="0A1D09F1">
      <w:pPr>
        <w:keepNext w:val="0"/>
        <w:keepLines w:val="0"/>
        <w:pageBreakBefore w:val="0"/>
        <w:widowControl w:val="0"/>
        <w:kinsoku/>
        <w:wordWrap/>
        <w:overflowPunct/>
        <w:topLinePunct w:val="0"/>
        <w:autoSpaceDE/>
        <w:autoSpaceDN/>
        <w:bidi w:val="0"/>
        <w:adjustRightInd w:val="0"/>
        <w:snapToGrid w:val="0"/>
        <w:spacing w:line="360" w:lineRule="exact"/>
        <w:ind w:left="5760" w:hanging="5760" w:hangingChars="2400"/>
        <w:textAlignment w:val="auto"/>
        <w:rPr>
          <w:rFonts w:hint="eastAsia" w:asciiTheme="minorEastAsia" w:hAnsiTheme="minorEastAsia" w:eastAsiaTheme="minorEastAsia" w:cstheme="minorEastAsia"/>
          <w:color w:val="auto"/>
          <w:sz w:val="24"/>
          <w:szCs w:val="24"/>
        </w:rPr>
      </w:pPr>
    </w:p>
    <w:p w14:paraId="3977863B">
      <w:pPr>
        <w:keepNext w:val="0"/>
        <w:keepLines w:val="0"/>
        <w:pageBreakBefore w:val="0"/>
        <w:widowControl w:val="0"/>
        <w:kinsoku/>
        <w:wordWrap/>
        <w:overflowPunct/>
        <w:topLinePunct w:val="0"/>
        <w:autoSpaceDE/>
        <w:autoSpaceDN/>
        <w:bidi w:val="0"/>
        <w:adjustRightInd w:val="0"/>
        <w:snapToGrid w:val="0"/>
        <w:spacing w:line="360" w:lineRule="exact"/>
        <w:ind w:left="5760" w:hanging="5760" w:hangingChars="2400"/>
        <w:textAlignment w:val="auto"/>
        <w:rPr>
          <w:rFonts w:hint="eastAsia" w:asciiTheme="minorEastAsia" w:hAnsiTheme="minorEastAsia" w:eastAsiaTheme="minorEastAsia" w:cstheme="minorEastAsia"/>
          <w:color w:val="auto"/>
          <w:sz w:val="24"/>
          <w:szCs w:val="24"/>
        </w:rPr>
      </w:pPr>
    </w:p>
    <w:p w14:paraId="32A5326D">
      <w:pPr>
        <w:keepNext w:val="0"/>
        <w:keepLines w:val="0"/>
        <w:pageBreakBefore w:val="0"/>
        <w:widowControl w:val="0"/>
        <w:kinsoku/>
        <w:wordWrap/>
        <w:overflowPunct/>
        <w:topLinePunct w:val="0"/>
        <w:autoSpaceDE/>
        <w:autoSpaceDN/>
        <w:bidi w:val="0"/>
        <w:adjustRightInd w:val="0"/>
        <w:snapToGrid w:val="0"/>
        <w:spacing w:line="360" w:lineRule="exact"/>
        <w:ind w:left="5760" w:hanging="5760" w:hangingChars="24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甲方（盖章）：桂林市人民医院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乙方（盖章）： </w:t>
      </w:r>
    </w:p>
    <w:p w14:paraId="5245B530">
      <w:pPr>
        <w:keepNext w:val="0"/>
        <w:keepLines w:val="0"/>
        <w:pageBreakBefore w:val="0"/>
        <w:widowControl w:val="0"/>
        <w:kinsoku/>
        <w:wordWrap/>
        <w:overflowPunct/>
        <w:topLinePunct w:val="0"/>
        <w:autoSpaceDE/>
        <w:autoSpaceDN/>
        <w:bidi w:val="0"/>
        <w:adjustRightInd w:val="0"/>
        <w:snapToGrid w:val="0"/>
        <w:spacing w:line="360" w:lineRule="exact"/>
        <w:ind w:left="5760" w:hanging="5760" w:hangingChars="2400"/>
        <w:textAlignment w:val="auto"/>
        <w:rPr>
          <w:rFonts w:hint="eastAsia" w:asciiTheme="minorEastAsia" w:hAnsiTheme="minorEastAsia" w:eastAsiaTheme="minorEastAsia" w:cstheme="minorEastAsia"/>
          <w:color w:val="auto"/>
          <w:sz w:val="24"/>
          <w:szCs w:val="24"/>
        </w:rPr>
      </w:pPr>
    </w:p>
    <w:p w14:paraId="78A084A3">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法定代表人或授权代表（签字）：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法定代表人或授权代表（签字）：　</w:t>
      </w:r>
    </w:p>
    <w:p w14:paraId="0665067C">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eastAsiaTheme="minorEastAsia" w:cstheme="minorEastAsia"/>
          <w:color w:val="auto"/>
          <w:sz w:val="24"/>
          <w:szCs w:val="24"/>
        </w:rPr>
      </w:pPr>
    </w:p>
    <w:p w14:paraId="5EEAB2C5">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eastAsiaTheme="minorEastAsia" w:cstheme="minorEastAsia"/>
          <w:color w:val="auto"/>
          <w:sz w:val="24"/>
          <w:szCs w:val="24"/>
        </w:rPr>
      </w:pPr>
    </w:p>
    <w:p w14:paraId="7C109A52">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w w:val="95"/>
          <w:sz w:val="30"/>
          <w:szCs w:val="30"/>
        </w:rPr>
      </w:pPr>
      <w:r>
        <w:rPr>
          <w:rFonts w:hint="eastAsia" w:asciiTheme="minorEastAsia" w:hAnsiTheme="minorEastAsia" w:eastAsiaTheme="minorEastAsia" w:cstheme="minorEastAsia"/>
          <w:color w:val="auto"/>
          <w:sz w:val="24"/>
          <w:szCs w:val="24"/>
        </w:rPr>
        <w:t xml:space="preserve">日期：    年    月    日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日期：    年    月    </w:t>
      </w:r>
    </w:p>
    <w:p w14:paraId="52EB93BD">
      <w:pPr>
        <w:pStyle w:val="2"/>
        <w:spacing w:line="400" w:lineRule="exact"/>
        <w:ind w:left="0" w:firstLine="3148" w:firstLineChars="1100"/>
        <w:rPr>
          <w:rFonts w:hint="eastAsia"/>
          <w:w w:val="95"/>
          <w:sz w:val="30"/>
          <w:szCs w:val="30"/>
        </w:rPr>
      </w:pPr>
    </w:p>
    <w:p w14:paraId="08C12C72">
      <w:pPr>
        <w:pStyle w:val="2"/>
        <w:spacing w:line="400" w:lineRule="exact"/>
        <w:ind w:left="0" w:firstLine="3148" w:firstLineChars="1100"/>
        <w:rPr>
          <w:rFonts w:hint="eastAsia"/>
          <w:w w:val="95"/>
          <w:sz w:val="30"/>
          <w:szCs w:val="30"/>
        </w:rPr>
      </w:pPr>
    </w:p>
    <w:p w14:paraId="54609236">
      <w:pPr>
        <w:pStyle w:val="2"/>
        <w:spacing w:line="400" w:lineRule="exact"/>
        <w:ind w:left="0" w:firstLine="3148" w:firstLineChars="1100"/>
        <w:rPr>
          <w:rFonts w:hint="eastAsia"/>
          <w:w w:val="95"/>
          <w:sz w:val="30"/>
          <w:szCs w:val="30"/>
        </w:rPr>
      </w:pPr>
    </w:p>
    <w:p w14:paraId="1FFE79FA">
      <w:pPr>
        <w:pStyle w:val="2"/>
        <w:spacing w:line="400" w:lineRule="exact"/>
        <w:ind w:left="0" w:firstLine="3148" w:firstLineChars="1100"/>
        <w:rPr>
          <w:rFonts w:hint="eastAsia"/>
          <w:w w:val="95"/>
          <w:sz w:val="30"/>
          <w:szCs w:val="30"/>
        </w:rPr>
      </w:pPr>
    </w:p>
    <w:p w14:paraId="72C8DE5D">
      <w:pPr>
        <w:pStyle w:val="2"/>
        <w:spacing w:line="400" w:lineRule="exact"/>
        <w:ind w:left="0" w:firstLine="3148" w:firstLineChars="1100"/>
        <w:rPr>
          <w:rFonts w:hint="eastAsia"/>
          <w:w w:val="95"/>
          <w:sz w:val="30"/>
          <w:szCs w:val="30"/>
        </w:rPr>
      </w:pPr>
    </w:p>
    <w:p w14:paraId="73F6B86B">
      <w:pPr>
        <w:pStyle w:val="2"/>
        <w:spacing w:line="400" w:lineRule="exact"/>
        <w:ind w:left="0" w:firstLine="3148" w:firstLineChars="1100"/>
        <w:rPr>
          <w:rFonts w:hint="eastAsia"/>
          <w:w w:val="95"/>
          <w:sz w:val="30"/>
          <w:szCs w:val="30"/>
        </w:rPr>
      </w:pPr>
    </w:p>
    <w:p w14:paraId="395C5529">
      <w:pPr>
        <w:pStyle w:val="2"/>
        <w:spacing w:line="400" w:lineRule="exact"/>
        <w:ind w:left="0" w:firstLine="3148" w:firstLineChars="1100"/>
        <w:rPr>
          <w:rFonts w:hint="eastAsia"/>
          <w:w w:val="95"/>
          <w:sz w:val="30"/>
          <w:szCs w:val="30"/>
        </w:rPr>
      </w:pPr>
    </w:p>
    <w:p w14:paraId="6645EC9C">
      <w:pPr>
        <w:pStyle w:val="2"/>
        <w:spacing w:line="400" w:lineRule="exact"/>
        <w:ind w:left="0" w:leftChars="0" w:firstLine="0" w:firstLineChars="0"/>
        <w:rPr>
          <w:rFonts w:hint="eastAsia"/>
          <w:w w:val="95"/>
          <w:sz w:val="30"/>
          <w:szCs w:val="30"/>
        </w:rPr>
      </w:pPr>
    </w:p>
    <w:p w14:paraId="555DD8BD">
      <w:pPr>
        <w:pStyle w:val="2"/>
        <w:spacing w:line="400" w:lineRule="exact"/>
        <w:ind w:left="0" w:firstLine="3148" w:firstLineChars="1100"/>
      </w:pPr>
      <w:r>
        <w:rPr>
          <w:rFonts w:hint="eastAsia"/>
          <w:w w:val="95"/>
          <w:sz w:val="30"/>
          <w:szCs w:val="30"/>
        </w:rPr>
        <w:t>第三章  评标办法</w:t>
      </w:r>
    </w:p>
    <w:p w14:paraId="3FBCA036">
      <w:pPr>
        <w:keepNext w:val="0"/>
        <w:keepLines w:val="0"/>
        <w:pageBreakBefore w:val="0"/>
        <w:kinsoku/>
        <w:wordWrap/>
        <w:overflowPunct/>
        <w:topLinePunct w:val="0"/>
        <w:bidi w:val="0"/>
        <w:adjustRightInd/>
        <w:snapToGrid w:val="0"/>
        <w:spacing w:line="360" w:lineRule="exact"/>
        <w:ind w:firstLine="420" w:firstLineChars="200"/>
        <w:textAlignment w:val="auto"/>
        <w:rPr>
          <w:rFonts w:hint="eastAsia" w:ascii="宋体" w:hAnsi="宋体" w:eastAsia="宋体" w:cs="宋体"/>
          <w:sz w:val="21"/>
          <w:szCs w:val="21"/>
        </w:rPr>
      </w:pPr>
    </w:p>
    <w:p w14:paraId="03005345">
      <w:pPr>
        <w:keepNext w:val="0"/>
        <w:keepLines w:val="0"/>
        <w:pageBreakBefore w:val="0"/>
        <w:kinsoku/>
        <w:wordWrap/>
        <w:overflowPunct/>
        <w:topLinePunct w:val="0"/>
        <w:bidi w:val="0"/>
        <w:adjustRightInd/>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次招标采用“综合评分法”，只有通过符合性审查的投标文件才能进入综合打分排序，即是指在最大限度地满足招标文件实质性要求前提下，按照招标文件中规定的各项因素进行综合评审后，以评标总得分最高的投标人作为拟中标供应商。具体评分标准如下：</w:t>
      </w:r>
    </w:p>
    <w:tbl>
      <w:tblPr>
        <w:tblStyle w:val="18"/>
        <w:tblW w:w="54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990"/>
        <w:gridCol w:w="7027"/>
        <w:gridCol w:w="1101"/>
      </w:tblGrid>
      <w:tr w14:paraId="1B12B58C">
        <w:tblPrEx>
          <w:tblCellMar>
            <w:top w:w="0" w:type="dxa"/>
            <w:left w:w="108" w:type="dxa"/>
            <w:bottom w:w="0" w:type="dxa"/>
            <w:right w:w="108" w:type="dxa"/>
          </w:tblCellMar>
        </w:tblPrEx>
        <w:trPr>
          <w:jc w:val="center"/>
        </w:trPr>
        <w:tc>
          <w:tcPr>
            <w:tcW w:w="870" w:type="dxa"/>
            <w:vAlign w:val="center"/>
          </w:tcPr>
          <w:p w14:paraId="3C57CE5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990" w:type="dxa"/>
            <w:vAlign w:val="center"/>
          </w:tcPr>
          <w:p w14:paraId="32C5F5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评分项</w:t>
            </w:r>
          </w:p>
        </w:tc>
        <w:tc>
          <w:tcPr>
            <w:tcW w:w="7028" w:type="dxa"/>
            <w:vAlign w:val="center"/>
          </w:tcPr>
          <w:p w14:paraId="50D3B5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评分标准</w:t>
            </w:r>
          </w:p>
        </w:tc>
        <w:tc>
          <w:tcPr>
            <w:tcW w:w="1101" w:type="dxa"/>
            <w:vAlign w:val="center"/>
          </w:tcPr>
          <w:p w14:paraId="50B0568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最高分值</w:t>
            </w:r>
          </w:p>
        </w:tc>
      </w:tr>
      <w:tr w14:paraId="46102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5" w:hRule="atLeast"/>
          <w:jc w:val="center"/>
        </w:trPr>
        <w:tc>
          <w:tcPr>
            <w:tcW w:w="870" w:type="dxa"/>
            <w:vAlign w:val="center"/>
          </w:tcPr>
          <w:p w14:paraId="3E06612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990" w:type="dxa"/>
            <w:vAlign w:val="center"/>
          </w:tcPr>
          <w:p w14:paraId="5D139D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价格分</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35分）</w:t>
            </w:r>
          </w:p>
        </w:tc>
        <w:tc>
          <w:tcPr>
            <w:tcW w:w="7028" w:type="dxa"/>
            <w:vAlign w:val="center"/>
          </w:tcPr>
          <w:p w14:paraId="5F9E82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报价评分采用低价优先法计算，即满足</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文件要求且最低报价为评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基准价，其价格分为满分。其他</w:t>
            </w: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人的报价分数统一按照下列公式计算：报价得分=(评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基准价／</w:t>
            </w:r>
            <w:r>
              <w:rPr>
                <w:rFonts w:hint="eastAsia" w:ascii="宋体" w:hAnsi="宋体" w:eastAsia="宋体" w:cs="宋体"/>
                <w:color w:val="auto"/>
                <w:sz w:val="21"/>
                <w:szCs w:val="21"/>
                <w:highlight w:val="none"/>
                <w:lang w:val="en-US" w:eastAsia="zh-CN"/>
              </w:rPr>
              <w:t>报价人</w:t>
            </w:r>
            <w:r>
              <w:rPr>
                <w:rFonts w:hint="eastAsia" w:ascii="宋体" w:hAnsi="宋体" w:eastAsia="宋体" w:cs="宋体"/>
                <w:color w:val="auto"/>
                <w:sz w:val="21"/>
                <w:szCs w:val="21"/>
                <w:highlight w:val="none"/>
              </w:rPr>
              <w:t>报价)×</w:t>
            </w:r>
            <w:r>
              <w:rPr>
                <w:rFonts w:hint="eastAsia" w:ascii="宋体" w:hAnsi="宋体" w:eastAsia="宋体" w:cs="宋体"/>
                <w:color w:val="auto"/>
                <w:sz w:val="21"/>
                <w:szCs w:val="21"/>
                <w:highlight w:val="none"/>
                <w:lang w:val="en-US" w:eastAsia="zh-CN"/>
              </w:rPr>
              <w:t>35</w:t>
            </w:r>
            <w:r>
              <w:rPr>
                <w:rFonts w:hint="eastAsia" w:ascii="宋体" w:hAnsi="宋体" w:eastAsia="宋体" w:cs="宋体"/>
                <w:color w:val="auto"/>
                <w:sz w:val="21"/>
                <w:szCs w:val="21"/>
                <w:highlight w:val="none"/>
              </w:rPr>
              <w:t>。</w:t>
            </w:r>
          </w:p>
          <w:p w14:paraId="07CCE5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w:t>
            </w:r>
            <w:r>
              <w:rPr>
                <w:rFonts w:hint="eastAsia" w:ascii="宋体" w:hAnsi="宋体" w:eastAsia="宋体" w:cs="宋体"/>
                <w:spacing w:val="-2"/>
                <w:sz w:val="21"/>
                <w:szCs w:val="21"/>
              </w:rPr>
              <w:t>供应商报价超出参考预算金额的</w:t>
            </w:r>
            <w:r>
              <w:rPr>
                <w:rFonts w:hint="eastAsia" w:ascii="宋体" w:hAnsi="宋体" w:eastAsia="宋体" w:cs="宋体"/>
                <w:color w:val="auto"/>
                <w:sz w:val="21"/>
                <w:szCs w:val="21"/>
                <w:highlight w:val="none"/>
              </w:rPr>
              <w:t>为无效报价；</w:t>
            </w:r>
          </w:p>
          <w:p w14:paraId="0D4436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textAlignment w:val="auto"/>
              <w:rPr>
                <w:rFonts w:hint="eastAsia" w:ascii="宋体" w:hAnsi="宋体" w:eastAsia="宋体" w:cs="宋体"/>
                <w:color w:val="000000"/>
                <w:sz w:val="21"/>
                <w:szCs w:val="21"/>
                <w:lang w:bidi="ar"/>
              </w:rPr>
            </w:pPr>
            <w:r>
              <w:rPr>
                <w:rFonts w:hint="eastAsia" w:ascii="宋体" w:hAnsi="宋体" w:eastAsia="宋体" w:cs="宋体"/>
                <w:color w:val="auto"/>
                <w:sz w:val="21"/>
                <w:szCs w:val="21"/>
                <w:highlight w:val="none"/>
              </w:rPr>
              <w:t>（2）为了遏制恶意竞标，确保采购需求和科学择优，依据财政部令第87号文件第六十条规定，评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委员会认为</w:t>
            </w: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人的报价明显低于其他通过符合性审查</w:t>
            </w: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人的报价，有可能影响产品质量或者不能诚信履约的，必须在评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现场合理的时间内提供成本构成说明、相关证明材料原件、保证按</w:t>
            </w:r>
            <w:r>
              <w:rPr>
                <w:rFonts w:hint="eastAsia" w:ascii="宋体" w:hAnsi="宋体" w:eastAsia="宋体" w:cs="宋体"/>
                <w:color w:val="auto"/>
                <w:sz w:val="21"/>
                <w:szCs w:val="21"/>
                <w:highlight w:val="none"/>
                <w:lang w:val="en-US" w:eastAsia="zh-CN"/>
              </w:rPr>
              <w:t>议价</w:t>
            </w:r>
            <w:r>
              <w:rPr>
                <w:rFonts w:hint="eastAsia" w:ascii="宋体" w:hAnsi="宋体" w:eastAsia="宋体" w:cs="宋体"/>
                <w:color w:val="auto"/>
                <w:sz w:val="21"/>
                <w:szCs w:val="21"/>
                <w:highlight w:val="none"/>
              </w:rPr>
              <w:t>文件服务内容及要求提供服务的承诺书。否则按无效</w:t>
            </w: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处理。</w:t>
            </w:r>
          </w:p>
        </w:tc>
        <w:tc>
          <w:tcPr>
            <w:tcW w:w="1101" w:type="dxa"/>
            <w:vAlign w:val="center"/>
          </w:tcPr>
          <w:p w14:paraId="3B754C9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w:t>
            </w:r>
          </w:p>
        </w:tc>
      </w:tr>
      <w:tr w14:paraId="1BD0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870" w:type="dxa"/>
            <w:vMerge w:val="restart"/>
            <w:vAlign w:val="center"/>
          </w:tcPr>
          <w:p w14:paraId="6A1E6AA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990" w:type="dxa"/>
            <w:vMerge w:val="restart"/>
            <w:vAlign w:val="center"/>
          </w:tcPr>
          <w:p w14:paraId="142325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企业实力</w:t>
            </w:r>
            <w:r>
              <w:rPr>
                <w:rFonts w:hint="eastAsia" w:ascii="宋体" w:hAnsi="宋体" w:cs="宋体"/>
                <w:sz w:val="21"/>
                <w:szCs w:val="21"/>
                <w:highlight w:val="none"/>
                <w:lang w:val="en-US" w:eastAsia="zh-CN"/>
              </w:rPr>
              <w:t>（9分）</w:t>
            </w:r>
          </w:p>
        </w:tc>
        <w:tc>
          <w:tcPr>
            <w:tcW w:w="7028" w:type="dxa"/>
            <w:vAlign w:val="center"/>
          </w:tcPr>
          <w:p w14:paraId="2D062D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供应商具备质量管理体系认证证书(ISO9000)、信息技术服务管理体系认证证书(ISO20000)，每提供一项得</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778C0A4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报价</w:t>
            </w:r>
            <w:r>
              <w:rPr>
                <w:rFonts w:hint="eastAsia" w:ascii="宋体" w:hAnsi="宋体" w:eastAsia="宋体" w:cs="宋体"/>
                <w:b/>
                <w:bCs/>
                <w:color w:val="auto"/>
                <w:sz w:val="21"/>
                <w:szCs w:val="21"/>
                <w:highlight w:val="none"/>
              </w:rPr>
              <w:t>文件中附加盖公章的证书复印件，否则不得分。）</w:t>
            </w:r>
          </w:p>
        </w:tc>
        <w:tc>
          <w:tcPr>
            <w:tcW w:w="1101" w:type="dxa"/>
            <w:vAlign w:val="center"/>
          </w:tcPr>
          <w:p w14:paraId="78FE86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r>
      <w:tr w14:paraId="64274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70" w:type="dxa"/>
            <w:vMerge w:val="continue"/>
            <w:vAlign w:val="center"/>
          </w:tcPr>
          <w:p w14:paraId="7BDE4FE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sz w:val="21"/>
                <w:szCs w:val="21"/>
                <w:highlight w:val="none"/>
              </w:rPr>
            </w:pPr>
          </w:p>
        </w:tc>
        <w:tc>
          <w:tcPr>
            <w:tcW w:w="990" w:type="dxa"/>
            <w:vMerge w:val="continue"/>
            <w:vAlign w:val="center"/>
          </w:tcPr>
          <w:p w14:paraId="545FCB6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textAlignment w:val="auto"/>
              <w:rPr>
                <w:rFonts w:hint="eastAsia" w:ascii="宋体" w:hAnsi="宋体" w:eastAsia="宋体" w:cs="宋体"/>
                <w:sz w:val="21"/>
                <w:szCs w:val="21"/>
                <w:highlight w:val="none"/>
              </w:rPr>
            </w:pPr>
          </w:p>
        </w:tc>
        <w:tc>
          <w:tcPr>
            <w:tcW w:w="7028" w:type="dxa"/>
            <w:vAlign w:val="center"/>
          </w:tcPr>
          <w:p w14:paraId="62114A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供应商提供自2022年至今相关</w:t>
            </w:r>
            <w:r>
              <w:rPr>
                <w:rFonts w:hint="eastAsia" w:ascii="宋体" w:hAnsi="宋体" w:eastAsia="宋体" w:cs="宋体"/>
                <w:color w:val="auto"/>
                <w:sz w:val="21"/>
                <w:szCs w:val="21"/>
                <w:highlight w:val="none"/>
              </w:rPr>
              <w:t>类似业绩，</w:t>
            </w:r>
            <w:r>
              <w:rPr>
                <w:rFonts w:hint="eastAsia" w:ascii="宋体" w:hAnsi="宋体" w:eastAsia="宋体" w:cs="宋体"/>
                <w:color w:val="auto"/>
                <w:sz w:val="21"/>
                <w:szCs w:val="21"/>
                <w:highlight w:val="none"/>
                <w:lang w:val="en-US" w:eastAsia="zh-CN"/>
              </w:rPr>
              <w:t>每</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份得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最多</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报价</w:t>
            </w:r>
            <w:r>
              <w:rPr>
                <w:rFonts w:hint="eastAsia" w:ascii="宋体" w:hAnsi="宋体" w:eastAsia="宋体" w:cs="宋体"/>
                <w:b/>
                <w:bCs/>
                <w:color w:val="auto"/>
                <w:sz w:val="21"/>
                <w:szCs w:val="21"/>
                <w:highlight w:val="none"/>
              </w:rPr>
              <w:t>文件中附加盖公章的合同关键页复印件</w:t>
            </w:r>
            <w:r>
              <w:rPr>
                <w:rFonts w:hint="eastAsia" w:ascii="宋体" w:hAnsi="宋体" w:eastAsia="宋体" w:cs="宋体"/>
                <w:b/>
                <w:bCs/>
                <w:color w:val="auto"/>
                <w:sz w:val="21"/>
                <w:szCs w:val="21"/>
                <w:highlight w:val="none"/>
                <w:lang w:val="en-US" w:eastAsia="zh-CN"/>
              </w:rPr>
              <w:t>和验收证明</w:t>
            </w:r>
            <w:r>
              <w:rPr>
                <w:rFonts w:hint="eastAsia" w:ascii="宋体" w:hAnsi="宋体" w:eastAsia="宋体" w:cs="宋体"/>
                <w:b/>
                <w:bCs/>
                <w:color w:val="auto"/>
                <w:sz w:val="21"/>
                <w:szCs w:val="21"/>
                <w:highlight w:val="none"/>
              </w:rPr>
              <w:t>，否则不得分。）</w:t>
            </w:r>
          </w:p>
        </w:tc>
        <w:tc>
          <w:tcPr>
            <w:tcW w:w="1101" w:type="dxa"/>
            <w:vAlign w:val="center"/>
          </w:tcPr>
          <w:p w14:paraId="4EDFC1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r>
      <w:tr w14:paraId="363D4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70" w:type="dxa"/>
            <w:vMerge w:val="continue"/>
            <w:vAlign w:val="center"/>
          </w:tcPr>
          <w:p w14:paraId="4707E78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sz w:val="21"/>
                <w:szCs w:val="21"/>
                <w:highlight w:val="none"/>
              </w:rPr>
            </w:pPr>
          </w:p>
        </w:tc>
        <w:tc>
          <w:tcPr>
            <w:tcW w:w="990" w:type="dxa"/>
            <w:vMerge w:val="continue"/>
            <w:vAlign w:val="center"/>
          </w:tcPr>
          <w:p w14:paraId="09AC835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textAlignment w:val="auto"/>
              <w:rPr>
                <w:rFonts w:hint="eastAsia" w:ascii="宋体" w:hAnsi="宋体" w:eastAsia="宋体" w:cs="宋体"/>
                <w:sz w:val="21"/>
                <w:szCs w:val="21"/>
                <w:highlight w:val="none"/>
              </w:rPr>
            </w:pPr>
          </w:p>
        </w:tc>
        <w:tc>
          <w:tcPr>
            <w:tcW w:w="7028" w:type="dxa"/>
            <w:vAlign w:val="center"/>
          </w:tcPr>
          <w:p w14:paraId="7EEC6B2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供应商具有基层医疗机构管理系统、电子病历管理系统、数据采集系统、基层公卫系统</w:t>
            </w:r>
            <w:r>
              <w:rPr>
                <w:rFonts w:hint="eastAsia" w:ascii="宋体" w:hAnsi="宋体" w:eastAsia="宋体" w:cs="宋体"/>
                <w:color w:val="auto"/>
                <w:sz w:val="21"/>
                <w:szCs w:val="21"/>
                <w:highlight w:val="none"/>
              </w:rPr>
              <w:t>相关产品</w:t>
            </w:r>
            <w:r>
              <w:rPr>
                <w:rFonts w:hint="eastAsia" w:ascii="宋体" w:hAnsi="宋体" w:eastAsia="宋体" w:cs="宋体"/>
                <w:color w:val="auto"/>
                <w:sz w:val="21"/>
                <w:szCs w:val="21"/>
                <w:highlight w:val="none"/>
                <w:lang w:val="en-US" w:eastAsia="zh-CN"/>
              </w:rPr>
              <w:t>软件著作权证书</w:t>
            </w:r>
            <w:r>
              <w:rPr>
                <w:rFonts w:hint="eastAsia" w:ascii="宋体" w:hAnsi="宋体" w:eastAsia="宋体" w:cs="宋体"/>
                <w:color w:val="auto"/>
                <w:sz w:val="21"/>
                <w:szCs w:val="21"/>
                <w:highlight w:val="none"/>
              </w:rPr>
              <w:t>。每提供一个得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分，最多得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分。注：须提供</w:t>
            </w:r>
            <w:r>
              <w:rPr>
                <w:rFonts w:hint="eastAsia" w:ascii="宋体" w:hAnsi="宋体" w:eastAsia="宋体" w:cs="宋体"/>
                <w:color w:val="auto"/>
                <w:sz w:val="21"/>
                <w:szCs w:val="21"/>
                <w:highlight w:val="none"/>
                <w:lang w:val="en-US" w:eastAsia="zh-CN"/>
              </w:rPr>
              <w:t>议价</w:t>
            </w:r>
            <w:r>
              <w:rPr>
                <w:rFonts w:hint="eastAsia" w:ascii="宋体" w:hAnsi="宋体" w:eastAsia="宋体" w:cs="宋体"/>
                <w:color w:val="auto"/>
                <w:sz w:val="21"/>
                <w:szCs w:val="21"/>
                <w:highlight w:val="none"/>
              </w:rPr>
              <w:t>公告发布时间前取得</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证书复印件</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加盖公章。</w:t>
            </w:r>
          </w:p>
        </w:tc>
        <w:tc>
          <w:tcPr>
            <w:tcW w:w="1101" w:type="dxa"/>
            <w:vAlign w:val="center"/>
          </w:tcPr>
          <w:p w14:paraId="124C25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r>
      <w:tr w14:paraId="176B8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70" w:type="dxa"/>
            <w:vMerge w:val="restart"/>
            <w:shd w:val="clear" w:color="auto" w:fill="auto"/>
            <w:vAlign w:val="center"/>
          </w:tcPr>
          <w:p w14:paraId="06FC90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w:t>
            </w:r>
          </w:p>
        </w:tc>
        <w:tc>
          <w:tcPr>
            <w:tcW w:w="990" w:type="dxa"/>
            <w:vMerge w:val="restart"/>
            <w:shd w:val="clear" w:color="auto" w:fill="auto"/>
            <w:vAlign w:val="center"/>
          </w:tcPr>
          <w:p w14:paraId="4AF7E1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技术响应情况</w:t>
            </w:r>
            <w:r>
              <w:rPr>
                <w:rFonts w:hint="eastAsia" w:ascii="宋体" w:hAnsi="宋体" w:cs="宋体"/>
                <w:sz w:val="21"/>
                <w:szCs w:val="21"/>
                <w:highlight w:val="none"/>
                <w:lang w:val="en-US" w:eastAsia="zh-CN"/>
              </w:rPr>
              <w:t>（37分）</w:t>
            </w:r>
          </w:p>
        </w:tc>
        <w:tc>
          <w:tcPr>
            <w:tcW w:w="7028" w:type="dxa"/>
            <w:vAlign w:val="center"/>
          </w:tcPr>
          <w:p w14:paraId="679584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技术参数要求中，▲项要求须提供平台系统界面的完整截图，且截图与实际功能相符的指标得2分，满分34分。</w:t>
            </w:r>
          </w:p>
        </w:tc>
        <w:tc>
          <w:tcPr>
            <w:tcW w:w="1101" w:type="dxa"/>
            <w:vAlign w:val="center"/>
          </w:tcPr>
          <w:p w14:paraId="442273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w:t>
            </w:r>
          </w:p>
        </w:tc>
      </w:tr>
      <w:tr w14:paraId="302D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5" w:hRule="atLeast"/>
          <w:jc w:val="center"/>
        </w:trPr>
        <w:tc>
          <w:tcPr>
            <w:tcW w:w="870" w:type="dxa"/>
            <w:vMerge w:val="continue"/>
            <w:shd w:val="clear" w:color="auto" w:fill="auto"/>
            <w:vAlign w:val="center"/>
          </w:tcPr>
          <w:p w14:paraId="0D13888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sz w:val="21"/>
                <w:szCs w:val="21"/>
                <w:highlight w:val="none"/>
                <w:lang w:val="en-US" w:eastAsia="zh-CN"/>
              </w:rPr>
            </w:pPr>
          </w:p>
        </w:tc>
        <w:tc>
          <w:tcPr>
            <w:tcW w:w="990" w:type="dxa"/>
            <w:vMerge w:val="continue"/>
            <w:shd w:val="clear" w:color="auto" w:fill="auto"/>
            <w:vAlign w:val="center"/>
          </w:tcPr>
          <w:p w14:paraId="649E8FB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sz w:val="21"/>
                <w:szCs w:val="21"/>
                <w:highlight w:val="none"/>
                <w:lang w:val="en-US" w:eastAsia="zh-CN"/>
              </w:rPr>
            </w:pPr>
          </w:p>
        </w:tc>
        <w:tc>
          <w:tcPr>
            <w:tcW w:w="7028" w:type="dxa"/>
            <w:vAlign w:val="center"/>
          </w:tcPr>
          <w:p w14:paraId="545215AE">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根据供应商对本项目的总体项目服务成果方案（包括对需实现内容的应用效果和应用的成熟度）进行综合评定并独立打分，未提供不得分。</w:t>
            </w:r>
          </w:p>
          <w:p w14:paraId="7CB26312">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一档（0分）没有提供；</w:t>
            </w:r>
          </w:p>
          <w:p w14:paraId="19802B64">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二档（1分）成果内容合理性、成熟度一般，低于其他档次供应商，内容不完整；</w:t>
            </w:r>
          </w:p>
          <w:p w14:paraId="64EEBACA">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三档（2分）对需实现内容的应用效果和应用的成熟度基本满足采购需求，内容相对完整；</w:t>
            </w:r>
          </w:p>
          <w:p w14:paraId="40F9600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四档（3分）对需实现内容的应用效果和应用的成熟度完全满足采购需求，操作性强，成熟度较好，服务内容详细完善。</w:t>
            </w:r>
          </w:p>
        </w:tc>
        <w:tc>
          <w:tcPr>
            <w:tcW w:w="1101" w:type="dxa"/>
            <w:vAlign w:val="center"/>
          </w:tcPr>
          <w:p w14:paraId="0EC4216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3</w:t>
            </w:r>
          </w:p>
        </w:tc>
      </w:tr>
      <w:tr w14:paraId="58472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70" w:type="dxa"/>
            <w:shd w:val="clear" w:color="auto" w:fill="auto"/>
            <w:vAlign w:val="center"/>
          </w:tcPr>
          <w:p w14:paraId="502641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990" w:type="dxa"/>
            <w:shd w:val="clear" w:color="auto" w:fill="auto"/>
            <w:vAlign w:val="center"/>
          </w:tcPr>
          <w:p w14:paraId="39A92A6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实施方案</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3分）</w:t>
            </w:r>
          </w:p>
        </w:tc>
        <w:tc>
          <w:tcPr>
            <w:tcW w:w="7028" w:type="dxa"/>
            <w:vAlign w:val="center"/>
          </w:tcPr>
          <w:p w14:paraId="777DFD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根据供应商提供的实施方案进行综合评价，主要对供应商提供的实施方案包括但不限于项目实施组织、实施各阶段计划安排、质量保证措施、进度保证措施、安全保密等方面的合理性、科学性进行综合评价。</w:t>
            </w:r>
          </w:p>
          <w:p w14:paraId="01ECD4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一档（0分）没有提供；</w:t>
            </w:r>
          </w:p>
          <w:p w14:paraId="0355F0A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二档（1分）项目实施方案描述较简单，项目实施的技术力量、实施内容仅基本满足项目要求，针对性一般的；</w:t>
            </w:r>
          </w:p>
          <w:p w14:paraId="78A4B5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二档（2分）项目实施方案中具有详细、合理的服务流程；拟投入本项目的人员配备全面，并调试运行及出现问题解决方案，合理验收方案、培训计划等，内容具有合理性、可行性</w:t>
            </w:r>
          </w:p>
          <w:p w14:paraId="5B8D436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四档（3分）项目实施方案中具有详细、完善、合理的服务流程；拟投入本项目的人员配备全面，并调试运行及出现问题解决方案，合理验收方案、培训计划和具体内容等。</w:t>
            </w:r>
          </w:p>
        </w:tc>
        <w:tc>
          <w:tcPr>
            <w:tcW w:w="1101" w:type="dxa"/>
            <w:vAlign w:val="center"/>
          </w:tcPr>
          <w:p w14:paraId="61818F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r>
      <w:tr w14:paraId="1CA03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vAlign w:val="center"/>
          </w:tcPr>
          <w:p w14:paraId="5292D2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990" w:type="dxa"/>
            <w:vMerge w:val="restart"/>
            <w:vAlign w:val="center"/>
          </w:tcPr>
          <w:p w14:paraId="256C76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服务实力</w:t>
            </w:r>
            <w:r>
              <w:rPr>
                <w:rFonts w:hint="eastAsia" w:ascii="宋体" w:hAnsi="宋体" w:cs="宋体"/>
                <w:sz w:val="21"/>
                <w:szCs w:val="21"/>
                <w:highlight w:val="none"/>
                <w:lang w:val="en-US" w:eastAsia="zh-CN"/>
              </w:rPr>
              <w:t>（10分）</w:t>
            </w:r>
          </w:p>
        </w:tc>
        <w:tc>
          <w:tcPr>
            <w:tcW w:w="7028" w:type="dxa"/>
            <w:vAlign w:val="top"/>
          </w:tcPr>
          <w:p w14:paraId="2E7524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供应商提供的项目团队中，项目经理具备高级信息系统项目管理师证书、高级软件工程师、系统分析师的，每具备一项得1分，满分3分。（需提供相关资质证书扫描件及相应人员近6个月内任意1个月社保证明材料，并加盖公章，否则不得分）。</w:t>
            </w:r>
          </w:p>
        </w:tc>
        <w:tc>
          <w:tcPr>
            <w:tcW w:w="1101" w:type="dxa"/>
            <w:vAlign w:val="center"/>
          </w:tcPr>
          <w:p w14:paraId="227B66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r>
      <w:tr w14:paraId="1CDFD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14:paraId="426EF4C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sz w:val="21"/>
                <w:szCs w:val="21"/>
                <w:highlight w:val="none"/>
              </w:rPr>
            </w:pPr>
          </w:p>
        </w:tc>
        <w:tc>
          <w:tcPr>
            <w:tcW w:w="990" w:type="dxa"/>
            <w:vMerge w:val="continue"/>
            <w:vAlign w:val="center"/>
          </w:tcPr>
          <w:p w14:paraId="4C9C35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textAlignment w:val="auto"/>
              <w:rPr>
                <w:rFonts w:hint="eastAsia" w:ascii="宋体" w:hAnsi="宋体" w:eastAsia="宋体" w:cs="宋体"/>
                <w:sz w:val="21"/>
                <w:szCs w:val="21"/>
                <w:highlight w:val="none"/>
              </w:rPr>
            </w:pPr>
          </w:p>
        </w:tc>
        <w:tc>
          <w:tcPr>
            <w:tcW w:w="7028" w:type="dxa"/>
            <w:vAlign w:val="top"/>
          </w:tcPr>
          <w:p w14:paraId="08AE38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项目团队具备系统架构设计师或软件测试工程师或中级及以上软件设计师证书，每具备一项得1分，满分3分。一人同时具有两个或者两个以上证书的，按1项计算。</w:t>
            </w:r>
          </w:p>
          <w:p w14:paraId="025F93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left"/>
              <w:textAlignment w:val="auto"/>
              <w:rPr>
                <w:rFonts w:hint="eastAsia" w:ascii="宋体" w:hAnsi="宋体" w:eastAsia="宋体" w:cs="宋体"/>
                <w:sz w:val="21"/>
                <w:szCs w:val="21"/>
                <w:highlight w:val="none"/>
                <w:lang w:val="en-US" w:bidi="ar-SA"/>
              </w:rPr>
            </w:pPr>
            <w:r>
              <w:rPr>
                <w:rFonts w:hint="eastAsia" w:ascii="宋体" w:hAnsi="宋体" w:eastAsia="宋体" w:cs="宋体"/>
                <w:kern w:val="2"/>
                <w:sz w:val="21"/>
                <w:szCs w:val="21"/>
                <w:highlight w:val="none"/>
                <w:lang w:val="en-US" w:eastAsia="zh-CN" w:bidi="ar-SA"/>
              </w:rPr>
              <w:t>（报价文件中需提供相关资质证书扫描件及响应人员近6个月内任意1个月社保证明材料，并加盖公章，否则不得分）。</w:t>
            </w:r>
          </w:p>
        </w:tc>
        <w:tc>
          <w:tcPr>
            <w:tcW w:w="1101" w:type="dxa"/>
            <w:vAlign w:val="center"/>
          </w:tcPr>
          <w:p w14:paraId="1702292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r>
      <w:tr w14:paraId="546B5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vAlign w:val="center"/>
          </w:tcPr>
          <w:p w14:paraId="126A69D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sz w:val="21"/>
                <w:szCs w:val="21"/>
                <w:highlight w:val="none"/>
              </w:rPr>
            </w:pPr>
          </w:p>
        </w:tc>
        <w:tc>
          <w:tcPr>
            <w:tcW w:w="990" w:type="dxa"/>
            <w:vMerge w:val="continue"/>
            <w:vAlign w:val="center"/>
          </w:tcPr>
          <w:p w14:paraId="392FA3D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textAlignment w:val="auto"/>
              <w:rPr>
                <w:rFonts w:hint="eastAsia" w:ascii="宋体" w:hAnsi="宋体" w:eastAsia="宋体" w:cs="宋体"/>
                <w:sz w:val="21"/>
                <w:szCs w:val="21"/>
                <w:highlight w:val="none"/>
                <w:lang w:val="en-US" w:eastAsia="zh-CN"/>
              </w:rPr>
            </w:pPr>
          </w:p>
        </w:tc>
        <w:tc>
          <w:tcPr>
            <w:tcW w:w="7028" w:type="dxa"/>
            <w:vAlign w:val="top"/>
          </w:tcPr>
          <w:p w14:paraId="1D9096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供应商2022年以来服务过的业主单位出具的售后服务满意度证明材料，达到满意以上的每提供一份证明材料得1分，满分4分。</w:t>
            </w:r>
          </w:p>
        </w:tc>
        <w:tc>
          <w:tcPr>
            <w:tcW w:w="1101" w:type="dxa"/>
            <w:vAlign w:val="center"/>
          </w:tcPr>
          <w:p w14:paraId="64DCF69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r>
      <w:tr w14:paraId="56889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Align w:val="center"/>
          </w:tcPr>
          <w:p w14:paraId="587F7B7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bidi="ar-SA"/>
              </w:rPr>
              <w:t>6</w:t>
            </w:r>
          </w:p>
        </w:tc>
        <w:tc>
          <w:tcPr>
            <w:tcW w:w="990" w:type="dxa"/>
            <w:vAlign w:val="center"/>
          </w:tcPr>
          <w:p w14:paraId="10626D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售后服务方案</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3分）</w:t>
            </w:r>
          </w:p>
        </w:tc>
        <w:tc>
          <w:tcPr>
            <w:tcW w:w="7028" w:type="dxa"/>
            <w:vAlign w:val="top"/>
          </w:tcPr>
          <w:p w14:paraId="5B589F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根据供应商提供的售后服务方案进行综合评价，主要对供应商在售后服务响应时间及服务承诺、服务内容以及后续技术支持等方面内容进行综合评定并独立打分，未提供不得分。</w:t>
            </w:r>
          </w:p>
          <w:p w14:paraId="7163A0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一档（0分）没有提供；</w:t>
            </w:r>
          </w:p>
          <w:p w14:paraId="4E7BBF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二档（1分）项目售后方案描述较简单，项目维保的技术力量、服务内容仅基本满足项目要求，针对性不强的；</w:t>
            </w:r>
          </w:p>
          <w:p w14:paraId="125B80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三档（2分）项目售后方案描述基本完整、表述清晰，具有基本的针对性、合理性、可行性；项目维保的技术力量基本满足本项目实施要求；</w:t>
            </w:r>
          </w:p>
          <w:p w14:paraId="38E871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四档（3分）项目售后方案描述全面详细、表述清晰，具有较强的针对性、合理性、可行性、实施性；项目维保的技术力量安排得当、严谨、满足本项目实施要求，并有详细说明。</w:t>
            </w:r>
          </w:p>
        </w:tc>
        <w:tc>
          <w:tcPr>
            <w:tcW w:w="1101" w:type="dxa"/>
            <w:vAlign w:val="center"/>
          </w:tcPr>
          <w:p w14:paraId="6F9B326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r>
      <w:tr w14:paraId="184FA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Align w:val="center"/>
          </w:tcPr>
          <w:p w14:paraId="1FE109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990" w:type="dxa"/>
            <w:vAlign w:val="center"/>
          </w:tcPr>
          <w:p w14:paraId="3D6D5E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培训方案</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3分）</w:t>
            </w:r>
          </w:p>
        </w:tc>
        <w:tc>
          <w:tcPr>
            <w:tcW w:w="7028" w:type="dxa"/>
            <w:vAlign w:val="center"/>
          </w:tcPr>
          <w:p w14:paraId="76874D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根据</w:t>
            </w:r>
            <w:r>
              <w:rPr>
                <w:rFonts w:hint="eastAsia" w:ascii="宋体" w:hAnsi="宋体" w:eastAsia="宋体" w:cs="宋体"/>
                <w:sz w:val="21"/>
                <w:szCs w:val="21"/>
                <w:highlight w:val="none"/>
                <w:lang w:val="en-US" w:eastAsia="zh-CN"/>
              </w:rPr>
              <w:t>供应商提供</w:t>
            </w:r>
            <w:r>
              <w:rPr>
                <w:rFonts w:hint="eastAsia" w:ascii="宋体" w:hAnsi="宋体" w:eastAsia="宋体" w:cs="宋体"/>
                <w:sz w:val="21"/>
                <w:szCs w:val="21"/>
                <w:highlight w:val="none"/>
              </w:rPr>
              <w:t>对本项目培训方案进行评</w:t>
            </w:r>
            <w:r>
              <w:rPr>
                <w:rFonts w:hint="eastAsia" w:ascii="宋体" w:hAnsi="宋体" w:eastAsia="宋体" w:cs="宋体"/>
                <w:sz w:val="21"/>
                <w:szCs w:val="21"/>
                <w:highlight w:val="none"/>
                <w:lang w:val="en-US" w:eastAsia="zh-CN"/>
              </w:rPr>
              <w:t>审</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应包括培训目标、培训方式、培训内容等</w:t>
            </w:r>
            <w:r>
              <w:rPr>
                <w:rFonts w:hint="eastAsia" w:ascii="宋体" w:hAnsi="宋体" w:eastAsia="宋体" w:cs="宋体"/>
                <w:sz w:val="21"/>
                <w:szCs w:val="21"/>
                <w:highlight w:val="none"/>
              </w:rPr>
              <w:t>。</w:t>
            </w:r>
          </w:p>
          <w:p w14:paraId="37DF9A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一档（0分）没有提供；</w:t>
            </w:r>
          </w:p>
          <w:p w14:paraId="29F5C1C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分）方案不够完善、详细；</w:t>
            </w:r>
          </w:p>
          <w:p w14:paraId="4A1EE0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三档（</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分）方案较完善、</w:t>
            </w:r>
            <w:r>
              <w:rPr>
                <w:rFonts w:hint="eastAsia" w:ascii="宋体" w:hAnsi="宋体" w:eastAsia="宋体" w:cs="宋体"/>
                <w:sz w:val="21"/>
                <w:szCs w:val="21"/>
                <w:highlight w:val="none"/>
                <w:lang w:val="en-US" w:eastAsia="zh-CN"/>
              </w:rPr>
              <w:t>较</w:t>
            </w:r>
            <w:r>
              <w:rPr>
                <w:rFonts w:hint="eastAsia" w:ascii="宋体" w:hAnsi="宋体" w:eastAsia="宋体" w:cs="宋体"/>
                <w:sz w:val="21"/>
                <w:szCs w:val="21"/>
                <w:highlight w:val="none"/>
              </w:rPr>
              <w:t>详细；</w:t>
            </w:r>
          </w:p>
          <w:p w14:paraId="3F2A9C1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四档（</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分）方案完善、详细。</w:t>
            </w:r>
          </w:p>
        </w:tc>
        <w:tc>
          <w:tcPr>
            <w:tcW w:w="1101" w:type="dxa"/>
            <w:vAlign w:val="center"/>
          </w:tcPr>
          <w:p w14:paraId="1EBF43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r>
      <w:tr w14:paraId="734F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8" w:type="dxa"/>
            <w:gridSpan w:val="3"/>
            <w:vAlign w:val="center"/>
          </w:tcPr>
          <w:p w14:paraId="5D39763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总分</w:t>
            </w:r>
          </w:p>
        </w:tc>
        <w:tc>
          <w:tcPr>
            <w:tcW w:w="1101" w:type="dxa"/>
            <w:vAlign w:val="center"/>
          </w:tcPr>
          <w:p w14:paraId="5EE580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100</w:t>
            </w:r>
          </w:p>
        </w:tc>
      </w:tr>
    </w:tbl>
    <w:p w14:paraId="429C66F8">
      <w:pPr>
        <w:pStyle w:val="2"/>
        <w:spacing w:line="400" w:lineRule="exact"/>
        <w:ind w:left="0" w:leftChars="0" w:firstLine="0" w:firstLineChars="0"/>
        <w:jc w:val="center"/>
        <w:rPr>
          <w:sz w:val="30"/>
          <w:szCs w:val="30"/>
        </w:rPr>
      </w:pPr>
      <w:r>
        <w:rPr>
          <w:rFonts w:hint="eastAsia"/>
          <w:sz w:val="30"/>
          <w:szCs w:val="30"/>
        </w:rPr>
        <w:t>第四章  投标文件格式</w:t>
      </w:r>
    </w:p>
    <w:p w14:paraId="052715D5">
      <w:pPr>
        <w:spacing w:line="400" w:lineRule="exact"/>
        <w:jc w:val="center"/>
        <w:rPr>
          <w:rFonts w:ascii="宋体" w:hAnsi="宋体" w:cs="宋体"/>
          <w:b/>
          <w:sz w:val="30"/>
          <w:szCs w:val="30"/>
        </w:rPr>
      </w:pPr>
      <w:r>
        <w:rPr>
          <w:rFonts w:hint="eastAsia" w:ascii="宋体" w:hAnsi="宋体" w:cs="宋体"/>
          <w:b/>
          <w:sz w:val="30"/>
          <w:szCs w:val="30"/>
        </w:rPr>
        <w:t>投  标  函 （格式）</w:t>
      </w:r>
    </w:p>
    <w:p w14:paraId="477D48C5">
      <w:pPr>
        <w:spacing w:line="400" w:lineRule="exact"/>
        <w:ind w:firstLine="480" w:firstLineChars="200"/>
        <w:jc w:val="lef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：桂林市人民医院   </w:t>
      </w:r>
    </w:p>
    <w:p w14:paraId="2C5D96D8">
      <w:pPr>
        <w:pStyle w:val="10"/>
        <w:spacing w:line="400" w:lineRule="exact"/>
        <w:ind w:firstLine="420"/>
        <w:rPr>
          <w:rFonts w:hAnsi="宋体"/>
          <w:sz w:val="24"/>
          <w:szCs w:val="24"/>
        </w:rPr>
      </w:pPr>
      <w:r>
        <w:rPr>
          <w:rFonts w:hint="eastAsia" w:hAnsi="宋体"/>
          <w:sz w:val="24"/>
          <w:szCs w:val="24"/>
        </w:rPr>
        <w:t>根据贵方</w:t>
      </w:r>
      <w:r>
        <w:rPr>
          <w:rFonts w:hint="eastAsia" w:hAnsi="宋体"/>
          <w:sz w:val="24"/>
          <w:szCs w:val="24"/>
          <w:u w:val="single"/>
        </w:rPr>
        <w:t xml:space="preserve">           </w:t>
      </w:r>
      <w:r>
        <w:rPr>
          <w:rFonts w:hint="eastAsia" w:hAnsi="宋体"/>
          <w:sz w:val="24"/>
          <w:szCs w:val="24"/>
        </w:rPr>
        <w:t>项目招标文件，项目编号</w:t>
      </w:r>
      <w:r>
        <w:rPr>
          <w:rFonts w:hint="eastAsia" w:hAnsi="宋体"/>
          <w:sz w:val="24"/>
          <w:szCs w:val="24"/>
          <w:u w:val="single"/>
        </w:rPr>
        <w:t xml:space="preserve">            </w:t>
      </w:r>
      <w:r>
        <w:rPr>
          <w:rFonts w:hint="eastAsia" w:hAnsi="宋体"/>
          <w:sz w:val="24"/>
          <w:szCs w:val="24"/>
        </w:rPr>
        <w:t>，签字代表</w:t>
      </w:r>
      <w:r>
        <w:rPr>
          <w:rFonts w:hint="eastAsia" w:hAnsi="宋体"/>
          <w:sz w:val="24"/>
          <w:szCs w:val="24"/>
          <w:u w:val="single"/>
        </w:rPr>
        <w:t xml:space="preserve">         </w:t>
      </w:r>
      <w:r>
        <w:rPr>
          <w:rFonts w:hint="eastAsia" w:hAnsi="宋体"/>
          <w:sz w:val="24"/>
          <w:szCs w:val="24"/>
        </w:rPr>
        <w:t xml:space="preserve">（姓名）经正式授权并代表投标人 </w:t>
      </w:r>
      <w:r>
        <w:rPr>
          <w:rFonts w:hint="eastAsia" w:hAnsi="宋体"/>
          <w:sz w:val="24"/>
          <w:szCs w:val="24"/>
          <w:u w:val="single"/>
        </w:rPr>
        <w:t xml:space="preserve">                                   （</w:t>
      </w:r>
      <w:r>
        <w:rPr>
          <w:rFonts w:hint="eastAsia" w:hAnsi="宋体"/>
          <w:sz w:val="24"/>
          <w:szCs w:val="24"/>
        </w:rPr>
        <w:t>投标单位名称），提交投标文件</w:t>
      </w:r>
      <w:r>
        <w:rPr>
          <w:rFonts w:hint="eastAsia" w:hAnsi="宋体" w:cs="宋体"/>
          <w:sz w:val="24"/>
          <w:szCs w:val="24"/>
        </w:rPr>
        <w:t>正本一份，副本六份。</w:t>
      </w:r>
    </w:p>
    <w:p w14:paraId="1D7097D0">
      <w:pPr>
        <w:pStyle w:val="10"/>
        <w:spacing w:line="400" w:lineRule="exact"/>
        <w:ind w:firstLine="420"/>
        <w:rPr>
          <w:rFonts w:hAnsi="宋体"/>
          <w:sz w:val="24"/>
          <w:szCs w:val="24"/>
        </w:rPr>
      </w:pPr>
      <w:r>
        <w:rPr>
          <w:rFonts w:hint="eastAsia" w:hAnsi="宋体"/>
          <w:sz w:val="24"/>
          <w:szCs w:val="24"/>
        </w:rPr>
        <w:t>据此函，签字代表宣布同意如下：</w:t>
      </w:r>
    </w:p>
    <w:p w14:paraId="1B80BE88">
      <w:pPr>
        <w:widowControl/>
        <w:numPr>
          <w:ilvl w:val="0"/>
          <w:numId w:val="1"/>
        </w:numPr>
        <w:spacing w:line="400" w:lineRule="exact"/>
        <w:jc w:val="left"/>
        <w:rPr>
          <w:rFonts w:ascii="宋体" w:hAnsi="宋体" w:cs="宋体"/>
          <w:szCs w:val="21"/>
        </w:rPr>
      </w:pPr>
      <w:r>
        <w:rPr>
          <w:rFonts w:hint="eastAsia" w:ascii="宋体" w:hAnsi="宋体" w:cs="宋体"/>
          <w:kern w:val="0"/>
          <w:sz w:val="24"/>
        </w:rPr>
        <w:t>一、</w:t>
      </w:r>
      <w:r>
        <w:rPr>
          <w:rFonts w:hint="eastAsia" w:hAnsi="宋体"/>
          <w:szCs w:val="21"/>
        </w:rPr>
        <w:t>报价表</w:t>
      </w:r>
      <w:r>
        <w:rPr>
          <w:rFonts w:hint="eastAsia" w:ascii="宋体" w:hAnsi="宋体" w:cs="宋体"/>
          <w:szCs w:val="21"/>
        </w:rPr>
        <w:t>（单位：人民币  元）</w:t>
      </w:r>
    </w:p>
    <w:tbl>
      <w:tblPr>
        <w:tblStyle w:val="18"/>
        <w:tblW w:w="1121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1"/>
        <w:gridCol w:w="4245"/>
        <w:gridCol w:w="1095"/>
        <w:gridCol w:w="915"/>
        <w:gridCol w:w="1740"/>
        <w:gridCol w:w="1287"/>
        <w:gridCol w:w="1287"/>
      </w:tblGrid>
      <w:tr w14:paraId="68264D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14:paraId="121F6A36">
            <w:pPr>
              <w:spacing w:line="440" w:lineRule="exact"/>
              <w:jc w:val="center"/>
              <w:rPr>
                <w:rFonts w:ascii="宋体" w:hAnsi="宋体"/>
              </w:rPr>
            </w:pPr>
            <w:r>
              <w:rPr>
                <w:rFonts w:hint="eastAsia" w:ascii="宋体" w:hAnsi="宋体"/>
              </w:rPr>
              <w:t>项号</w:t>
            </w:r>
          </w:p>
        </w:tc>
        <w:tc>
          <w:tcPr>
            <w:tcW w:w="4245" w:type="dxa"/>
            <w:tcBorders>
              <w:top w:val="single" w:color="auto" w:sz="4" w:space="0"/>
              <w:left w:val="single" w:color="auto" w:sz="4" w:space="0"/>
              <w:bottom w:val="single" w:color="auto" w:sz="4" w:space="0"/>
              <w:right w:val="single" w:color="auto" w:sz="4" w:space="0"/>
            </w:tcBorders>
            <w:vAlign w:val="center"/>
          </w:tcPr>
          <w:p w14:paraId="032845FF">
            <w:pPr>
              <w:spacing w:line="440" w:lineRule="exact"/>
              <w:jc w:val="center"/>
              <w:rPr>
                <w:rFonts w:ascii="宋体" w:hAnsi="宋体"/>
              </w:rPr>
            </w:pPr>
            <w:r>
              <w:rPr>
                <w:rFonts w:hint="eastAsia" w:ascii="宋体" w:hAnsi="宋体"/>
              </w:rPr>
              <w:t>项目名称</w:t>
            </w:r>
          </w:p>
        </w:tc>
        <w:tc>
          <w:tcPr>
            <w:tcW w:w="1095" w:type="dxa"/>
            <w:tcBorders>
              <w:top w:val="single" w:color="auto" w:sz="4" w:space="0"/>
              <w:left w:val="single" w:color="auto" w:sz="4" w:space="0"/>
              <w:bottom w:val="single" w:color="auto" w:sz="4" w:space="0"/>
              <w:right w:val="single" w:color="auto" w:sz="4" w:space="0"/>
            </w:tcBorders>
            <w:vAlign w:val="center"/>
          </w:tcPr>
          <w:p w14:paraId="486A1368">
            <w:pPr>
              <w:spacing w:line="440" w:lineRule="exact"/>
              <w:jc w:val="center"/>
              <w:rPr>
                <w:rFonts w:ascii="宋体" w:hAnsi="宋体"/>
              </w:rPr>
            </w:pPr>
            <w:r>
              <w:rPr>
                <w:rFonts w:hint="eastAsia" w:ascii="宋体" w:hAnsi="宋体"/>
              </w:rPr>
              <w:t>单位</w:t>
            </w:r>
          </w:p>
        </w:tc>
        <w:tc>
          <w:tcPr>
            <w:tcW w:w="915" w:type="dxa"/>
            <w:tcBorders>
              <w:top w:val="single" w:color="auto" w:sz="4" w:space="0"/>
              <w:left w:val="single" w:color="auto" w:sz="4" w:space="0"/>
              <w:bottom w:val="single" w:color="auto" w:sz="4" w:space="0"/>
              <w:right w:val="single" w:color="auto" w:sz="4" w:space="0"/>
            </w:tcBorders>
            <w:vAlign w:val="center"/>
          </w:tcPr>
          <w:p w14:paraId="61E24C83">
            <w:pPr>
              <w:spacing w:line="440" w:lineRule="exact"/>
              <w:jc w:val="center"/>
              <w:rPr>
                <w:rFonts w:ascii="宋体" w:hAnsi="宋体"/>
              </w:rPr>
            </w:pPr>
            <w:r>
              <w:rPr>
                <w:rFonts w:hint="eastAsia" w:ascii="宋体" w:hAnsi="宋体"/>
              </w:rPr>
              <w:t>数量</w:t>
            </w:r>
          </w:p>
        </w:tc>
        <w:tc>
          <w:tcPr>
            <w:tcW w:w="1740" w:type="dxa"/>
            <w:tcBorders>
              <w:top w:val="single" w:color="auto" w:sz="4" w:space="0"/>
              <w:left w:val="single" w:color="auto" w:sz="4" w:space="0"/>
              <w:bottom w:val="single" w:color="auto" w:sz="4" w:space="0"/>
            </w:tcBorders>
            <w:vAlign w:val="center"/>
          </w:tcPr>
          <w:p w14:paraId="0EF018C1">
            <w:pPr>
              <w:spacing w:line="440" w:lineRule="exact"/>
              <w:jc w:val="center"/>
              <w:rPr>
                <w:rFonts w:hint="eastAsia" w:ascii="宋体" w:hAnsi="宋体" w:eastAsia="宋体"/>
                <w:lang w:val="en-US" w:eastAsia="zh-CN"/>
              </w:rPr>
            </w:pPr>
            <w:r>
              <w:rPr>
                <w:rFonts w:hint="eastAsia" w:ascii="宋体" w:hAnsi="宋体"/>
                <w:lang w:val="en-US" w:eastAsia="zh-CN"/>
              </w:rPr>
              <w:t>单价（元）</w:t>
            </w:r>
          </w:p>
        </w:tc>
        <w:tc>
          <w:tcPr>
            <w:tcW w:w="1287" w:type="dxa"/>
            <w:tcBorders>
              <w:top w:val="single" w:color="auto" w:sz="4" w:space="0"/>
              <w:left w:val="single" w:color="auto" w:sz="4" w:space="0"/>
              <w:bottom w:val="single" w:color="auto" w:sz="4" w:space="0"/>
            </w:tcBorders>
          </w:tcPr>
          <w:p w14:paraId="2324459C">
            <w:pPr>
              <w:spacing w:line="440" w:lineRule="exact"/>
              <w:jc w:val="center"/>
              <w:rPr>
                <w:rFonts w:hint="default" w:ascii="宋体" w:hAnsi="宋体" w:eastAsia="宋体"/>
                <w:lang w:val="en-US" w:eastAsia="zh-CN"/>
              </w:rPr>
            </w:pPr>
            <w:r>
              <w:rPr>
                <w:rFonts w:hint="eastAsia" w:ascii="宋体" w:hAnsi="宋体"/>
                <w:lang w:val="en-US" w:eastAsia="zh-CN"/>
              </w:rPr>
              <w:t>总价（元）</w:t>
            </w:r>
          </w:p>
        </w:tc>
        <w:tc>
          <w:tcPr>
            <w:tcW w:w="1287" w:type="dxa"/>
            <w:tcBorders>
              <w:top w:val="single" w:color="auto" w:sz="4" w:space="0"/>
              <w:left w:val="single" w:color="auto" w:sz="4" w:space="0"/>
              <w:bottom w:val="single" w:color="auto" w:sz="4" w:space="0"/>
            </w:tcBorders>
          </w:tcPr>
          <w:p w14:paraId="3FF82987">
            <w:pPr>
              <w:spacing w:line="440" w:lineRule="exact"/>
              <w:jc w:val="center"/>
              <w:rPr>
                <w:rFonts w:hint="default" w:ascii="宋体" w:hAnsi="宋体"/>
                <w:lang w:val="en-US" w:eastAsia="zh-CN"/>
              </w:rPr>
            </w:pPr>
            <w:r>
              <w:rPr>
                <w:rFonts w:hint="eastAsia" w:ascii="宋体" w:hAnsi="宋体"/>
                <w:lang w:val="en-US" w:eastAsia="zh-CN"/>
              </w:rPr>
              <w:t>备注</w:t>
            </w:r>
          </w:p>
        </w:tc>
      </w:tr>
      <w:tr w14:paraId="271DD3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5"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14:paraId="5324A5FD">
            <w:pPr>
              <w:spacing w:line="440" w:lineRule="exact"/>
              <w:jc w:val="center"/>
              <w:rPr>
                <w:rFonts w:ascii="宋体" w:hAnsi="宋体" w:cs="宋体"/>
                <w:szCs w:val="21"/>
              </w:rPr>
            </w:pPr>
            <w:r>
              <w:rPr>
                <w:rFonts w:hint="eastAsia" w:ascii="宋体" w:hAnsi="宋体" w:cs="宋体"/>
                <w:szCs w:val="21"/>
              </w:rPr>
              <w:t>1</w:t>
            </w:r>
          </w:p>
        </w:tc>
        <w:tc>
          <w:tcPr>
            <w:tcW w:w="4245" w:type="dxa"/>
            <w:tcBorders>
              <w:top w:val="single" w:color="auto" w:sz="4" w:space="0"/>
              <w:left w:val="single" w:color="auto" w:sz="4" w:space="0"/>
              <w:bottom w:val="single" w:color="auto" w:sz="4" w:space="0"/>
              <w:right w:val="single" w:color="auto" w:sz="4" w:space="0"/>
            </w:tcBorders>
            <w:vAlign w:val="center"/>
          </w:tcPr>
          <w:p w14:paraId="6325F77A">
            <w:pPr>
              <w:spacing w:line="440" w:lineRule="exact"/>
              <w:jc w:val="center"/>
              <w:rPr>
                <w:rFonts w:ascii="宋体" w:hAnsi="宋体"/>
              </w:rPr>
            </w:pPr>
          </w:p>
        </w:tc>
        <w:tc>
          <w:tcPr>
            <w:tcW w:w="1095" w:type="dxa"/>
            <w:tcBorders>
              <w:top w:val="single" w:color="auto" w:sz="4" w:space="0"/>
              <w:left w:val="single" w:color="auto" w:sz="4" w:space="0"/>
              <w:bottom w:val="single" w:color="auto" w:sz="4" w:space="0"/>
              <w:right w:val="single" w:color="auto" w:sz="4" w:space="0"/>
            </w:tcBorders>
            <w:vAlign w:val="center"/>
          </w:tcPr>
          <w:p w14:paraId="2F500E34">
            <w:pPr>
              <w:spacing w:line="440" w:lineRule="exact"/>
              <w:jc w:val="center"/>
              <w:rPr>
                <w:rFonts w:ascii="宋体" w:hAnsi="宋体" w:cs="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4F6E20D9">
            <w:pPr>
              <w:spacing w:line="440" w:lineRule="exact"/>
              <w:jc w:val="center"/>
              <w:rPr>
                <w:rFonts w:ascii="宋体" w:hAnsi="宋体" w:cs="宋体"/>
                <w:szCs w:val="21"/>
              </w:rPr>
            </w:pPr>
          </w:p>
        </w:tc>
        <w:tc>
          <w:tcPr>
            <w:tcW w:w="1740" w:type="dxa"/>
            <w:tcBorders>
              <w:top w:val="single" w:color="auto" w:sz="4" w:space="0"/>
              <w:left w:val="single" w:color="auto" w:sz="4" w:space="0"/>
              <w:bottom w:val="single" w:color="auto" w:sz="4" w:space="0"/>
            </w:tcBorders>
            <w:vAlign w:val="center"/>
          </w:tcPr>
          <w:p w14:paraId="2C0CAD91">
            <w:pPr>
              <w:spacing w:line="440" w:lineRule="exact"/>
              <w:jc w:val="center"/>
              <w:rPr>
                <w:rFonts w:ascii="宋体" w:hAnsi="宋体"/>
                <w:b/>
                <w:bCs/>
              </w:rPr>
            </w:pPr>
          </w:p>
        </w:tc>
        <w:tc>
          <w:tcPr>
            <w:tcW w:w="1287" w:type="dxa"/>
            <w:tcBorders>
              <w:top w:val="single" w:color="auto" w:sz="4" w:space="0"/>
              <w:left w:val="single" w:color="auto" w:sz="4" w:space="0"/>
              <w:bottom w:val="single" w:color="auto" w:sz="4" w:space="0"/>
            </w:tcBorders>
          </w:tcPr>
          <w:p w14:paraId="4D024721">
            <w:pPr>
              <w:spacing w:line="440" w:lineRule="exact"/>
              <w:jc w:val="center"/>
              <w:rPr>
                <w:rFonts w:ascii="宋体" w:hAnsi="宋体"/>
                <w:b/>
                <w:bCs/>
              </w:rPr>
            </w:pPr>
          </w:p>
        </w:tc>
        <w:tc>
          <w:tcPr>
            <w:tcW w:w="1287" w:type="dxa"/>
            <w:tcBorders>
              <w:top w:val="single" w:color="auto" w:sz="4" w:space="0"/>
              <w:left w:val="single" w:color="auto" w:sz="4" w:space="0"/>
              <w:bottom w:val="single" w:color="auto" w:sz="4" w:space="0"/>
            </w:tcBorders>
          </w:tcPr>
          <w:p w14:paraId="2DEE5AA8">
            <w:pPr>
              <w:spacing w:line="440" w:lineRule="exact"/>
              <w:jc w:val="center"/>
              <w:rPr>
                <w:rFonts w:ascii="宋体" w:hAnsi="宋体"/>
                <w:b/>
                <w:bCs/>
              </w:rPr>
            </w:pPr>
          </w:p>
        </w:tc>
      </w:tr>
      <w:tr w14:paraId="2972F7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0"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14:paraId="71437EAA">
            <w:pPr>
              <w:spacing w:line="440" w:lineRule="exact"/>
              <w:jc w:val="center"/>
              <w:rPr>
                <w:rFonts w:hint="eastAsia" w:ascii="宋体" w:hAnsi="宋体" w:cs="宋体"/>
                <w:szCs w:val="21"/>
              </w:rPr>
            </w:pPr>
          </w:p>
        </w:tc>
        <w:tc>
          <w:tcPr>
            <w:tcW w:w="4245" w:type="dxa"/>
            <w:tcBorders>
              <w:top w:val="single" w:color="auto" w:sz="4" w:space="0"/>
              <w:left w:val="single" w:color="auto" w:sz="4" w:space="0"/>
              <w:bottom w:val="single" w:color="auto" w:sz="4" w:space="0"/>
              <w:right w:val="single" w:color="auto" w:sz="4" w:space="0"/>
            </w:tcBorders>
            <w:vAlign w:val="center"/>
          </w:tcPr>
          <w:p w14:paraId="20CC0DC0">
            <w:pPr>
              <w:spacing w:line="440" w:lineRule="exact"/>
              <w:jc w:val="center"/>
              <w:rPr>
                <w:rFonts w:ascii="宋体" w:hAnsi="宋体"/>
              </w:rPr>
            </w:pPr>
          </w:p>
        </w:tc>
        <w:tc>
          <w:tcPr>
            <w:tcW w:w="1095" w:type="dxa"/>
            <w:tcBorders>
              <w:top w:val="single" w:color="auto" w:sz="4" w:space="0"/>
              <w:left w:val="single" w:color="auto" w:sz="4" w:space="0"/>
              <w:bottom w:val="single" w:color="auto" w:sz="4" w:space="0"/>
              <w:right w:val="single" w:color="auto" w:sz="4" w:space="0"/>
            </w:tcBorders>
            <w:vAlign w:val="center"/>
          </w:tcPr>
          <w:p w14:paraId="60EEFFA1">
            <w:pPr>
              <w:spacing w:line="440" w:lineRule="exact"/>
              <w:jc w:val="center"/>
              <w:rPr>
                <w:rFonts w:ascii="宋体" w:hAnsi="宋体" w:cs="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68BC4681">
            <w:pPr>
              <w:spacing w:line="440" w:lineRule="exact"/>
              <w:jc w:val="center"/>
              <w:rPr>
                <w:rFonts w:ascii="宋体" w:hAnsi="宋体" w:cs="宋体"/>
                <w:szCs w:val="21"/>
              </w:rPr>
            </w:pPr>
          </w:p>
        </w:tc>
        <w:tc>
          <w:tcPr>
            <w:tcW w:w="1740" w:type="dxa"/>
            <w:tcBorders>
              <w:top w:val="single" w:color="auto" w:sz="4" w:space="0"/>
              <w:left w:val="single" w:color="auto" w:sz="4" w:space="0"/>
              <w:bottom w:val="single" w:color="auto" w:sz="4" w:space="0"/>
            </w:tcBorders>
            <w:vAlign w:val="center"/>
          </w:tcPr>
          <w:p w14:paraId="72A27AE6">
            <w:pPr>
              <w:spacing w:line="440" w:lineRule="exact"/>
              <w:jc w:val="center"/>
              <w:rPr>
                <w:rFonts w:ascii="宋体" w:hAnsi="宋体"/>
                <w:b/>
                <w:bCs/>
              </w:rPr>
            </w:pPr>
          </w:p>
        </w:tc>
        <w:tc>
          <w:tcPr>
            <w:tcW w:w="1287" w:type="dxa"/>
            <w:tcBorders>
              <w:top w:val="single" w:color="auto" w:sz="4" w:space="0"/>
              <w:left w:val="single" w:color="auto" w:sz="4" w:space="0"/>
              <w:bottom w:val="single" w:color="auto" w:sz="4" w:space="0"/>
            </w:tcBorders>
          </w:tcPr>
          <w:p w14:paraId="181E469E">
            <w:pPr>
              <w:spacing w:line="440" w:lineRule="exact"/>
              <w:jc w:val="center"/>
              <w:rPr>
                <w:rFonts w:ascii="宋体" w:hAnsi="宋体"/>
                <w:b/>
                <w:bCs/>
              </w:rPr>
            </w:pPr>
          </w:p>
        </w:tc>
        <w:tc>
          <w:tcPr>
            <w:tcW w:w="1287" w:type="dxa"/>
            <w:tcBorders>
              <w:top w:val="single" w:color="auto" w:sz="4" w:space="0"/>
              <w:left w:val="single" w:color="auto" w:sz="4" w:space="0"/>
              <w:bottom w:val="single" w:color="auto" w:sz="4" w:space="0"/>
            </w:tcBorders>
          </w:tcPr>
          <w:p w14:paraId="26054D9A">
            <w:pPr>
              <w:spacing w:line="440" w:lineRule="exact"/>
              <w:jc w:val="center"/>
              <w:rPr>
                <w:rFonts w:ascii="宋体" w:hAnsi="宋体"/>
                <w:b/>
                <w:bCs/>
              </w:rPr>
            </w:pPr>
          </w:p>
        </w:tc>
      </w:tr>
      <w:tr w14:paraId="674AF0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14:paraId="1A430D04">
            <w:pPr>
              <w:spacing w:line="440" w:lineRule="exact"/>
              <w:jc w:val="center"/>
              <w:rPr>
                <w:rFonts w:hint="eastAsia" w:ascii="宋体" w:hAnsi="宋体" w:eastAsia="宋体" w:cs="宋体"/>
                <w:szCs w:val="21"/>
                <w:lang w:eastAsia="zh-CN"/>
              </w:rPr>
            </w:pPr>
            <w:r>
              <w:rPr>
                <w:rFonts w:hint="eastAsia" w:ascii="微软雅黑" w:hAnsi="微软雅黑" w:eastAsia="微软雅黑" w:cs="微软雅黑"/>
                <w:szCs w:val="21"/>
                <w:lang w:eastAsia="zh-CN"/>
              </w:rPr>
              <w:t>……</w:t>
            </w:r>
          </w:p>
        </w:tc>
        <w:tc>
          <w:tcPr>
            <w:tcW w:w="4245" w:type="dxa"/>
            <w:tcBorders>
              <w:top w:val="single" w:color="auto" w:sz="4" w:space="0"/>
              <w:left w:val="single" w:color="auto" w:sz="4" w:space="0"/>
              <w:bottom w:val="single" w:color="auto" w:sz="4" w:space="0"/>
              <w:right w:val="single" w:color="auto" w:sz="4" w:space="0"/>
            </w:tcBorders>
            <w:vAlign w:val="center"/>
          </w:tcPr>
          <w:p w14:paraId="3597F7AD">
            <w:pPr>
              <w:spacing w:line="440" w:lineRule="exact"/>
              <w:jc w:val="center"/>
              <w:rPr>
                <w:rFonts w:ascii="宋体" w:hAnsi="宋体"/>
              </w:rPr>
            </w:pPr>
          </w:p>
        </w:tc>
        <w:tc>
          <w:tcPr>
            <w:tcW w:w="1095" w:type="dxa"/>
            <w:tcBorders>
              <w:top w:val="single" w:color="auto" w:sz="4" w:space="0"/>
              <w:left w:val="single" w:color="auto" w:sz="4" w:space="0"/>
              <w:bottom w:val="single" w:color="auto" w:sz="4" w:space="0"/>
              <w:right w:val="single" w:color="auto" w:sz="4" w:space="0"/>
            </w:tcBorders>
            <w:vAlign w:val="center"/>
          </w:tcPr>
          <w:p w14:paraId="251216CF">
            <w:pPr>
              <w:spacing w:line="440" w:lineRule="exact"/>
              <w:jc w:val="center"/>
              <w:rPr>
                <w:rFonts w:ascii="宋体" w:hAnsi="宋体" w:cs="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49D9C906">
            <w:pPr>
              <w:spacing w:line="440" w:lineRule="exact"/>
              <w:jc w:val="center"/>
              <w:rPr>
                <w:rFonts w:ascii="宋体" w:hAnsi="宋体" w:cs="宋体"/>
                <w:szCs w:val="21"/>
              </w:rPr>
            </w:pPr>
          </w:p>
        </w:tc>
        <w:tc>
          <w:tcPr>
            <w:tcW w:w="1740" w:type="dxa"/>
            <w:tcBorders>
              <w:top w:val="single" w:color="auto" w:sz="4" w:space="0"/>
              <w:left w:val="single" w:color="auto" w:sz="4" w:space="0"/>
              <w:bottom w:val="single" w:color="auto" w:sz="4" w:space="0"/>
            </w:tcBorders>
            <w:vAlign w:val="center"/>
          </w:tcPr>
          <w:p w14:paraId="5B5A3031">
            <w:pPr>
              <w:spacing w:line="440" w:lineRule="exact"/>
              <w:jc w:val="center"/>
              <w:rPr>
                <w:rFonts w:ascii="宋体" w:hAnsi="宋体"/>
                <w:b/>
                <w:bCs/>
              </w:rPr>
            </w:pPr>
          </w:p>
        </w:tc>
        <w:tc>
          <w:tcPr>
            <w:tcW w:w="1287" w:type="dxa"/>
            <w:tcBorders>
              <w:top w:val="single" w:color="auto" w:sz="4" w:space="0"/>
              <w:left w:val="single" w:color="auto" w:sz="4" w:space="0"/>
              <w:bottom w:val="single" w:color="auto" w:sz="4" w:space="0"/>
            </w:tcBorders>
          </w:tcPr>
          <w:p w14:paraId="7670C608">
            <w:pPr>
              <w:spacing w:line="440" w:lineRule="exact"/>
              <w:jc w:val="center"/>
              <w:rPr>
                <w:rFonts w:ascii="宋体" w:hAnsi="宋体"/>
                <w:b/>
                <w:bCs/>
              </w:rPr>
            </w:pPr>
          </w:p>
        </w:tc>
        <w:tc>
          <w:tcPr>
            <w:tcW w:w="1287" w:type="dxa"/>
            <w:tcBorders>
              <w:top w:val="single" w:color="auto" w:sz="4" w:space="0"/>
              <w:left w:val="single" w:color="auto" w:sz="4" w:space="0"/>
              <w:bottom w:val="single" w:color="auto" w:sz="4" w:space="0"/>
            </w:tcBorders>
          </w:tcPr>
          <w:p w14:paraId="71748686">
            <w:pPr>
              <w:spacing w:line="440" w:lineRule="exact"/>
              <w:jc w:val="center"/>
              <w:rPr>
                <w:rFonts w:ascii="宋体" w:hAnsi="宋体"/>
                <w:b/>
                <w:bCs/>
              </w:rPr>
            </w:pPr>
          </w:p>
        </w:tc>
      </w:tr>
      <w:tr w14:paraId="6D4E59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0" w:hRule="atLeast"/>
          <w:jc w:val="center"/>
        </w:trPr>
        <w:tc>
          <w:tcPr>
            <w:tcW w:w="11210" w:type="dxa"/>
            <w:gridSpan w:val="7"/>
            <w:tcBorders>
              <w:top w:val="single" w:color="auto" w:sz="4" w:space="0"/>
              <w:left w:val="single" w:color="auto" w:sz="4" w:space="0"/>
              <w:bottom w:val="single" w:color="auto" w:sz="4" w:space="0"/>
            </w:tcBorders>
            <w:vAlign w:val="center"/>
          </w:tcPr>
          <w:p w14:paraId="3FC97A9C">
            <w:pPr>
              <w:spacing w:line="440" w:lineRule="exact"/>
              <w:rPr>
                <w:rFonts w:hint="eastAsia" w:ascii="宋体" w:hAnsi="宋体"/>
                <w:spacing w:val="-6"/>
              </w:rPr>
            </w:pPr>
            <w:r>
              <w:rPr>
                <w:rFonts w:hint="eastAsia" w:ascii="宋体" w:hAnsi="宋体"/>
                <w:spacing w:val="-6"/>
              </w:rPr>
              <w:t>总</w:t>
            </w:r>
            <w:r>
              <w:rPr>
                <w:rFonts w:ascii="宋体" w:hAnsi="宋体"/>
                <w:spacing w:val="-6"/>
              </w:rPr>
              <w:t xml:space="preserve">报价（大写）：                </w:t>
            </w:r>
            <w:r>
              <w:rPr>
                <w:rFonts w:hint="eastAsia" w:ascii="宋体" w:hAnsi="宋体"/>
                <w:spacing w:val="-6"/>
              </w:rPr>
              <w:t xml:space="preserve">                          </w:t>
            </w:r>
            <w:r>
              <w:rPr>
                <w:rFonts w:ascii="宋体" w:hAnsi="宋体"/>
                <w:spacing w:val="-6"/>
              </w:rPr>
              <w:t xml:space="preserve">  </w:t>
            </w:r>
            <w:r>
              <w:rPr>
                <w:rFonts w:hint="eastAsia" w:ascii="宋体" w:hAnsi="宋体"/>
                <w:spacing w:val="-6"/>
              </w:rPr>
              <w:t>元</w:t>
            </w:r>
            <w:r>
              <w:rPr>
                <w:rFonts w:ascii="宋体" w:hAnsi="宋体"/>
                <w:spacing w:val="-6"/>
              </w:rPr>
              <w:t>（</w:t>
            </w:r>
            <w:r>
              <w:rPr>
                <w:rFonts w:hint="default" w:ascii="Arial" w:hAnsi="Arial" w:cs="Arial"/>
                <w:spacing w:val="-6"/>
              </w:rPr>
              <w:t>¥</w:t>
            </w:r>
            <w:r>
              <w:rPr>
                <w:rFonts w:ascii="宋体" w:hAnsi="宋体"/>
                <w:spacing w:val="-6"/>
              </w:rPr>
              <w:t xml:space="preserve">                      ）人民币</w:t>
            </w:r>
          </w:p>
        </w:tc>
      </w:tr>
      <w:tr w14:paraId="23ADCA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jc w:val="center"/>
        </w:trPr>
        <w:tc>
          <w:tcPr>
            <w:tcW w:w="11210" w:type="dxa"/>
            <w:gridSpan w:val="7"/>
            <w:tcBorders>
              <w:top w:val="single" w:color="auto" w:sz="4" w:space="0"/>
              <w:left w:val="single" w:color="auto" w:sz="4" w:space="0"/>
              <w:bottom w:val="single" w:color="auto" w:sz="4" w:space="0"/>
            </w:tcBorders>
            <w:vAlign w:val="center"/>
          </w:tcPr>
          <w:p w14:paraId="1ABDC333">
            <w:pPr>
              <w:spacing w:line="440" w:lineRule="exact"/>
              <w:rPr>
                <w:rFonts w:hint="eastAsia" w:ascii="宋体" w:hAnsi="宋体"/>
                <w:spacing w:val="-6"/>
              </w:rPr>
            </w:pPr>
            <w:r>
              <w:rPr>
                <w:rFonts w:hint="eastAsia" w:ascii="宋体" w:hAnsi="宋体"/>
                <w:spacing w:val="-6"/>
              </w:rPr>
              <w:t>交付使用期:</w:t>
            </w:r>
          </w:p>
        </w:tc>
      </w:tr>
      <w:tr w14:paraId="7D5997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jc w:val="center"/>
        </w:trPr>
        <w:tc>
          <w:tcPr>
            <w:tcW w:w="11210" w:type="dxa"/>
            <w:gridSpan w:val="7"/>
            <w:tcBorders>
              <w:top w:val="single" w:color="auto" w:sz="4" w:space="0"/>
              <w:left w:val="single" w:color="auto" w:sz="4" w:space="0"/>
              <w:bottom w:val="single" w:color="auto" w:sz="4" w:space="0"/>
            </w:tcBorders>
            <w:vAlign w:val="center"/>
          </w:tcPr>
          <w:p w14:paraId="01567DC8">
            <w:pPr>
              <w:spacing w:line="440" w:lineRule="exact"/>
              <w:rPr>
                <w:rFonts w:hint="eastAsia" w:ascii="宋体" w:hAnsi="宋体"/>
                <w:spacing w:val="-6"/>
              </w:rPr>
            </w:pPr>
            <w:r>
              <w:rPr>
                <w:rFonts w:hint="eastAsia" w:ascii="宋体" w:hAnsi="宋体"/>
                <w:spacing w:val="-6"/>
              </w:rPr>
              <w:t>免费维保期:</w:t>
            </w:r>
          </w:p>
        </w:tc>
      </w:tr>
      <w:tr w14:paraId="2CD6F5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jc w:val="center"/>
        </w:trPr>
        <w:tc>
          <w:tcPr>
            <w:tcW w:w="11210" w:type="dxa"/>
            <w:gridSpan w:val="7"/>
            <w:tcBorders>
              <w:top w:val="single" w:color="auto" w:sz="4" w:space="0"/>
              <w:left w:val="single" w:color="auto" w:sz="4" w:space="0"/>
              <w:bottom w:val="single" w:color="auto" w:sz="4" w:space="0"/>
            </w:tcBorders>
            <w:vAlign w:val="center"/>
          </w:tcPr>
          <w:p w14:paraId="36F0FE50">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spacing w:val="-6"/>
              </w:rPr>
            </w:pPr>
            <w:r>
              <w:rPr>
                <w:rFonts w:hint="eastAsia" w:ascii="宋体" w:hAnsi="宋体" w:cs="宋体"/>
                <w:kern w:val="0"/>
                <w:sz w:val="24"/>
              </w:rPr>
              <w:t>说明：本项目采用综合单价方式报价，综合单价应综合考虑完成本项目产生的所有成本、税金及合理利润，具体包含但不限于完成采购标的包含的所有人工费用、差旅费、交通费、故障诊断费、培训费、保险、税金、利润等所有成本费用。在合同实施时，采购人将不予支付完成本项目必须的但成交人没有列入的费用，并认为此费用已包括在报价中。</w:t>
            </w:r>
          </w:p>
        </w:tc>
      </w:tr>
    </w:tbl>
    <w:p w14:paraId="2C33053C">
      <w:pPr>
        <w:keepNext w:val="0"/>
        <w:keepLines w:val="0"/>
        <w:pageBreakBefore w:val="0"/>
        <w:widowControl w:val="0"/>
        <w:numPr>
          <w:ilvl w:val="255"/>
          <w:numId w:val="0"/>
        </w:numPr>
        <w:kinsoku/>
        <w:wordWrap/>
        <w:overflowPunct/>
        <w:topLinePunct w:val="0"/>
        <w:autoSpaceDE/>
        <w:autoSpaceDN/>
        <w:bidi w:val="0"/>
        <w:adjustRightInd/>
        <w:snapToGrid/>
        <w:spacing w:line="360" w:lineRule="exact"/>
        <w:ind w:firstLine="480" w:firstLineChars="200"/>
        <w:jc w:val="left"/>
        <w:textAlignment w:val="auto"/>
        <w:rPr>
          <w:rFonts w:ascii="宋体" w:hAnsi="宋体" w:cs="宋体"/>
          <w:sz w:val="24"/>
        </w:rPr>
      </w:pPr>
      <w:r>
        <w:rPr>
          <w:rFonts w:ascii="宋体" w:hAnsi="宋体" w:cs="宋体"/>
          <w:sz w:val="24"/>
        </w:rPr>
        <w:t>1.投标人必须就“</w:t>
      </w:r>
      <w:r>
        <w:rPr>
          <w:rFonts w:hint="eastAsia" w:ascii="宋体" w:hAnsi="宋体" w:cs="宋体"/>
          <w:sz w:val="24"/>
        </w:rPr>
        <w:t>项目需求和说明</w:t>
      </w:r>
      <w:r>
        <w:rPr>
          <w:rFonts w:ascii="宋体" w:hAnsi="宋体" w:cs="宋体"/>
          <w:sz w:val="24"/>
        </w:rPr>
        <w:t>”中的所有内容作完整唯一报价，否则，其投标文件按无效处理。</w:t>
      </w:r>
    </w:p>
    <w:p w14:paraId="3C5C9D79">
      <w:pPr>
        <w:keepNext w:val="0"/>
        <w:keepLines w:val="0"/>
        <w:pageBreakBefore w:val="0"/>
        <w:widowControl w:val="0"/>
        <w:kinsoku/>
        <w:wordWrap/>
        <w:overflowPunct/>
        <w:topLinePunct w:val="0"/>
        <w:autoSpaceDE/>
        <w:autoSpaceDN/>
        <w:bidi w:val="0"/>
        <w:adjustRightInd/>
        <w:snapToGrid/>
        <w:spacing w:line="360" w:lineRule="exact"/>
        <w:ind w:firstLine="420"/>
        <w:jc w:val="left"/>
        <w:textAlignment w:val="auto"/>
        <w:rPr>
          <w:rFonts w:ascii="宋体" w:hAnsi="宋体" w:cs="宋体"/>
          <w:sz w:val="24"/>
        </w:rPr>
      </w:pPr>
      <w:r>
        <w:rPr>
          <w:rFonts w:ascii="宋体" w:hAnsi="宋体" w:cs="宋体"/>
          <w:sz w:val="24"/>
        </w:rPr>
        <w:t>2.投标人应根据所提供的</w:t>
      </w:r>
      <w:r>
        <w:rPr>
          <w:rFonts w:hint="eastAsia" w:ascii="宋体" w:hAnsi="宋体" w:cs="宋体"/>
          <w:sz w:val="24"/>
        </w:rPr>
        <w:t>货物及</w:t>
      </w:r>
      <w:r>
        <w:rPr>
          <w:rFonts w:ascii="宋体" w:hAnsi="宋体" w:cs="宋体"/>
          <w:sz w:val="24"/>
        </w:rPr>
        <w:t>服务如实填写报价表的各项内容。</w:t>
      </w:r>
    </w:p>
    <w:p w14:paraId="4811FA28">
      <w:pPr>
        <w:keepNext w:val="0"/>
        <w:keepLines w:val="0"/>
        <w:pageBreakBefore w:val="0"/>
        <w:widowControl w:val="0"/>
        <w:kinsoku/>
        <w:wordWrap/>
        <w:overflowPunct/>
        <w:topLinePunct w:val="0"/>
        <w:autoSpaceDE/>
        <w:autoSpaceDN/>
        <w:bidi w:val="0"/>
        <w:adjustRightInd/>
        <w:snapToGrid/>
        <w:spacing w:line="360" w:lineRule="exact"/>
        <w:ind w:firstLine="420"/>
        <w:jc w:val="left"/>
        <w:textAlignment w:val="auto"/>
        <w:rPr>
          <w:rFonts w:hAnsi="宋体"/>
          <w:sz w:val="24"/>
        </w:rPr>
      </w:pPr>
      <w:r>
        <w:rPr>
          <w:rFonts w:ascii="宋体" w:hAnsi="宋体" w:cs="宋体"/>
          <w:sz w:val="24"/>
        </w:rPr>
        <w:t>3.报价表须由法定代表人、负责人或相应的委托代理人签字或盖章</w:t>
      </w:r>
      <w:r>
        <w:rPr>
          <w:rFonts w:hint="eastAsia" w:ascii="宋体" w:hAnsi="宋体" w:cs="宋体"/>
          <w:sz w:val="24"/>
        </w:rPr>
        <w:t>，</w:t>
      </w:r>
      <w:r>
        <w:rPr>
          <w:rFonts w:ascii="宋体" w:hAnsi="宋体" w:cs="宋体"/>
          <w:sz w:val="24"/>
        </w:rPr>
        <w:t>并加盖投标人公章。当本表由多页构成时，需逐页加盖投标人公章。</w:t>
      </w:r>
    </w:p>
    <w:p w14:paraId="74B6AA25">
      <w:pPr>
        <w:pStyle w:val="10"/>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Ansi="宋体"/>
          <w:sz w:val="24"/>
          <w:szCs w:val="24"/>
        </w:rPr>
      </w:pPr>
      <w:r>
        <w:rPr>
          <w:rFonts w:hint="eastAsia" w:hAnsi="宋体"/>
          <w:sz w:val="24"/>
          <w:szCs w:val="24"/>
        </w:rPr>
        <w:t>二、我方承诺已具备</w:t>
      </w:r>
      <w:r>
        <w:rPr>
          <w:rFonts w:hint="eastAsia" w:hAnsi="宋体" w:cs="宋体"/>
          <w:sz w:val="24"/>
          <w:szCs w:val="24"/>
        </w:rPr>
        <w:t>招标</w:t>
      </w:r>
      <w:r>
        <w:rPr>
          <w:rFonts w:hint="eastAsia" w:hAnsi="宋体"/>
          <w:sz w:val="24"/>
          <w:szCs w:val="24"/>
        </w:rPr>
        <w:t>文件规定的投标人资格条件。</w:t>
      </w:r>
    </w:p>
    <w:p w14:paraId="1EAA3093">
      <w:pPr>
        <w:pStyle w:val="6"/>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ascii="宋体" w:hAnsi="宋体" w:cs="宋体"/>
          <w:sz w:val="24"/>
        </w:rPr>
      </w:pPr>
      <w:r>
        <w:rPr>
          <w:rFonts w:hint="eastAsia"/>
          <w:sz w:val="24"/>
        </w:rPr>
        <w:t>三、</w:t>
      </w:r>
      <w:r>
        <w:rPr>
          <w:rFonts w:hint="eastAsia" w:ascii="宋体" w:hAnsi="宋体" w:cs="宋体"/>
          <w:sz w:val="24"/>
        </w:rPr>
        <w:t>我方已详细了解本项目，将自行承担因对本项目理解不正确或误解而产生的相应后果。</w:t>
      </w:r>
    </w:p>
    <w:p w14:paraId="021636DF">
      <w:pPr>
        <w:pStyle w:val="6"/>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ascii="宋体" w:hAnsi="宋体" w:cs="宋体"/>
          <w:sz w:val="24"/>
        </w:rPr>
      </w:pPr>
      <w:r>
        <w:rPr>
          <w:rFonts w:hint="eastAsia" w:ascii="宋体" w:hAnsi="宋体" w:cs="宋体"/>
          <w:sz w:val="24"/>
        </w:rPr>
        <w:t>与本项目有关的正式通讯地址为：</w:t>
      </w:r>
    </w:p>
    <w:p w14:paraId="2943B6B8">
      <w:pPr>
        <w:pStyle w:val="10"/>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Ansi="宋体" w:cs="宋体"/>
          <w:sz w:val="24"/>
          <w:szCs w:val="24"/>
        </w:rPr>
      </w:pPr>
      <w:r>
        <w:rPr>
          <w:rFonts w:hint="eastAsia" w:hAnsi="宋体" w:cs="宋体"/>
          <w:sz w:val="24"/>
          <w:szCs w:val="24"/>
        </w:rPr>
        <w:t>地址：</w:t>
      </w:r>
      <w:r>
        <w:rPr>
          <w:rFonts w:hAnsi="宋体" w:cs="宋体"/>
          <w:sz w:val="24"/>
          <w:szCs w:val="24"/>
        </w:rPr>
        <w:t xml:space="preserve">   </w:t>
      </w:r>
    </w:p>
    <w:p w14:paraId="25C5830B">
      <w:pPr>
        <w:pStyle w:val="10"/>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Ansi="宋体" w:cs="宋体"/>
          <w:sz w:val="24"/>
          <w:szCs w:val="24"/>
        </w:rPr>
      </w:pPr>
      <w:r>
        <w:rPr>
          <w:rFonts w:hint="eastAsia" w:hAnsi="宋体" w:cs="宋体"/>
          <w:sz w:val="24"/>
          <w:szCs w:val="24"/>
        </w:rPr>
        <w:t>邮编：</w:t>
      </w:r>
      <w:r>
        <w:rPr>
          <w:rFonts w:hAnsi="宋体" w:cs="宋体"/>
          <w:sz w:val="24"/>
          <w:szCs w:val="24"/>
        </w:rPr>
        <w:t xml:space="preserve">               </w:t>
      </w:r>
      <w:r>
        <w:rPr>
          <w:rFonts w:hint="eastAsia" w:hAnsi="宋体" w:cs="宋体"/>
          <w:sz w:val="24"/>
          <w:szCs w:val="24"/>
        </w:rPr>
        <w:t>邮箱：</w:t>
      </w:r>
    </w:p>
    <w:p w14:paraId="25411171">
      <w:pPr>
        <w:pStyle w:val="10"/>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Ansi="宋体" w:cs="宋体"/>
          <w:sz w:val="24"/>
          <w:szCs w:val="24"/>
          <w:u w:val="single"/>
        </w:rPr>
      </w:pPr>
      <w:r>
        <w:rPr>
          <w:rFonts w:hint="eastAsia" w:hAnsi="宋体" w:cs="宋体"/>
          <w:sz w:val="24"/>
          <w:szCs w:val="24"/>
        </w:rPr>
        <w:t>办公电话：</w:t>
      </w:r>
      <w:r>
        <w:rPr>
          <w:rFonts w:hAnsi="宋体" w:cs="宋体"/>
          <w:sz w:val="24"/>
          <w:szCs w:val="24"/>
        </w:rPr>
        <w:t xml:space="preserve">           </w:t>
      </w:r>
      <w:r>
        <w:rPr>
          <w:rFonts w:hint="eastAsia" w:hAnsi="宋体" w:cs="宋体"/>
          <w:sz w:val="24"/>
          <w:szCs w:val="24"/>
        </w:rPr>
        <w:t>传真：</w:t>
      </w:r>
    </w:p>
    <w:p w14:paraId="4C46EABA">
      <w:pPr>
        <w:pStyle w:val="10"/>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Ansi="宋体" w:cs="宋体"/>
          <w:sz w:val="24"/>
          <w:szCs w:val="24"/>
          <w:u w:val="single"/>
        </w:rPr>
      </w:pPr>
      <w:r>
        <w:rPr>
          <w:rFonts w:hint="eastAsia" w:hAnsi="宋体" w:cs="宋体"/>
          <w:sz w:val="24"/>
          <w:szCs w:val="24"/>
        </w:rPr>
        <w:t>委托代理人联系电话：</w:t>
      </w:r>
    </w:p>
    <w:p w14:paraId="57A7B0C5">
      <w:pPr>
        <w:pStyle w:val="10"/>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Ansi="宋体" w:cs="宋体"/>
          <w:sz w:val="24"/>
          <w:szCs w:val="24"/>
        </w:rPr>
      </w:pPr>
      <w:r>
        <w:rPr>
          <w:rFonts w:hint="eastAsia" w:hAnsi="宋体" w:cs="宋体"/>
          <w:sz w:val="24"/>
          <w:szCs w:val="24"/>
        </w:rPr>
        <w:t>投标人（公章）：</w:t>
      </w:r>
    </w:p>
    <w:p w14:paraId="57354F2E">
      <w:pPr>
        <w:pStyle w:val="10"/>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Ansi="宋体" w:cs="宋体"/>
          <w:sz w:val="24"/>
          <w:szCs w:val="24"/>
        </w:rPr>
      </w:pPr>
      <w:r>
        <w:rPr>
          <w:rFonts w:hint="eastAsia" w:hAnsi="宋体" w:cs="宋体"/>
          <w:sz w:val="24"/>
          <w:szCs w:val="24"/>
        </w:rPr>
        <w:t>法定代表人（负责人）或相应的委托代理人签字：</w:t>
      </w:r>
    </w:p>
    <w:p w14:paraId="26146FDC">
      <w:pPr>
        <w:pStyle w:val="10"/>
        <w:keepNext w:val="0"/>
        <w:keepLines w:val="0"/>
        <w:pageBreakBefore w:val="0"/>
        <w:widowControl w:val="0"/>
        <w:kinsoku/>
        <w:wordWrap/>
        <w:overflowPunct/>
        <w:topLinePunct w:val="0"/>
        <w:autoSpaceDE/>
        <w:autoSpaceDN/>
        <w:bidi w:val="0"/>
        <w:adjustRightInd/>
        <w:snapToGrid/>
        <w:spacing w:line="360" w:lineRule="exact"/>
        <w:ind w:firstLine="420"/>
        <w:jc w:val="left"/>
        <w:textAlignment w:val="auto"/>
        <w:rPr>
          <w:rFonts w:hAnsi="宋体" w:cs="宋体"/>
          <w:b/>
          <w:sz w:val="30"/>
          <w:szCs w:val="30"/>
        </w:rPr>
      </w:pPr>
      <w:r>
        <w:rPr>
          <w:rFonts w:hint="eastAsia" w:hAnsi="宋体" w:cs="宋体"/>
          <w:sz w:val="24"/>
          <w:szCs w:val="24"/>
        </w:rPr>
        <w:t xml:space="preserve">日期：             </w:t>
      </w:r>
      <w:r>
        <w:rPr>
          <w:rFonts w:hAnsi="宋体" w:cs="宋体"/>
          <w:sz w:val="24"/>
          <w:szCs w:val="24"/>
        </w:rPr>
        <w:br w:type="page"/>
      </w:r>
    </w:p>
    <w:p w14:paraId="79141805">
      <w:pPr>
        <w:pStyle w:val="10"/>
        <w:spacing w:line="400" w:lineRule="exact"/>
        <w:ind w:firstLine="590" w:firstLineChars="196"/>
        <w:jc w:val="center"/>
        <w:rPr>
          <w:rFonts w:hAnsi="宋体" w:cs="宋体"/>
          <w:b/>
          <w:sz w:val="30"/>
          <w:szCs w:val="30"/>
        </w:rPr>
      </w:pPr>
      <w:r>
        <w:rPr>
          <w:rFonts w:hint="eastAsia" w:hAnsi="宋体" w:cs="宋体"/>
          <w:b/>
          <w:sz w:val="30"/>
          <w:szCs w:val="30"/>
        </w:rPr>
        <w:t>法人授权委托书（格式）</w:t>
      </w:r>
    </w:p>
    <w:p w14:paraId="12EA7480">
      <w:pPr>
        <w:spacing w:line="400" w:lineRule="exact"/>
        <w:jc w:val="left"/>
        <w:rPr>
          <w:rFonts w:ascii="宋体" w:hAnsi="宋体" w:cs="宋体"/>
          <w:sz w:val="24"/>
        </w:rPr>
      </w:pPr>
    </w:p>
    <w:p w14:paraId="47840F91">
      <w:pPr>
        <w:spacing w:line="400" w:lineRule="exact"/>
        <w:jc w:val="left"/>
        <w:rPr>
          <w:rFonts w:ascii="宋体" w:hAnsi="宋体" w:cs="宋体"/>
          <w:sz w:val="24"/>
        </w:rPr>
      </w:pPr>
      <w:r>
        <w:rPr>
          <w:rFonts w:hint="eastAsia" w:ascii="宋体" w:hAnsi="宋体" w:cs="宋体"/>
          <w:sz w:val="24"/>
        </w:rPr>
        <w:t>致：</w:t>
      </w:r>
      <w:r>
        <w:rPr>
          <w:rFonts w:hint="eastAsia" w:ascii="宋体" w:hAnsi="宋体" w:cs="宋体"/>
          <w:sz w:val="24"/>
          <w:u w:val="single"/>
        </w:rPr>
        <w:t>桂林市人民医院</w:t>
      </w:r>
    </w:p>
    <w:p w14:paraId="305608F1">
      <w:pPr>
        <w:spacing w:line="400" w:lineRule="exact"/>
        <w:ind w:firstLine="420"/>
        <w:jc w:val="left"/>
        <w:rPr>
          <w:rFonts w:ascii="宋体" w:hAnsi="宋体" w:cs="宋体"/>
          <w:sz w:val="24"/>
        </w:rPr>
      </w:pPr>
      <w:r>
        <w:rPr>
          <w:rFonts w:hint="eastAsia" w:ascii="宋体" w:hAnsi="宋体" w:cs="宋体"/>
          <w:sz w:val="24"/>
        </w:rPr>
        <w:t>我（姓名）系（投标人名称）的法定代表人（负责人），现授权委托本单位在职职工（姓名）以我方名义参加</w:t>
      </w:r>
      <w:r>
        <w:rPr>
          <w:rFonts w:ascii="宋体" w:hAnsi="宋体" w:cs="宋体"/>
          <w:sz w:val="24"/>
          <w:u w:val="single"/>
        </w:rPr>
        <w:t xml:space="preserve">      （项目名称及项目编号）        </w:t>
      </w:r>
      <w:r>
        <w:rPr>
          <w:rFonts w:hint="eastAsia" w:ascii="宋体" w:hAnsi="宋体" w:cs="宋体"/>
          <w:sz w:val="24"/>
        </w:rPr>
        <w:t>项目的招标活动，并代表我方全权办理针对上述项目的具体事务和签署相关文件。</w:t>
      </w:r>
    </w:p>
    <w:p w14:paraId="6FA1C22A">
      <w:pPr>
        <w:spacing w:line="400" w:lineRule="exact"/>
        <w:ind w:firstLine="420"/>
        <w:jc w:val="left"/>
        <w:rPr>
          <w:rFonts w:ascii="宋体" w:hAnsi="宋体" w:cs="宋体"/>
          <w:sz w:val="24"/>
        </w:rPr>
      </w:pPr>
      <w:r>
        <w:rPr>
          <w:rFonts w:hint="eastAsia" w:ascii="宋体" w:hAnsi="宋体" w:cs="宋体"/>
          <w:sz w:val="24"/>
        </w:rPr>
        <w:t>我方对被授权人的签字事项负全部责任。</w:t>
      </w:r>
    </w:p>
    <w:p w14:paraId="2BA2C370">
      <w:pPr>
        <w:spacing w:line="400" w:lineRule="exact"/>
        <w:ind w:firstLine="420"/>
        <w:jc w:val="left"/>
        <w:rPr>
          <w:rFonts w:ascii="宋体" w:hAnsi="宋体" w:cs="宋体"/>
          <w:sz w:val="24"/>
          <w:u w:val="single"/>
        </w:rPr>
      </w:pPr>
      <w:r>
        <w:rPr>
          <w:rFonts w:hint="eastAsia" w:ascii="宋体" w:hAnsi="宋体" w:cs="宋体"/>
          <w:sz w:val="24"/>
        </w:rPr>
        <w:t>授权委托代理期限：从</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日起至</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日止。</w:t>
      </w:r>
    </w:p>
    <w:p w14:paraId="1E307509">
      <w:pPr>
        <w:spacing w:line="400" w:lineRule="exact"/>
        <w:jc w:val="left"/>
        <w:rPr>
          <w:rFonts w:ascii="宋体" w:hAnsi="宋体" w:cs="宋体"/>
          <w:sz w:val="24"/>
          <w:u w:val="single"/>
        </w:rPr>
      </w:pPr>
    </w:p>
    <w:p w14:paraId="44068979">
      <w:pPr>
        <w:spacing w:line="400" w:lineRule="exact"/>
        <w:ind w:firstLine="420"/>
        <w:jc w:val="left"/>
        <w:rPr>
          <w:rFonts w:ascii="宋体" w:hAnsi="宋体" w:cs="宋体"/>
          <w:sz w:val="24"/>
        </w:rPr>
      </w:pPr>
      <w:r>
        <w:rPr>
          <w:rFonts w:hint="eastAsia" w:ascii="宋体" w:hAnsi="宋体" w:cs="宋体"/>
          <w:sz w:val="24"/>
        </w:rPr>
        <w:t>代理人无转委托权</w:t>
      </w:r>
      <w:r>
        <w:rPr>
          <w:rFonts w:ascii="宋体" w:hAnsi="宋体" w:cs="宋体"/>
          <w:sz w:val="24"/>
        </w:rPr>
        <w:t xml:space="preserve">,特此委托。 </w:t>
      </w:r>
    </w:p>
    <w:p w14:paraId="49D4D16E">
      <w:pPr>
        <w:snapToGrid w:val="0"/>
        <w:spacing w:line="400" w:lineRule="exact"/>
        <w:ind w:firstLine="525"/>
        <w:jc w:val="left"/>
        <w:rPr>
          <w:rFonts w:ascii="宋体" w:hAnsi="宋体" w:cs="宋体"/>
          <w:sz w:val="24"/>
        </w:rPr>
      </w:pPr>
    </w:p>
    <w:p w14:paraId="04734713">
      <w:pPr>
        <w:snapToGrid w:val="0"/>
        <w:spacing w:line="400" w:lineRule="exact"/>
        <w:ind w:firstLine="420"/>
        <w:jc w:val="left"/>
        <w:rPr>
          <w:rFonts w:ascii="宋体" w:hAnsi="宋体" w:cs="宋体"/>
          <w:sz w:val="24"/>
        </w:rPr>
      </w:pPr>
      <w:r>
        <w:rPr>
          <w:rFonts w:hint="eastAsia" w:ascii="宋体" w:hAnsi="宋体" w:cs="宋体"/>
          <w:sz w:val="24"/>
        </w:rPr>
        <w:t>我已在下面签字，以资证明。</w:t>
      </w:r>
    </w:p>
    <w:p w14:paraId="557A5CC6">
      <w:pPr>
        <w:snapToGrid w:val="0"/>
        <w:spacing w:line="400" w:lineRule="exact"/>
        <w:ind w:firstLine="420"/>
        <w:jc w:val="left"/>
        <w:rPr>
          <w:rFonts w:ascii="宋体" w:hAnsi="宋体" w:cs="宋体"/>
          <w:sz w:val="24"/>
        </w:rPr>
      </w:pPr>
    </w:p>
    <w:p w14:paraId="5245EC99">
      <w:pPr>
        <w:snapToGrid w:val="0"/>
        <w:spacing w:line="400" w:lineRule="exact"/>
        <w:ind w:firstLine="420"/>
        <w:jc w:val="left"/>
        <w:rPr>
          <w:rFonts w:ascii="宋体" w:hAnsi="宋体" w:cs="宋体"/>
          <w:sz w:val="24"/>
        </w:rPr>
      </w:pPr>
    </w:p>
    <w:p w14:paraId="5F928D29">
      <w:pPr>
        <w:snapToGrid w:val="0"/>
        <w:spacing w:line="400" w:lineRule="exact"/>
        <w:ind w:firstLine="420"/>
        <w:jc w:val="left"/>
        <w:rPr>
          <w:rFonts w:ascii="宋体" w:hAnsi="宋体" w:cs="宋体"/>
          <w:sz w:val="24"/>
          <w:u w:val="single"/>
        </w:rPr>
      </w:pPr>
      <w:r>
        <w:rPr>
          <w:rFonts w:hint="eastAsia" w:ascii="宋体" w:hAnsi="宋体" w:cs="宋体"/>
          <w:sz w:val="24"/>
        </w:rPr>
        <w:t>投标人（公章）：</w:t>
      </w:r>
    </w:p>
    <w:p w14:paraId="143E4719">
      <w:pPr>
        <w:snapToGrid w:val="0"/>
        <w:spacing w:line="400" w:lineRule="exact"/>
        <w:ind w:firstLine="420"/>
        <w:jc w:val="left"/>
        <w:rPr>
          <w:rFonts w:ascii="宋体" w:hAnsi="宋体" w:cs="宋体"/>
          <w:sz w:val="24"/>
        </w:rPr>
      </w:pPr>
    </w:p>
    <w:p w14:paraId="343A3E75">
      <w:pPr>
        <w:snapToGrid w:val="0"/>
        <w:spacing w:line="400" w:lineRule="exact"/>
        <w:ind w:firstLine="420"/>
        <w:jc w:val="left"/>
        <w:rPr>
          <w:rFonts w:ascii="宋体" w:hAnsi="宋体" w:cs="宋体"/>
          <w:sz w:val="24"/>
        </w:rPr>
      </w:pPr>
      <w:r>
        <w:rPr>
          <w:rFonts w:hint="eastAsia" w:ascii="宋体" w:hAnsi="宋体" w:cs="宋体"/>
          <w:sz w:val="24"/>
        </w:rPr>
        <w:t>法定代表人（负责人）签字或盖章：</w:t>
      </w:r>
      <w:r>
        <w:rPr>
          <w:rFonts w:ascii="宋体" w:hAnsi="宋体" w:cs="宋体"/>
          <w:sz w:val="24"/>
        </w:rPr>
        <w:t xml:space="preserve">  </w:t>
      </w:r>
    </w:p>
    <w:p w14:paraId="397AE712">
      <w:pPr>
        <w:snapToGrid w:val="0"/>
        <w:spacing w:line="400" w:lineRule="exact"/>
        <w:ind w:firstLine="720" w:firstLineChars="300"/>
        <w:jc w:val="left"/>
        <w:rPr>
          <w:rFonts w:ascii="宋体" w:hAnsi="宋体" w:cs="宋体"/>
          <w:sz w:val="24"/>
        </w:rPr>
      </w:pPr>
    </w:p>
    <w:p w14:paraId="3AFF6BD7">
      <w:pPr>
        <w:snapToGrid w:val="0"/>
        <w:spacing w:line="400" w:lineRule="exact"/>
        <w:ind w:firstLine="480" w:firstLineChars="200"/>
        <w:jc w:val="left"/>
        <w:rPr>
          <w:rFonts w:ascii="宋体" w:hAnsi="宋体" w:cs="宋体"/>
          <w:sz w:val="24"/>
        </w:rPr>
      </w:pP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14:paraId="73D8E9D3">
      <w:pPr>
        <w:spacing w:line="400" w:lineRule="exact"/>
        <w:rPr>
          <w:rFonts w:ascii="宋体" w:hAnsi="宋体" w:cs="宋体"/>
          <w:b/>
          <w:sz w:val="30"/>
          <w:szCs w:val="30"/>
        </w:rPr>
      </w:pPr>
      <w:r>
        <w:rPr>
          <w:rFonts w:hint="eastAsia" w:ascii="宋体" w:hAnsi="宋体" w:cs="宋体"/>
          <w:b/>
          <w:bCs/>
          <w:sz w:val="24"/>
        </w:rPr>
        <w:br w:type="page"/>
      </w:r>
    </w:p>
    <w:p w14:paraId="074CAFDC">
      <w:pPr>
        <w:spacing w:line="400" w:lineRule="exact"/>
        <w:jc w:val="center"/>
        <w:rPr>
          <w:rFonts w:hint="eastAsia" w:ascii="宋体" w:hAnsi="宋体" w:cs="宋体"/>
          <w:b/>
          <w:kern w:val="0"/>
          <w:sz w:val="32"/>
          <w:szCs w:val="32"/>
        </w:rPr>
      </w:pPr>
      <w:r>
        <w:rPr>
          <w:rFonts w:hint="eastAsia" w:ascii="宋体" w:hAnsi="宋体" w:cs="宋体"/>
          <w:b/>
          <w:kern w:val="0"/>
          <w:sz w:val="32"/>
          <w:szCs w:val="32"/>
        </w:rPr>
        <w:t>投标人参加政府采购活动前3年内在经营活动中没有重大违法记录的书面声明（格式）</w:t>
      </w:r>
    </w:p>
    <w:p w14:paraId="24033722">
      <w:pPr>
        <w:snapToGrid w:val="0"/>
        <w:spacing w:line="400" w:lineRule="exact"/>
        <w:rPr>
          <w:rFonts w:hint="eastAsia" w:ascii="宋体" w:hAnsi="宋体" w:cs="宋体"/>
          <w:kern w:val="0"/>
        </w:rPr>
      </w:pPr>
      <w:r>
        <w:rPr>
          <w:rFonts w:hint="eastAsia" w:ascii="宋体" w:hAnsi="宋体" w:cs="宋体"/>
          <w:b/>
          <w:kern w:val="0"/>
          <w:szCs w:val="21"/>
        </w:rPr>
        <w:t>致</w:t>
      </w:r>
      <w:r>
        <w:rPr>
          <w:rFonts w:hint="eastAsia" w:ascii="宋体" w:hAnsi="宋体" w:cs="宋体"/>
          <w:kern w:val="0"/>
          <w:szCs w:val="21"/>
        </w:rPr>
        <w:t>：桂林市人民医院</w:t>
      </w:r>
    </w:p>
    <w:p w14:paraId="2A66CD46">
      <w:pPr>
        <w:rPr>
          <w:rFonts w:hint="eastAsia" w:ascii="宋体" w:hAnsi="宋体" w:cs="宋体"/>
          <w:kern w:val="0"/>
        </w:rPr>
      </w:pPr>
    </w:p>
    <w:p w14:paraId="44DDB991">
      <w:pPr>
        <w:spacing w:line="400" w:lineRule="exact"/>
        <w:ind w:firstLine="420" w:firstLineChars="200"/>
        <w:rPr>
          <w:rFonts w:hint="eastAsia" w:ascii="宋体" w:hAnsi="宋体" w:cs="宋体"/>
          <w:kern w:val="0"/>
          <w:szCs w:val="20"/>
        </w:rPr>
      </w:pPr>
      <w:r>
        <w:rPr>
          <w:rFonts w:hint="eastAsia" w:ascii="宋体" w:hAnsi="宋体" w:cs="宋体"/>
          <w:kern w:val="0"/>
          <w:szCs w:val="20"/>
        </w:rPr>
        <w:t>我（公司）郑重声明，在参加本项目采购活动前3年内在经营活动中没有重大违法记录（重大违法记录是指投标人因违法经营受到刑事处罚或者责令停产停业、吊销许可证或者执照、较大数额罚款等行政处罚），未被列入失信被执行人、</w:t>
      </w:r>
      <w:r>
        <w:rPr>
          <w:rFonts w:hint="eastAsia" w:ascii="宋体" w:hAnsi="宋体" w:cs="宋体"/>
          <w:szCs w:val="21"/>
        </w:rPr>
        <w:t>重大税收违法失信主体</w:t>
      </w:r>
      <w:r>
        <w:rPr>
          <w:rFonts w:hint="eastAsia" w:ascii="宋体" w:hAnsi="宋体" w:cs="宋体"/>
          <w:kern w:val="0"/>
          <w:szCs w:val="20"/>
        </w:rPr>
        <w:t>，完全符合本项目招标文件规定的投标人资格条件，我方对此声明负全部法律责任。</w:t>
      </w:r>
    </w:p>
    <w:p w14:paraId="0924BFED">
      <w:pPr>
        <w:snapToGrid w:val="0"/>
        <w:spacing w:before="50" w:after="156" w:afterLines="50" w:line="360" w:lineRule="auto"/>
        <w:jc w:val="left"/>
        <w:rPr>
          <w:rFonts w:hint="eastAsia" w:ascii="宋体" w:hAnsi="宋体"/>
          <w:sz w:val="24"/>
        </w:rPr>
      </w:pPr>
    </w:p>
    <w:p w14:paraId="61E3AF2D">
      <w:pPr>
        <w:snapToGrid w:val="0"/>
        <w:spacing w:before="156" w:beforeLines="50"/>
        <w:ind w:left="4620" w:leftChars="2200" w:right="480"/>
        <w:rPr>
          <w:rFonts w:ascii="宋体" w:hAnsi="宋体"/>
          <w:szCs w:val="21"/>
          <w:u w:val="single"/>
        </w:rPr>
      </w:pPr>
      <w:r>
        <w:rPr>
          <w:rFonts w:hint="eastAsia" w:ascii="宋体" w:hAnsi="宋体"/>
          <w:sz w:val="24"/>
        </w:rPr>
        <w:t xml:space="preserve">                                         </w:t>
      </w:r>
      <w:r>
        <w:rPr>
          <w:rFonts w:hint="eastAsia"/>
        </w:rPr>
        <w:t>法定代表人签名</w:t>
      </w:r>
      <w:r>
        <w:rPr>
          <w:rFonts w:hint="eastAsia" w:ascii="宋体" w:hAnsi="宋体"/>
          <w:szCs w:val="21"/>
        </w:rPr>
        <w:t>：</w:t>
      </w:r>
      <w:r>
        <w:rPr>
          <w:rFonts w:hint="eastAsia" w:ascii="宋体" w:hAnsi="宋体"/>
          <w:szCs w:val="21"/>
          <w:u w:val="single"/>
        </w:rPr>
        <w:t xml:space="preserve">             </w:t>
      </w:r>
    </w:p>
    <w:p w14:paraId="76C44782">
      <w:pPr>
        <w:snapToGrid w:val="0"/>
        <w:spacing w:before="156" w:beforeLines="50"/>
        <w:ind w:left="3570" w:leftChars="1700" w:right="480" w:firstLine="1050" w:firstLineChars="500"/>
      </w:pPr>
      <w:r>
        <w:rPr>
          <w:rFonts w:hint="eastAsia"/>
        </w:rPr>
        <w:t>投标人（盖公章）：</w:t>
      </w:r>
      <w:r>
        <w:rPr>
          <w:rFonts w:hint="eastAsia"/>
          <w:u w:val="single"/>
        </w:rPr>
        <w:t xml:space="preserve">                 </w:t>
      </w:r>
    </w:p>
    <w:p w14:paraId="62F83139">
      <w:pPr>
        <w:snapToGrid w:val="0"/>
        <w:spacing w:before="156" w:beforeLines="50" w:after="50"/>
        <w:ind w:right="900" w:firstLine="4725" w:firstLineChars="2250"/>
        <w:rPr>
          <w:rFonts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0A73E0E">
      <w:pPr>
        <w:spacing w:line="400" w:lineRule="exact"/>
        <w:jc w:val="center"/>
        <w:rPr>
          <w:rFonts w:hint="eastAsia" w:ascii="宋体" w:hAnsi="宋体" w:cs="宋体"/>
          <w:b/>
          <w:sz w:val="30"/>
          <w:szCs w:val="30"/>
        </w:rPr>
      </w:pPr>
    </w:p>
    <w:p w14:paraId="2CCCFD97">
      <w:pPr>
        <w:spacing w:line="400" w:lineRule="exact"/>
        <w:jc w:val="center"/>
        <w:rPr>
          <w:rFonts w:hint="eastAsia" w:ascii="宋体" w:hAnsi="宋体" w:cs="宋体"/>
          <w:b/>
          <w:sz w:val="30"/>
          <w:szCs w:val="30"/>
        </w:rPr>
      </w:pPr>
    </w:p>
    <w:p w14:paraId="184E4E5C">
      <w:pPr>
        <w:spacing w:line="400" w:lineRule="exact"/>
        <w:jc w:val="center"/>
        <w:rPr>
          <w:rFonts w:hint="eastAsia" w:ascii="宋体" w:hAnsi="宋体" w:cs="宋体"/>
          <w:b/>
          <w:sz w:val="30"/>
          <w:szCs w:val="30"/>
        </w:rPr>
      </w:pPr>
    </w:p>
    <w:p w14:paraId="77005DF3">
      <w:pPr>
        <w:spacing w:line="400" w:lineRule="exact"/>
        <w:jc w:val="center"/>
        <w:rPr>
          <w:rFonts w:hint="eastAsia" w:ascii="宋体" w:hAnsi="宋体" w:cs="宋体"/>
          <w:b/>
          <w:sz w:val="30"/>
          <w:szCs w:val="30"/>
        </w:rPr>
      </w:pPr>
    </w:p>
    <w:p w14:paraId="7BE86161">
      <w:pPr>
        <w:spacing w:line="400" w:lineRule="exact"/>
        <w:jc w:val="center"/>
        <w:rPr>
          <w:rFonts w:hint="eastAsia" w:ascii="宋体" w:hAnsi="宋体" w:cs="宋体"/>
          <w:b/>
          <w:sz w:val="30"/>
          <w:szCs w:val="30"/>
        </w:rPr>
      </w:pPr>
    </w:p>
    <w:p w14:paraId="22F805AC">
      <w:pPr>
        <w:spacing w:line="400" w:lineRule="exact"/>
        <w:jc w:val="center"/>
        <w:rPr>
          <w:rFonts w:hint="eastAsia" w:ascii="宋体" w:hAnsi="宋体" w:cs="宋体"/>
          <w:b/>
          <w:sz w:val="30"/>
          <w:szCs w:val="30"/>
        </w:rPr>
      </w:pPr>
    </w:p>
    <w:p w14:paraId="477398D1">
      <w:pPr>
        <w:spacing w:line="400" w:lineRule="exact"/>
        <w:jc w:val="center"/>
        <w:rPr>
          <w:rFonts w:hint="eastAsia" w:ascii="宋体" w:hAnsi="宋体" w:cs="宋体"/>
          <w:b/>
          <w:sz w:val="30"/>
          <w:szCs w:val="30"/>
        </w:rPr>
      </w:pPr>
    </w:p>
    <w:p w14:paraId="6922D3F5">
      <w:pPr>
        <w:spacing w:line="400" w:lineRule="exact"/>
        <w:jc w:val="center"/>
        <w:rPr>
          <w:rFonts w:hint="eastAsia" w:ascii="宋体" w:hAnsi="宋体" w:cs="宋体"/>
          <w:b/>
          <w:sz w:val="30"/>
          <w:szCs w:val="30"/>
        </w:rPr>
      </w:pPr>
    </w:p>
    <w:p w14:paraId="6A4F46A1">
      <w:pPr>
        <w:spacing w:line="400" w:lineRule="exact"/>
        <w:jc w:val="center"/>
        <w:rPr>
          <w:rFonts w:hint="eastAsia" w:ascii="宋体" w:hAnsi="宋体" w:cs="宋体"/>
          <w:b/>
          <w:sz w:val="30"/>
          <w:szCs w:val="30"/>
        </w:rPr>
      </w:pPr>
    </w:p>
    <w:p w14:paraId="494367D5">
      <w:pPr>
        <w:spacing w:line="400" w:lineRule="exact"/>
        <w:jc w:val="center"/>
        <w:rPr>
          <w:rFonts w:hint="eastAsia" w:ascii="宋体" w:hAnsi="宋体" w:cs="宋体"/>
          <w:b/>
          <w:sz w:val="30"/>
          <w:szCs w:val="30"/>
        </w:rPr>
      </w:pPr>
    </w:p>
    <w:p w14:paraId="529EB287">
      <w:pPr>
        <w:spacing w:line="400" w:lineRule="exact"/>
        <w:jc w:val="center"/>
        <w:rPr>
          <w:rFonts w:hint="eastAsia" w:ascii="宋体" w:hAnsi="宋体" w:cs="宋体"/>
          <w:b/>
          <w:sz w:val="30"/>
          <w:szCs w:val="30"/>
        </w:rPr>
      </w:pPr>
    </w:p>
    <w:p w14:paraId="4418E015">
      <w:pPr>
        <w:spacing w:line="400" w:lineRule="exact"/>
        <w:jc w:val="center"/>
        <w:rPr>
          <w:rFonts w:hint="eastAsia" w:ascii="宋体" w:hAnsi="宋体" w:cs="宋体"/>
          <w:b/>
          <w:sz w:val="30"/>
          <w:szCs w:val="30"/>
        </w:rPr>
      </w:pPr>
    </w:p>
    <w:p w14:paraId="770025C8">
      <w:pPr>
        <w:spacing w:line="400" w:lineRule="exact"/>
        <w:jc w:val="center"/>
        <w:rPr>
          <w:rFonts w:hint="eastAsia" w:ascii="宋体" w:hAnsi="宋体" w:cs="宋体"/>
          <w:b/>
          <w:sz w:val="30"/>
          <w:szCs w:val="30"/>
        </w:rPr>
      </w:pPr>
    </w:p>
    <w:p w14:paraId="023F8F93">
      <w:pPr>
        <w:spacing w:line="400" w:lineRule="exact"/>
        <w:jc w:val="center"/>
        <w:rPr>
          <w:rFonts w:hint="eastAsia" w:ascii="宋体" w:hAnsi="宋体" w:cs="宋体"/>
          <w:b/>
          <w:sz w:val="30"/>
          <w:szCs w:val="30"/>
        </w:rPr>
      </w:pPr>
    </w:p>
    <w:p w14:paraId="6DB7797B">
      <w:pPr>
        <w:spacing w:line="400" w:lineRule="exact"/>
        <w:jc w:val="center"/>
        <w:rPr>
          <w:rFonts w:hint="eastAsia" w:ascii="宋体" w:hAnsi="宋体" w:cs="宋体"/>
          <w:b/>
          <w:sz w:val="30"/>
          <w:szCs w:val="30"/>
        </w:rPr>
      </w:pPr>
    </w:p>
    <w:p w14:paraId="3308E793">
      <w:pPr>
        <w:spacing w:line="400" w:lineRule="exact"/>
        <w:jc w:val="center"/>
        <w:rPr>
          <w:rFonts w:hint="eastAsia" w:ascii="宋体" w:hAnsi="宋体" w:cs="宋体"/>
          <w:b/>
          <w:sz w:val="30"/>
          <w:szCs w:val="30"/>
        </w:rPr>
      </w:pPr>
    </w:p>
    <w:p w14:paraId="7BC9FDBF">
      <w:pPr>
        <w:spacing w:line="400" w:lineRule="exact"/>
        <w:jc w:val="center"/>
        <w:rPr>
          <w:rFonts w:hint="eastAsia" w:ascii="宋体" w:hAnsi="宋体" w:cs="宋体"/>
          <w:b/>
          <w:sz w:val="30"/>
          <w:szCs w:val="30"/>
        </w:rPr>
      </w:pPr>
    </w:p>
    <w:p w14:paraId="28B7B028">
      <w:pPr>
        <w:spacing w:line="400" w:lineRule="exact"/>
        <w:jc w:val="center"/>
        <w:rPr>
          <w:rFonts w:hint="eastAsia" w:ascii="宋体" w:hAnsi="宋体" w:cs="宋体"/>
          <w:b/>
          <w:sz w:val="30"/>
          <w:szCs w:val="30"/>
        </w:rPr>
      </w:pPr>
    </w:p>
    <w:p w14:paraId="31DC5B78">
      <w:pPr>
        <w:spacing w:line="400" w:lineRule="exact"/>
        <w:jc w:val="center"/>
        <w:rPr>
          <w:rFonts w:hint="eastAsia" w:ascii="宋体" w:hAnsi="宋体" w:cs="宋体"/>
          <w:b/>
          <w:sz w:val="30"/>
          <w:szCs w:val="30"/>
        </w:rPr>
      </w:pPr>
    </w:p>
    <w:p w14:paraId="7A0F4CB2">
      <w:pPr>
        <w:spacing w:line="400" w:lineRule="exact"/>
        <w:jc w:val="center"/>
        <w:rPr>
          <w:rFonts w:hint="eastAsia" w:ascii="宋体" w:hAnsi="宋体" w:cs="宋体"/>
          <w:b/>
          <w:sz w:val="30"/>
          <w:szCs w:val="30"/>
        </w:rPr>
      </w:pPr>
    </w:p>
    <w:p w14:paraId="57C3B820">
      <w:pPr>
        <w:spacing w:line="400" w:lineRule="exact"/>
        <w:jc w:val="center"/>
        <w:rPr>
          <w:rFonts w:hint="eastAsia" w:ascii="宋体" w:hAnsi="宋体" w:cs="宋体"/>
          <w:b/>
          <w:sz w:val="30"/>
          <w:szCs w:val="30"/>
        </w:rPr>
      </w:pPr>
    </w:p>
    <w:p w14:paraId="65401B6E">
      <w:pPr>
        <w:spacing w:line="400" w:lineRule="exact"/>
        <w:jc w:val="center"/>
        <w:rPr>
          <w:rFonts w:hint="eastAsia" w:ascii="宋体" w:hAnsi="宋体" w:cs="宋体"/>
          <w:b/>
          <w:sz w:val="30"/>
          <w:szCs w:val="30"/>
        </w:rPr>
      </w:pPr>
    </w:p>
    <w:p w14:paraId="638F31DF">
      <w:pPr>
        <w:spacing w:line="400" w:lineRule="exact"/>
        <w:jc w:val="center"/>
        <w:rPr>
          <w:rFonts w:ascii="宋体" w:hAnsi="宋体" w:cs="宋体"/>
          <w:b/>
          <w:sz w:val="30"/>
          <w:szCs w:val="30"/>
        </w:rPr>
      </w:pPr>
      <w:r>
        <w:rPr>
          <w:rFonts w:hint="eastAsia" w:ascii="宋体" w:hAnsi="宋体" w:cs="宋体"/>
          <w:b/>
          <w:sz w:val="30"/>
          <w:szCs w:val="30"/>
        </w:rPr>
        <w:t>技术需求响应表</w:t>
      </w:r>
    </w:p>
    <w:p w14:paraId="07791959">
      <w:pPr>
        <w:spacing w:line="400" w:lineRule="exact"/>
        <w:rPr>
          <w:rFonts w:ascii="宋体" w:hAnsi="宋体" w:cs="宋体"/>
          <w:sz w:val="24"/>
        </w:rPr>
      </w:pPr>
    </w:p>
    <w:p w14:paraId="4BCE1CEF">
      <w:pPr>
        <w:spacing w:line="400" w:lineRule="exact"/>
        <w:rPr>
          <w:rFonts w:ascii="宋体" w:hAnsi="宋体" w:cs="宋体"/>
          <w:sz w:val="24"/>
          <w:u w:val="single"/>
        </w:rPr>
      </w:pPr>
      <w:r>
        <w:rPr>
          <w:rFonts w:hint="eastAsia" w:ascii="宋体" w:hAnsi="宋体" w:cs="宋体"/>
          <w:sz w:val="24"/>
        </w:rPr>
        <w:t>采购项目名称:</w:t>
      </w:r>
      <w:r>
        <w:rPr>
          <w:rFonts w:hint="eastAsia" w:ascii="宋体" w:hAnsi="宋体" w:cs="宋体"/>
          <w:sz w:val="24"/>
          <w:u w:val="single"/>
        </w:rPr>
        <w:t xml:space="preserve">               </w:t>
      </w:r>
    </w:p>
    <w:p w14:paraId="3D38E01B">
      <w:pPr>
        <w:spacing w:line="400" w:lineRule="exact"/>
        <w:rPr>
          <w:rFonts w:hAnsi="宋体" w:cs="宋体"/>
          <w:sz w:val="24"/>
          <w:u w:val="single"/>
        </w:rPr>
      </w:pPr>
      <w:r>
        <w:rPr>
          <w:rFonts w:hint="eastAsia" w:hAnsi="宋体" w:cs="宋体"/>
          <w:sz w:val="24"/>
        </w:rPr>
        <w:t>采购项目编号</w:t>
      </w:r>
      <w:r>
        <w:rPr>
          <w:rFonts w:hint="eastAsia" w:ascii="宋体" w:hAnsi="宋体" w:cs="宋体"/>
          <w:sz w:val="24"/>
        </w:rPr>
        <w:t>:</w:t>
      </w:r>
      <w:r>
        <w:rPr>
          <w:rFonts w:hint="eastAsia" w:hAnsi="宋体" w:cs="宋体"/>
          <w:sz w:val="24"/>
          <w:u w:val="single"/>
        </w:rPr>
        <w:t xml:space="preserve">               </w:t>
      </w:r>
    </w:p>
    <w:tbl>
      <w:tblPr>
        <w:tblStyle w:val="19"/>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779"/>
        <w:gridCol w:w="3874"/>
        <w:gridCol w:w="2400"/>
        <w:gridCol w:w="1083"/>
      </w:tblGrid>
      <w:tr w14:paraId="67559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780" w:type="dxa"/>
            <w:vAlign w:val="center"/>
          </w:tcPr>
          <w:p w14:paraId="49FA3922">
            <w:pPr>
              <w:widowControl/>
              <w:spacing w:line="400" w:lineRule="exact"/>
              <w:jc w:val="center"/>
              <w:rPr>
                <w:rFonts w:asciiTheme="minorEastAsia" w:hAnsiTheme="minorEastAsia" w:eastAsiaTheme="minorEastAsia" w:cstheme="minorEastAsia"/>
                <w:b/>
                <w:bCs/>
                <w:spacing w:val="1"/>
                <w:sz w:val="24"/>
              </w:rPr>
            </w:pPr>
            <w:r>
              <w:rPr>
                <w:rFonts w:hint="eastAsia" w:ascii="宋体" w:hAnsi="宋体" w:cs="宋体"/>
                <w:b/>
                <w:bCs/>
                <w:kern w:val="0"/>
                <w:sz w:val="24"/>
              </w:rPr>
              <w:t>序号</w:t>
            </w:r>
          </w:p>
        </w:tc>
        <w:tc>
          <w:tcPr>
            <w:tcW w:w="1779" w:type="dxa"/>
            <w:vAlign w:val="center"/>
          </w:tcPr>
          <w:p w14:paraId="1F6EB894">
            <w:pPr>
              <w:widowControl/>
              <w:spacing w:line="400" w:lineRule="exact"/>
              <w:jc w:val="center"/>
              <w:rPr>
                <w:rFonts w:asciiTheme="minorEastAsia" w:hAnsiTheme="minorEastAsia" w:eastAsiaTheme="minorEastAsia" w:cstheme="minorEastAsia"/>
                <w:b/>
                <w:bCs/>
                <w:spacing w:val="1"/>
                <w:sz w:val="24"/>
              </w:rPr>
            </w:pPr>
            <w:r>
              <w:rPr>
                <w:rFonts w:hint="eastAsia" w:ascii="宋体" w:hAnsi="宋体" w:cs="宋体"/>
                <w:b/>
                <w:bCs/>
                <w:kern w:val="0"/>
                <w:sz w:val="24"/>
              </w:rPr>
              <w:t>功能需求</w:t>
            </w:r>
          </w:p>
        </w:tc>
        <w:tc>
          <w:tcPr>
            <w:tcW w:w="3874" w:type="dxa"/>
            <w:vAlign w:val="center"/>
          </w:tcPr>
          <w:p w14:paraId="75ABB677">
            <w:pPr>
              <w:widowControl/>
              <w:spacing w:line="400" w:lineRule="exact"/>
              <w:jc w:val="center"/>
              <w:rPr>
                <w:rFonts w:asciiTheme="minorEastAsia" w:hAnsiTheme="minorEastAsia" w:eastAsiaTheme="minorEastAsia" w:cstheme="minorEastAsia"/>
                <w:b/>
                <w:bCs/>
                <w:spacing w:val="1"/>
                <w:sz w:val="24"/>
              </w:rPr>
            </w:pPr>
            <w:r>
              <w:rPr>
                <w:rFonts w:hint="eastAsia" w:asciiTheme="minorEastAsia" w:hAnsiTheme="minorEastAsia" w:eastAsiaTheme="minorEastAsia" w:cstheme="minorEastAsia"/>
                <w:b/>
                <w:bCs/>
                <w:spacing w:val="1"/>
                <w:sz w:val="24"/>
              </w:rPr>
              <w:t>需求内容</w:t>
            </w:r>
          </w:p>
        </w:tc>
        <w:tc>
          <w:tcPr>
            <w:tcW w:w="2400" w:type="dxa"/>
            <w:vAlign w:val="center"/>
          </w:tcPr>
          <w:p w14:paraId="5783F5FB">
            <w:pPr>
              <w:spacing w:line="400" w:lineRule="exact"/>
              <w:jc w:val="center"/>
              <w:outlineLvl w:val="0"/>
              <w:rPr>
                <w:rFonts w:asciiTheme="minorEastAsia" w:hAnsiTheme="minorEastAsia" w:eastAsiaTheme="minorEastAsia" w:cstheme="minorEastAsia"/>
                <w:b/>
                <w:bCs/>
                <w:spacing w:val="1"/>
                <w:sz w:val="24"/>
              </w:rPr>
            </w:pPr>
            <w:r>
              <w:rPr>
                <w:rFonts w:hint="eastAsia" w:asciiTheme="minorEastAsia" w:hAnsiTheme="minorEastAsia" w:eastAsiaTheme="minorEastAsia" w:cstheme="minorEastAsia"/>
                <w:b/>
                <w:bCs/>
                <w:spacing w:val="1"/>
                <w:sz w:val="24"/>
              </w:rPr>
              <w:t>投标文件的响应内容</w:t>
            </w:r>
          </w:p>
        </w:tc>
        <w:tc>
          <w:tcPr>
            <w:tcW w:w="1083" w:type="dxa"/>
            <w:vAlign w:val="center"/>
          </w:tcPr>
          <w:p w14:paraId="7C8076AC">
            <w:pPr>
              <w:spacing w:line="400" w:lineRule="exact"/>
              <w:jc w:val="center"/>
              <w:outlineLvl w:val="0"/>
              <w:rPr>
                <w:rFonts w:asciiTheme="minorEastAsia" w:hAnsiTheme="minorEastAsia" w:eastAsiaTheme="minorEastAsia" w:cstheme="minorEastAsia"/>
                <w:b/>
                <w:bCs/>
                <w:spacing w:val="1"/>
                <w:sz w:val="24"/>
              </w:rPr>
            </w:pPr>
            <w:r>
              <w:rPr>
                <w:rFonts w:hint="eastAsia" w:asciiTheme="minorEastAsia" w:hAnsiTheme="minorEastAsia" w:eastAsiaTheme="minorEastAsia" w:cstheme="minorEastAsia"/>
                <w:b/>
                <w:bCs/>
                <w:spacing w:val="1"/>
                <w:sz w:val="24"/>
              </w:rPr>
              <w:t>响应情况</w:t>
            </w:r>
          </w:p>
        </w:tc>
      </w:tr>
      <w:tr w14:paraId="6769B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80" w:type="dxa"/>
            <w:vAlign w:val="center"/>
          </w:tcPr>
          <w:p w14:paraId="58D5C58D">
            <w:pPr>
              <w:widowControl/>
              <w:spacing w:line="400" w:lineRule="exact"/>
              <w:jc w:val="center"/>
              <w:rPr>
                <w:rFonts w:asciiTheme="minorEastAsia" w:hAnsiTheme="minorEastAsia" w:eastAsiaTheme="minorEastAsia" w:cstheme="minorEastAsia"/>
                <w:b/>
                <w:bCs/>
                <w:spacing w:val="1"/>
                <w:sz w:val="24"/>
              </w:rPr>
            </w:pPr>
            <w:r>
              <w:rPr>
                <w:rFonts w:hint="eastAsia" w:ascii="宋体" w:hAnsi="宋体" w:cs="宋体"/>
                <w:bCs/>
                <w:kern w:val="0"/>
                <w:sz w:val="24"/>
              </w:rPr>
              <w:t>1</w:t>
            </w:r>
          </w:p>
        </w:tc>
        <w:tc>
          <w:tcPr>
            <w:tcW w:w="1779" w:type="dxa"/>
            <w:vAlign w:val="center"/>
          </w:tcPr>
          <w:p w14:paraId="1C08A012">
            <w:pPr>
              <w:widowControl/>
              <w:spacing w:line="400" w:lineRule="exact"/>
              <w:jc w:val="center"/>
              <w:rPr>
                <w:rFonts w:asciiTheme="minorEastAsia" w:hAnsiTheme="minorEastAsia" w:eastAsiaTheme="minorEastAsia" w:cstheme="minorEastAsia"/>
                <w:b/>
                <w:bCs/>
                <w:spacing w:val="1"/>
                <w:sz w:val="24"/>
              </w:rPr>
            </w:pPr>
          </w:p>
        </w:tc>
        <w:tc>
          <w:tcPr>
            <w:tcW w:w="3874" w:type="dxa"/>
            <w:vAlign w:val="center"/>
          </w:tcPr>
          <w:p w14:paraId="11F190F5">
            <w:pPr>
              <w:spacing w:line="400" w:lineRule="exact"/>
              <w:rPr>
                <w:rFonts w:asciiTheme="minorEastAsia" w:hAnsiTheme="minorEastAsia" w:eastAsiaTheme="minorEastAsia" w:cstheme="minorEastAsia"/>
                <w:b/>
                <w:bCs/>
                <w:spacing w:val="1"/>
                <w:sz w:val="24"/>
              </w:rPr>
            </w:pPr>
          </w:p>
        </w:tc>
        <w:tc>
          <w:tcPr>
            <w:tcW w:w="2400" w:type="dxa"/>
            <w:vAlign w:val="center"/>
          </w:tcPr>
          <w:p w14:paraId="7B52C63D">
            <w:pPr>
              <w:spacing w:line="400" w:lineRule="exact"/>
              <w:outlineLvl w:val="0"/>
              <w:rPr>
                <w:rFonts w:asciiTheme="minorEastAsia" w:hAnsiTheme="minorEastAsia" w:eastAsiaTheme="minorEastAsia" w:cstheme="minorEastAsia"/>
                <w:b/>
                <w:bCs/>
                <w:spacing w:val="1"/>
                <w:sz w:val="24"/>
              </w:rPr>
            </w:pPr>
          </w:p>
        </w:tc>
        <w:tc>
          <w:tcPr>
            <w:tcW w:w="1083" w:type="dxa"/>
            <w:vAlign w:val="center"/>
          </w:tcPr>
          <w:p w14:paraId="318C1E0D">
            <w:pPr>
              <w:spacing w:line="400" w:lineRule="exact"/>
              <w:outlineLvl w:val="0"/>
              <w:rPr>
                <w:rFonts w:asciiTheme="minorEastAsia" w:hAnsiTheme="minorEastAsia" w:eastAsiaTheme="minorEastAsia" w:cstheme="minorEastAsia"/>
                <w:b/>
                <w:bCs/>
                <w:spacing w:val="1"/>
                <w:sz w:val="24"/>
              </w:rPr>
            </w:pPr>
          </w:p>
        </w:tc>
      </w:tr>
      <w:tr w14:paraId="703A8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5DAC07B5">
            <w:pPr>
              <w:widowControl/>
              <w:spacing w:line="400" w:lineRule="exact"/>
              <w:jc w:val="center"/>
              <w:rPr>
                <w:rFonts w:asciiTheme="minorEastAsia" w:hAnsiTheme="minorEastAsia" w:eastAsiaTheme="minorEastAsia" w:cstheme="minorEastAsia"/>
                <w:kern w:val="0"/>
                <w:sz w:val="24"/>
              </w:rPr>
            </w:pPr>
            <w:r>
              <w:rPr>
                <w:rFonts w:hint="eastAsia" w:ascii="宋体" w:hAnsi="宋体" w:cs="宋体"/>
                <w:bCs/>
                <w:kern w:val="0"/>
                <w:sz w:val="24"/>
              </w:rPr>
              <w:t>2</w:t>
            </w:r>
          </w:p>
        </w:tc>
        <w:tc>
          <w:tcPr>
            <w:tcW w:w="1779" w:type="dxa"/>
            <w:vAlign w:val="center"/>
          </w:tcPr>
          <w:p w14:paraId="2BB088F1">
            <w:pPr>
              <w:widowControl/>
              <w:spacing w:line="400" w:lineRule="exact"/>
              <w:jc w:val="center"/>
              <w:rPr>
                <w:rFonts w:asciiTheme="minorEastAsia" w:hAnsiTheme="minorEastAsia" w:eastAsiaTheme="minorEastAsia" w:cstheme="minorEastAsia"/>
                <w:kern w:val="0"/>
                <w:sz w:val="24"/>
              </w:rPr>
            </w:pPr>
          </w:p>
        </w:tc>
        <w:tc>
          <w:tcPr>
            <w:tcW w:w="3874" w:type="dxa"/>
            <w:vAlign w:val="center"/>
          </w:tcPr>
          <w:p w14:paraId="2E824564">
            <w:pPr>
              <w:widowControl/>
              <w:spacing w:line="400" w:lineRule="exact"/>
              <w:jc w:val="left"/>
              <w:rPr>
                <w:rFonts w:asciiTheme="minorEastAsia" w:hAnsiTheme="minorEastAsia" w:eastAsiaTheme="minorEastAsia" w:cstheme="minorEastAsia"/>
                <w:kern w:val="0"/>
                <w:sz w:val="24"/>
              </w:rPr>
            </w:pPr>
          </w:p>
        </w:tc>
        <w:tc>
          <w:tcPr>
            <w:tcW w:w="2400" w:type="dxa"/>
          </w:tcPr>
          <w:p w14:paraId="56ACDDE0">
            <w:pPr>
              <w:pStyle w:val="25"/>
              <w:spacing w:line="400" w:lineRule="exact"/>
              <w:ind w:firstLine="0" w:firstLineChars="0"/>
              <w:jc w:val="left"/>
              <w:rPr>
                <w:rFonts w:asciiTheme="minorEastAsia" w:hAnsiTheme="minorEastAsia" w:eastAsiaTheme="minorEastAsia" w:cstheme="minorEastAsia"/>
                <w:kern w:val="0"/>
                <w:sz w:val="24"/>
                <w:szCs w:val="24"/>
              </w:rPr>
            </w:pPr>
          </w:p>
        </w:tc>
        <w:tc>
          <w:tcPr>
            <w:tcW w:w="1083" w:type="dxa"/>
          </w:tcPr>
          <w:p w14:paraId="40C8BE54">
            <w:pPr>
              <w:pStyle w:val="25"/>
              <w:spacing w:line="400" w:lineRule="exact"/>
              <w:ind w:firstLine="0" w:firstLineChars="0"/>
              <w:jc w:val="left"/>
              <w:rPr>
                <w:rFonts w:asciiTheme="minorEastAsia" w:hAnsiTheme="minorEastAsia" w:eastAsiaTheme="minorEastAsia" w:cstheme="minorEastAsia"/>
                <w:kern w:val="0"/>
                <w:sz w:val="24"/>
                <w:szCs w:val="24"/>
              </w:rPr>
            </w:pPr>
          </w:p>
        </w:tc>
      </w:tr>
      <w:tr w14:paraId="19C81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0FA17E4D">
            <w:pPr>
              <w:widowControl/>
              <w:spacing w:line="400" w:lineRule="exact"/>
              <w:jc w:val="center"/>
              <w:rPr>
                <w:rFonts w:asciiTheme="minorEastAsia" w:hAnsiTheme="minorEastAsia" w:eastAsiaTheme="minorEastAsia" w:cstheme="minorEastAsia"/>
                <w:kern w:val="0"/>
                <w:sz w:val="24"/>
              </w:rPr>
            </w:pPr>
            <w:r>
              <w:rPr>
                <w:rFonts w:hint="eastAsia" w:ascii="宋体" w:hAnsi="宋体" w:cs="宋体"/>
                <w:bCs/>
                <w:kern w:val="0"/>
                <w:sz w:val="24"/>
              </w:rPr>
              <w:t>3</w:t>
            </w:r>
          </w:p>
        </w:tc>
        <w:tc>
          <w:tcPr>
            <w:tcW w:w="1779" w:type="dxa"/>
            <w:vAlign w:val="center"/>
          </w:tcPr>
          <w:p w14:paraId="4177040C">
            <w:pPr>
              <w:widowControl/>
              <w:spacing w:line="400" w:lineRule="exact"/>
              <w:jc w:val="center"/>
              <w:rPr>
                <w:rFonts w:asciiTheme="minorEastAsia" w:hAnsiTheme="minorEastAsia" w:eastAsiaTheme="minorEastAsia" w:cstheme="minorEastAsia"/>
                <w:kern w:val="0"/>
                <w:sz w:val="24"/>
              </w:rPr>
            </w:pPr>
          </w:p>
        </w:tc>
        <w:tc>
          <w:tcPr>
            <w:tcW w:w="3874" w:type="dxa"/>
            <w:vAlign w:val="center"/>
          </w:tcPr>
          <w:p w14:paraId="0DE3236B">
            <w:pPr>
              <w:spacing w:line="400" w:lineRule="exact"/>
              <w:jc w:val="left"/>
              <w:rPr>
                <w:rFonts w:asciiTheme="minorEastAsia" w:hAnsiTheme="minorEastAsia" w:eastAsiaTheme="minorEastAsia" w:cstheme="minorEastAsia"/>
                <w:kern w:val="0"/>
                <w:sz w:val="24"/>
              </w:rPr>
            </w:pPr>
          </w:p>
        </w:tc>
        <w:tc>
          <w:tcPr>
            <w:tcW w:w="2400" w:type="dxa"/>
          </w:tcPr>
          <w:p w14:paraId="5DD2784A">
            <w:pPr>
              <w:pStyle w:val="25"/>
              <w:spacing w:line="400" w:lineRule="exact"/>
              <w:ind w:firstLine="0" w:firstLineChars="0"/>
              <w:rPr>
                <w:rFonts w:asciiTheme="minorEastAsia" w:hAnsiTheme="minorEastAsia" w:eastAsiaTheme="minorEastAsia" w:cstheme="minorEastAsia"/>
                <w:kern w:val="0"/>
                <w:sz w:val="24"/>
                <w:szCs w:val="24"/>
              </w:rPr>
            </w:pPr>
          </w:p>
        </w:tc>
        <w:tc>
          <w:tcPr>
            <w:tcW w:w="1083" w:type="dxa"/>
          </w:tcPr>
          <w:p w14:paraId="6E5DA677">
            <w:pPr>
              <w:pStyle w:val="25"/>
              <w:spacing w:line="400" w:lineRule="exact"/>
              <w:ind w:firstLine="0" w:firstLineChars="0"/>
              <w:rPr>
                <w:rFonts w:asciiTheme="minorEastAsia" w:hAnsiTheme="minorEastAsia" w:eastAsiaTheme="minorEastAsia" w:cstheme="minorEastAsia"/>
                <w:kern w:val="0"/>
                <w:sz w:val="24"/>
                <w:szCs w:val="24"/>
              </w:rPr>
            </w:pPr>
          </w:p>
        </w:tc>
      </w:tr>
      <w:tr w14:paraId="7202E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2D6EB1CC">
            <w:pPr>
              <w:widowControl/>
              <w:spacing w:line="400" w:lineRule="exact"/>
              <w:jc w:val="center"/>
              <w:rPr>
                <w:rFonts w:asciiTheme="minorEastAsia" w:hAnsiTheme="minorEastAsia" w:cstheme="minorEastAsia"/>
                <w:kern w:val="0"/>
                <w:sz w:val="24"/>
              </w:rPr>
            </w:pPr>
            <w:r>
              <w:rPr>
                <w:rFonts w:hint="eastAsia" w:ascii="宋体" w:hAnsi="宋体" w:cs="宋体"/>
                <w:bCs/>
                <w:kern w:val="0"/>
                <w:sz w:val="24"/>
              </w:rPr>
              <w:t>...</w:t>
            </w:r>
          </w:p>
        </w:tc>
        <w:tc>
          <w:tcPr>
            <w:tcW w:w="1779" w:type="dxa"/>
            <w:vAlign w:val="center"/>
          </w:tcPr>
          <w:p w14:paraId="0AA7AF96">
            <w:pPr>
              <w:widowControl/>
              <w:spacing w:line="400" w:lineRule="exact"/>
              <w:jc w:val="center"/>
              <w:rPr>
                <w:rFonts w:asciiTheme="minorEastAsia" w:hAnsiTheme="minorEastAsia" w:eastAsiaTheme="minorEastAsia" w:cstheme="minorEastAsia"/>
                <w:kern w:val="0"/>
                <w:sz w:val="24"/>
              </w:rPr>
            </w:pPr>
          </w:p>
        </w:tc>
        <w:tc>
          <w:tcPr>
            <w:tcW w:w="3874" w:type="dxa"/>
            <w:vAlign w:val="center"/>
          </w:tcPr>
          <w:p w14:paraId="5E07C41D">
            <w:pPr>
              <w:pStyle w:val="3"/>
              <w:spacing w:line="400" w:lineRule="exact"/>
              <w:outlineLvl w:val="3"/>
              <w:rPr>
                <w:rFonts w:asciiTheme="minorEastAsia" w:hAnsiTheme="minorEastAsia" w:eastAsiaTheme="minorEastAsia" w:cstheme="minorEastAsia"/>
                <w:kern w:val="0"/>
                <w:sz w:val="24"/>
              </w:rPr>
            </w:pPr>
          </w:p>
        </w:tc>
        <w:tc>
          <w:tcPr>
            <w:tcW w:w="2400" w:type="dxa"/>
          </w:tcPr>
          <w:p w14:paraId="6AFB7655">
            <w:pPr>
              <w:pStyle w:val="25"/>
              <w:spacing w:line="400" w:lineRule="exact"/>
              <w:ind w:firstLine="0" w:firstLineChars="0"/>
              <w:rPr>
                <w:rFonts w:asciiTheme="minorEastAsia" w:hAnsiTheme="minorEastAsia" w:eastAsiaTheme="minorEastAsia" w:cstheme="minorEastAsia"/>
                <w:kern w:val="0"/>
                <w:sz w:val="24"/>
                <w:szCs w:val="24"/>
              </w:rPr>
            </w:pPr>
          </w:p>
        </w:tc>
        <w:tc>
          <w:tcPr>
            <w:tcW w:w="1083" w:type="dxa"/>
          </w:tcPr>
          <w:p w14:paraId="4BF78700">
            <w:pPr>
              <w:pStyle w:val="25"/>
              <w:spacing w:line="400" w:lineRule="exact"/>
              <w:ind w:firstLine="0" w:firstLineChars="0"/>
              <w:rPr>
                <w:rFonts w:asciiTheme="minorEastAsia" w:hAnsiTheme="minorEastAsia" w:eastAsiaTheme="minorEastAsia" w:cstheme="minorEastAsia"/>
                <w:kern w:val="0"/>
                <w:sz w:val="24"/>
                <w:szCs w:val="24"/>
              </w:rPr>
            </w:pPr>
          </w:p>
        </w:tc>
      </w:tr>
      <w:tr w14:paraId="3CEFF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jc w:val="center"/>
        </w:trPr>
        <w:tc>
          <w:tcPr>
            <w:tcW w:w="9916" w:type="dxa"/>
            <w:gridSpan w:val="5"/>
            <w:vAlign w:val="center"/>
          </w:tcPr>
          <w:p w14:paraId="74B2D688">
            <w:pPr>
              <w:pStyle w:val="3"/>
              <w:spacing w:line="400" w:lineRule="exact"/>
              <w:jc w:val="left"/>
              <w:outlineLvl w:val="3"/>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注：1.按“第二章  项目需求和说明”逐条响应</w:t>
            </w:r>
          </w:p>
          <w:p w14:paraId="0BDD1EB7">
            <w:pPr>
              <w:pStyle w:val="3"/>
              <w:spacing w:line="400" w:lineRule="exact"/>
              <w:ind w:firstLine="422" w:firstLineChars="200"/>
              <w:jc w:val="left"/>
              <w:outlineLvl w:val="3"/>
            </w:pPr>
          </w:p>
        </w:tc>
      </w:tr>
    </w:tbl>
    <w:p w14:paraId="5CE2738A">
      <w:pPr>
        <w:pStyle w:val="6"/>
        <w:spacing w:line="400" w:lineRule="exact"/>
      </w:pPr>
    </w:p>
    <w:p w14:paraId="7677611A">
      <w:pPr>
        <w:spacing w:line="400" w:lineRule="exact"/>
        <w:rPr>
          <w:rFonts w:ascii="宋体" w:hAnsi="宋体" w:cs="宋体"/>
          <w:b/>
          <w:sz w:val="30"/>
          <w:szCs w:val="30"/>
        </w:rPr>
      </w:pPr>
    </w:p>
    <w:p w14:paraId="5CD518D5">
      <w:pPr>
        <w:spacing w:line="400" w:lineRule="exact"/>
        <w:jc w:val="center"/>
        <w:rPr>
          <w:rFonts w:ascii="宋体" w:hAnsi="宋体" w:cs="宋体"/>
          <w:b/>
          <w:sz w:val="30"/>
          <w:szCs w:val="30"/>
        </w:rPr>
      </w:pPr>
    </w:p>
    <w:p w14:paraId="76267CEA">
      <w:pPr>
        <w:spacing w:line="400" w:lineRule="exact"/>
        <w:jc w:val="center"/>
        <w:rPr>
          <w:rFonts w:ascii="宋体" w:hAnsi="宋体" w:cs="宋体"/>
          <w:b/>
          <w:sz w:val="30"/>
          <w:szCs w:val="30"/>
        </w:rPr>
      </w:pPr>
    </w:p>
    <w:p w14:paraId="3D931F89">
      <w:pPr>
        <w:spacing w:line="400" w:lineRule="exact"/>
        <w:jc w:val="center"/>
        <w:rPr>
          <w:rFonts w:ascii="宋体" w:hAnsi="宋体" w:cs="宋体"/>
          <w:b/>
          <w:sz w:val="30"/>
          <w:szCs w:val="30"/>
        </w:rPr>
      </w:pPr>
    </w:p>
    <w:p w14:paraId="502D8E6E">
      <w:pPr>
        <w:spacing w:line="400" w:lineRule="exact"/>
        <w:jc w:val="center"/>
        <w:rPr>
          <w:rFonts w:ascii="宋体" w:hAnsi="宋体" w:cs="宋体"/>
          <w:b/>
          <w:sz w:val="30"/>
          <w:szCs w:val="30"/>
        </w:rPr>
      </w:pPr>
    </w:p>
    <w:p w14:paraId="7EBDEC9F">
      <w:pPr>
        <w:spacing w:line="400" w:lineRule="exact"/>
        <w:jc w:val="center"/>
        <w:rPr>
          <w:rFonts w:ascii="宋体" w:hAnsi="宋体" w:cs="宋体"/>
          <w:b/>
          <w:sz w:val="30"/>
          <w:szCs w:val="30"/>
        </w:rPr>
      </w:pPr>
    </w:p>
    <w:p w14:paraId="572B87B9">
      <w:pPr>
        <w:spacing w:line="400" w:lineRule="exact"/>
        <w:jc w:val="center"/>
        <w:rPr>
          <w:rFonts w:ascii="宋体" w:hAnsi="宋体" w:cs="宋体"/>
          <w:b/>
          <w:sz w:val="30"/>
          <w:szCs w:val="30"/>
        </w:rPr>
      </w:pPr>
    </w:p>
    <w:p w14:paraId="3C0296B4">
      <w:pPr>
        <w:spacing w:line="400" w:lineRule="exact"/>
        <w:jc w:val="center"/>
        <w:rPr>
          <w:rFonts w:ascii="宋体" w:hAnsi="宋体" w:cs="宋体"/>
          <w:b/>
          <w:sz w:val="30"/>
          <w:szCs w:val="30"/>
        </w:rPr>
      </w:pPr>
    </w:p>
    <w:p w14:paraId="4A5C50B4">
      <w:pPr>
        <w:spacing w:line="400" w:lineRule="exact"/>
        <w:jc w:val="center"/>
        <w:rPr>
          <w:rFonts w:ascii="宋体" w:hAnsi="宋体" w:cs="宋体"/>
          <w:b/>
          <w:sz w:val="30"/>
          <w:szCs w:val="30"/>
        </w:rPr>
      </w:pPr>
    </w:p>
    <w:p w14:paraId="5290F703">
      <w:pPr>
        <w:spacing w:line="400" w:lineRule="exact"/>
        <w:jc w:val="center"/>
        <w:rPr>
          <w:rFonts w:ascii="宋体" w:hAnsi="宋体" w:cs="宋体"/>
          <w:b/>
          <w:sz w:val="30"/>
          <w:szCs w:val="30"/>
        </w:rPr>
      </w:pPr>
    </w:p>
    <w:p w14:paraId="1E60FDF7">
      <w:pPr>
        <w:spacing w:line="400" w:lineRule="exact"/>
        <w:jc w:val="center"/>
        <w:rPr>
          <w:rFonts w:ascii="宋体" w:hAnsi="宋体" w:cs="宋体"/>
          <w:b/>
          <w:sz w:val="30"/>
          <w:szCs w:val="30"/>
        </w:rPr>
      </w:pPr>
    </w:p>
    <w:p w14:paraId="09FBB856">
      <w:pPr>
        <w:spacing w:line="400" w:lineRule="exact"/>
        <w:jc w:val="left"/>
        <w:rPr>
          <w:rFonts w:ascii="宋体" w:hAnsi="宋体" w:cs="宋体"/>
          <w:b/>
          <w:sz w:val="30"/>
          <w:szCs w:val="30"/>
        </w:rPr>
      </w:pPr>
      <w:r>
        <w:rPr>
          <w:rFonts w:hint="eastAsia" w:ascii="宋体" w:hAnsi="宋体" w:cs="宋体"/>
          <w:b/>
          <w:sz w:val="30"/>
          <w:szCs w:val="30"/>
        </w:rPr>
        <w:br w:type="page"/>
      </w:r>
    </w:p>
    <w:p w14:paraId="18DB7949">
      <w:pPr>
        <w:spacing w:line="400" w:lineRule="exact"/>
        <w:jc w:val="center"/>
        <w:rPr>
          <w:rFonts w:ascii="宋体" w:hAnsi="宋体" w:cs="宋体"/>
          <w:sz w:val="24"/>
        </w:rPr>
      </w:pPr>
      <w:r>
        <w:rPr>
          <w:rFonts w:hint="eastAsia" w:ascii="宋体" w:hAnsi="宋体" w:cs="宋体"/>
          <w:b/>
          <w:sz w:val="30"/>
          <w:szCs w:val="30"/>
        </w:rPr>
        <w:t>商务需求响应表</w:t>
      </w:r>
    </w:p>
    <w:p w14:paraId="36C8A848">
      <w:pPr>
        <w:spacing w:line="400" w:lineRule="exact"/>
        <w:rPr>
          <w:rFonts w:ascii="宋体" w:hAnsi="宋体" w:cs="宋体"/>
          <w:sz w:val="24"/>
          <w:u w:val="single"/>
        </w:rPr>
      </w:pPr>
      <w:r>
        <w:rPr>
          <w:rFonts w:hint="eastAsia" w:ascii="宋体" w:hAnsi="宋体" w:cs="宋体"/>
          <w:sz w:val="24"/>
        </w:rPr>
        <w:t>采购项目名称:</w:t>
      </w:r>
      <w:r>
        <w:rPr>
          <w:rFonts w:hint="eastAsia" w:ascii="宋体" w:hAnsi="宋体" w:cs="宋体"/>
          <w:sz w:val="24"/>
          <w:u w:val="single"/>
        </w:rPr>
        <w:t xml:space="preserve">               </w:t>
      </w:r>
    </w:p>
    <w:p w14:paraId="4AECA5ED">
      <w:pPr>
        <w:spacing w:line="400" w:lineRule="exact"/>
        <w:rPr>
          <w:rFonts w:hAnsi="宋体" w:cs="宋体"/>
          <w:sz w:val="24"/>
          <w:u w:val="single"/>
        </w:rPr>
      </w:pPr>
      <w:r>
        <w:rPr>
          <w:rFonts w:hint="eastAsia" w:hAnsi="宋体" w:cs="宋体"/>
          <w:sz w:val="24"/>
        </w:rPr>
        <w:t>采购项目编号</w:t>
      </w:r>
      <w:r>
        <w:rPr>
          <w:rFonts w:hint="eastAsia" w:ascii="宋体" w:hAnsi="宋体" w:cs="宋体"/>
          <w:sz w:val="24"/>
        </w:rPr>
        <w:t>:</w:t>
      </w:r>
      <w:r>
        <w:rPr>
          <w:rFonts w:hint="eastAsia" w:hAnsi="宋体" w:cs="宋体"/>
          <w:sz w:val="24"/>
          <w:u w:val="single"/>
        </w:rPr>
        <w:t xml:space="preserve">               </w:t>
      </w:r>
    </w:p>
    <w:tbl>
      <w:tblPr>
        <w:tblStyle w:val="19"/>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779"/>
        <w:gridCol w:w="3874"/>
        <w:gridCol w:w="2400"/>
        <w:gridCol w:w="1083"/>
      </w:tblGrid>
      <w:tr w14:paraId="1F88F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780" w:type="dxa"/>
            <w:vAlign w:val="center"/>
          </w:tcPr>
          <w:p w14:paraId="06769398">
            <w:pPr>
              <w:widowControl/>
              <w:spacing w:line="400" w:lineRule="exact"/>
              <w:jc w:val="center"/>
              <w:rPr>
                <w:rFonts w:asciiTheme="minorEastAsia" w:hAnsiTheme="minorEastAsia" w:eastAsiaTheme="minorEastAsia" w:cstheme="minorEastAsia"/>
                <w:b/>
                <w:bCs/>
                <w:spacing w:val="1"/>
                <w:sz w:val="24"/>
              </w:rPr>
            </w:pPr>
            <w:r>
              <w:rPr>
                <w:rFonts w:hint="eastAsia" w:ascii="宋体" w:hAnsi="宋体" w:cs="宋体"/>
                <w:b/>
                <w:bCs/>
                <w:kern w:val="0"/>
                <w:sz w:val="24"/>
              </w:rPr>
              <w:t>序号</w:t>
            </w:r>
          </w:p>
        </w:tc>
        <w:tc>
          <w:tcPr>
            <w:tcW w:w="1779" w:type="dxa"/>
            <w:vAlign w:val="center"/>
          </w:tcPr>
          <w:p w14:paraId="77053439">
            <w:pPr>
              <w:widowControl/>
              <w:spacing w:line="400" w:lineRule="exact"/>
              <w:jc w:val="center"/>
              <w:rPr>
                <w:rFonts w:asciiTheme="minorEastAsia" w:hAnsiTheme="minorEastAsia" w:eastAsiaTheme="minorEastAsia" w:cstheme="minorEastAsia"/>
                <w:b/>
                <w:bCs/>
                <w:spacing w:val="1"/>
                <w:sz w:val="24"/>
              </w:rPr>
            </w:pPr>
            <w:r>
              <w:rPr>
                <w:rFonts w:hint="eastAsia" w:ascii="宋体" w:hAnsi="宋体" w:cs="宋体"/>
                <w:b/>
                <w:bCs/>
                <w:kern w:val="0"/>
                <w:sz w:val="24"/>
                <w:lang w:val="en-US" w:eastAsia="zh-CN"/>
              </w:rPr>
              <w:t>服务</w:t>
            </w:r>
            <w:r>
              <w:rPr>
                <w:rFonts w:hint="eastAsia" w:ascii="宋体" w:hAnsi="宋体" w:cs="宋体"/>
                <w:b/>
                <w:bCs/>
                <w:kern w:val="0"/>
                <w:sz w:val="24"/>
              </w:rPr>
              <w:t>需求</w:t>
            </w:r>
          </w:p>
        </w:tc>
        <w:tc>
          <w:tcPr>
            <w:tcW w:w="3874" w:type="dxa"/>
            <w:vAlign w:val="center"/>
          </w:tcPr>
          <w:p w14:paraId="1D3F0FAC">
            <w:pPr>
              <w:widowControl/>
              <w:spacing w:line="400" w:lineRule="exact"/>
              <w:jc w:val="center"/>
              <w:rPr>
                <w:rFonts w:asciiTheme="minorEastAsia" w:hAnsiTheme="minorEastAsia" w:eastAsiaTheme="minorEastAsia" w:cstheme="minorEastAsia"/>
                <w:b/>
                <w:bCs/>
                <w:spacing w:val="1"/>
                <w:sz w:val="24"/>
              </w:rPr>
            </w:pPr>
            <w:r>
              <w:rPr>
                <w:rFonts w:hint="eastAsia" w:asciiTheme="minorEastAsia" w:hAnsiTheme="minorEastAsia" w:eastAsiaTheme="minorEastAsia" w:cstheme="minorEastAsia"/>
                <w:b/>
                <w:bCs/>
                <w:spacing w:val="1"/>
                <w:sz w:val="24"/>
              </w:rPr>
              <w:t>需求内容</w:t>
            </w:r>
          </w:p>
        </w:tc>
        <w:tc>
          <w:tcPr>
            <w:tcW w:w="2400" w:type="dxa"/>
            <w:vAlign w:val="center"/>
          </w:tcPr>
          <w:p w14:paraId="609E953D">
            <w:pPr>
              <w:spacing w:line="400" w:lineRule="exact"/>
              <w:jc w:val="center"/>
              <w:outlineLvl w:val="0"/>
              <w:rPr>
                <w:rFonts w:asciiTheme="minorEastAsia" w:hAnsiTheme="minorEastAsia" w:eastAsiaTheme="minorEastAsia" w:cstheme="minorEastAsia"/>
                <w:b/>
                <w:bCs/>
                <w:spacing w:val="1"/>
                <w:sz w:val="24"/>
              </w:rPr>
            </w:pPr>
            <w:r>
              <w:rPr>
                <w:rFonts w:hint="eastAsia" w:asciiTheme="minorEastAsia" w:hAnsiTheme="minorEastAsia" w:eastAsiaTheme="minorEastAsia" w:cstheme="minorEastAsia"/>
                <w:b/>
                <w:bCs/>
                <w:spacing w:val="1"/>
                <w:sz w:val="24"/>
              </w:rPr>
              <w:t>投标文件的响应内容</w:t>
            </w:r>
          </w:p>
        </w:tc>
        <w:tc>
          <w:tcPr>
            <w:tcW w:w="1083" w:type="dxa"/>
            <w:vAlign w:val="center"/>
          </w:tcPr>
          <w:p w14:paraId="0E04A85F">
            <w:pPr>
              <w:spacing w:line="400" w:lineRule="exact"/>
              <w:jc w:val="center"/>
              <w:outlineLvl w:val="0"/>
              <w:rPr>
                <w:rFonts w:asciiTheme="minorEastAsia" w:hAnsiTheme="minorEastAsia" w:eastAsiaTheme="minorEastAsia" w:cstheme="minorEastAsia"/>
                <w:b/>
                <w:bCs/>
                <w:spacing w:val="1"/>
                <w:sz w:val="24"/>
              </w:rPr>
            </w:pPr>
            <w:r>
              <w:rPr>
                <w:rFonts w:hint="eastAsia" w:asciiTheme="minorEastAsia" w:hAnsiTheme="minorEastAsia" w:eastAsiaTheme="minorEastAsia" w:cstheme="minorEastAsia"/>
                <w:b/>
                <w:bCs/>
                <w:spacing w:val="1"/>
                <w:sz w:val="24"/>
              </w:rPr>
              <w:t>响应情况</w:t>
            </w:r>
          </w:p>
        </w:tc>
      </w:tr>
      <w:tr w14:paraId="423F5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80" w:type="dxa"/>
            <w:vAlign w:val="center"/>
          </w:tcPr>
          <w:p w14:paraId="7F1C8438">
            <w:pPr>
              <w:widowControl/>
              <w:spacing w:line="400" w:lineRule="exact"/>
              <w:jc w:val="center"/>
              <w:rPr>
                <w:rFonts w:asciiTheme="minorEastAsia" w:hAnsiTheme="minorEastAsia" w:eastAsiaTheme="minorEastAsia" w:cstheme="minorEastAsia"/>
                <w:b/>
                <w:bCs/>
                <w:spacing w:val="1"/>
                <w:sz w:val="24"/>
              </w:rPr>
            </w:pPr>
            <w:r>
              <w:rPr>
                <w:rFonts w:hint="eastAsia" w:ascii="宋体" w:hAnsi="宋体" w:cs="宋体"/>
                <w:bCs/>
                <w:kern w:val="0"/>
                <w:sz w:val="24"/>
              </w:rPr>
              <w:t>1</w:t>
            </w:r>
          </w:p>
        </w:tc>
        <w:tc>
          <w:tcPr>
            <w:tcW w:w="1779" w:type="dxa"/>
            <w:vAlign w:val="center"/>
          </w:tcPr>
          <w:p w14:paraId="48AB6634">
            <w:pPr>
              <w:widowControl/>
              <w:spacing w:line="400" w:lineRule="exact"/>
              <w:jc w:val="center"/>
              <w:rPr>
                <w:rFonts w:asciiTheme="minorEastAsia" w:hAnsiTheme="minorEastAsia" w:eastAsiaTheme="minorEastAsia" w:cstheme="minorEastAsia"/>
                <w:b/>
                <w:bCs/>
                <w:spacing w:val="1"/>
                <w:sz w:val="24"/>
              </w:rPr>
            </w:pPr>
          </w:p>
        </w:tc>
        <w:tc>
          <w:tcPr>
            <w:tcW w:w="3874" w:type="dxa"/>
            <w:vAlign w:val="center"/>
          </w:tcPr>
          <w:p w14:paraId="218D2C6E">
            <w:pPr>
              <w:spacing w:line="400" w:lineRule="exact"/>
              <w:rPr>
                <w:rFonts w:asciiTheme="minorEastAsia" w:hAnsiTheme="minorEastAsia" w:eastAsiaTheme="minorEastAsia" w:cstheme="minorEastAsia"/>
                <w:b/>
                <w:bCs/>
                <w:spacing w:val="1"/>
                <w:sz w:val="24"/>
              </w:rPr>
            </w:pPr>
          </w:p>
        </w:tc>
        <w:tc>
          <w:tcPr>
            <w:tcW w:w="2400" w:type="dxa"/>
            <w:vAlign w:val="center"/>
          </w:tcPr>
          <w:p w14:paraId="49DB77F8">
            <w:pPr>
              <w:spacing w:line="400" w:lineRule="exact"/>
              <w:outlineLvl w:val="0"/>
              <w:rPr>
                <w:rFonts w:asciiTheme="minorEastAsia" w:hAnsiTheme="minorEastAsia" w:eastAsiaTheme="minorEastAsia" w:cstheme="minorEastAsia"/>
                <w:b/>
                <w:bCs/>
                <w:spacing w:val="1"/>
                <w:sz w:val="24"/>
              </w:rPr>
            </w:pPr>
          </w:p>
        </w:tc>
        <w:tc>
          <w:tcPr>
            <w:tcW w:w="1083" w:type="dxa"/>
            <w:vAlign w:val="center"/>
          </w:tcPr>
          <w:p w14:paraId="395EABF4">
            <w:pPr>
              <w:spacing w:line="400" w:lineRule="exact"/>
              <w:outlineLvl w:val="0"/>
              <w:rPr>
                <w:rFonts w:asciiTheme="minorEastAsia" w:hAnsiTheme="minorEastAsia" w:eastAsiaTheme="minorEastAsia" w:cstheme="minorEastAsia"/>
                <w:b/>
                <w:bCs/>
                <w:spacing w:val="1"/>
                <w:sz w:val="24"/>
              </w:rPr>
            </w:pPr>
          </w:p>
        </w:tc>
      </w:tr>
      <w:tr w14:paraId="36AF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2108E88E">
            <w:pPr>
              <w:widowControl/>
              <w:spacing w:line="400" w:lineRule="exact"/>
              <w:jc w:val="center"/>
              <w:rPr>
                <w:rFonts w:asciiTheme="minorEastAsia" w:hAnsiTheme="minorEastAsia" w:eastAsiaTheme="minorEastAsia" w:cstheme="minorEastAsia"/>
                <w:kern w:val="0"/>
                <w:sz w:val="24"/>
              </w:rPr>
            </w:pPr>
            <w:r>
              <w:rPr>
                <w:rFonts w:hint="eastAsia" w:ascii="宋体" w:hAnsi="宋体" w:cs="宋体"/>
                <w:bCs/>
                <w:kern w:val="0"/>
                <w:sz w:val="24"/>
              </w:rPr>
              <w:t>2</w:t>
            </w:r>
          </w:p>
        </w:tc>
        <w:tc>
          <w:tcPr>
            <w:tcW w:w="1779" w:type="dxa"/>
            <w:vAlign w:val="center"/>
          </w:tcPr>
          <w:p w14:paraId="7DA64AFC">
            <w:pPr>
              <w:widowControl/>
              <w:spacing w:line="400" w:lineRule="exact"/>
              <w:jc w:val="center"/>
              <w:rPr>
                <w:rFonts w:asciiTheme="minorEastAsia" w:hAnsiTheme="minorEastAsia" w:eastAsiaTheme="minorEastAsia" w:cstheme="minorEastAsia"/>
                <w:kern w:val="0"/>
                <w:sz w:val="24"/>
              </w:rPr>
            </w:pPr>
          </w:p>
        </w:tc>
        <w:tc>
          <w:tcPr>
            <w:tcW w:w="3874" w:type="dxa"/>
            <w:vAlign w:val="center"/>
          </w:tcPr>
          <w:p w14:paraId="09634DC1">
            <w:pPr>
              <w:widowControl/>
              <w:spacing w:line="400" w:lineRule="exact"/>
              <w:jc w:val="left"/>
              <w:rPr>
                <w:rFonts w:asciiTheme="minorEastAsia" w:hAnsiTheme="minorEastAsia" w:eastAsiaTheme="minorEastAsia" w:cstheme="minorEastAsia"/>
                <w:kern w:val="0"/>
                <w:sz w:val="24"/>
              </w:rPr>
            </w:pPr>
          </w:p>
        </w:tc>
        <w:tc>
          <w:tcPr>
            <w:tcW w:w="2400" w:type="dxa"/>
          </w:tcPr>
          <w:p w14:paraId="3395D84A">
            <w:pPr>
              <w:pStyle w:val="25"/>
              <w:spacing w:line="400" w:lineRule="exact"/>
              <w:ind w:firstLine="0" w:firstLineChars="0"/>
              <w:jc w:val="left"/>
              <w:rPr>
                <w:rFonts w:asciiTheme="minorEastAsia" w:hAnsiTheme="minorEastAsia" w:eastAsiaTheme="minorEastAsia" w:cstheme="minorEastAsia"/>
                <w:kern w:val="0"/>
                <w:sz w:val="24"/>
                <w:szCs w:val="24"/>
              </w:rPr>
            </w:pPr>
          </w:p>
        </w:tc>
        <w:tc>
          <w:tcPr>
            <w:tcW w:w="1083" w:type="dxa"/>
          </w:tcPr>
          <w:p w14:paraId="044561EF">
            <w:pPr>
              <w:pStyle w:val="25"/>
              <w:spacing w:line="400" w:lineRule="exact"/>
              <w:ind w:firstLine="0" w:firstLineChars="0"/>
              <w:jc w:val="left"/>
              <w:rPr>
                <w:rFonts w:asciiTheme="minorEastAsia" w:hAnsiTheme="minorEastAsia" w:eastAsiaTheme="minorEastAsia" w:cstheme="minorEastAsia"/>
                <w:kern w:val="0"/>
                <w:sz w:val="24"/>
                <w:szCs w:val="24"/>
              </w:rPr>
            </w:pPr>
          </w:p>
        </w:tc>
      </w:tr>
      <w:tr w14:paraId="14245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762E0CAB">
            <w:pPr>
              <w:widowControl/>
              <w:spacing w:line="400" w:lineRule="exact"/>
              <w:jc w:val="center"/>
              <w:rPr>
                <w:rFonts w:asciiTheme="minorEastAsia" w:hAnsiTheme="minorEastAsia" w:eastAsiaTheme="minorEastAsia" w:cstheme="minorEastAsia"/>
                <w:kern w:val="0"/>
                <w:sz w:val="24"/>
              </w:rPr>
            </w:pPr>
            <w:r>
              <w:rPr>
                <w:rFonts w:hint="eastAsia" w:ascii="宋体" w:hAnsi="宋体" w:cs="宋体"/>
                <w:bCs/>
                <w:kern w:val="0"/>
                <w:sz w:val="24"/>
              </w:rPr>
              <w:t>3</w:t>
            </w:r>
          </w:p>
        </w:tc>
        <w:tc>
          <w:tcPr>
            <w:tcW w:w="1779" w:type="dxa"/>
            <w:vAlign w:val="center"/>
          </w:tcPr>
          <w:p w14:paraId="74FAFD97">
            <w:pPr>
              <w:widowControl/>
              <w:spacing w:line="400" w:lineRule="exact"/>
              <w:jc w:val="center"/>
              <w:rPr>
                <w:rFonts w:asciiTheme="minorEastAsia" w:hAnsiTheme="minorEastAsia" w:eastAsiaTheme="minorEastAsia" w:cstheme="minorEastAsia"/>
                <w:kern w:val="0"/>
                <w:sz w:val="24"/>
              </w:rPr>
            </w:pPr>
          </w:p>
        </w:tc>
        <w:tc>
          <w:tcPr>
            <w:tcW w:w="3874" w:type="dxa"/>
            <w:vAlign w:val="center"/>
          </w:tcPr>
          <w:p w14:paraId="6430E47B">
            <w:pPr>
              <w:spacing w:line="400" w:lineRule="exact"/>
              <w:jc w:val="left"/>
              <w:rPr>
                <w:rFonts w:asciiTheme="minorEastAsia" w:hAnsiTheme="minorEastAsia" w:eastAsiaTheme="minorEastAsia" w:cstheme="minorEastAsia"/>
                <w:kern w:val="0"/>
                <w:sz w:val="24"/>
              </w:rPr>
            </w:pPr>
          </w:p>
        </w:tc>
        <w:tc>
          <w:tcPr>
            <w:tcW w:w="2400" w:type="dxa"/>
          </w:tcPr>
          <w:p w14:paraId="19CF29D1">
            <w:pPr>
              <w:pStyle w:val="25"/>
              <w:spacing w:line="400" w:lineRule="exact"/>
              <w:ind w:firstLine="0" w:firstLineChars="0"/>
              <w:rPr>
                <w:rFonts w:asciiTheme="minorEastAsia" w:hAnsiTheme="minorEastAsia" w:eastAsiaTheme="minorEastAsia" w:cstheme="minorEastAsia"/>
                <w:kern w:val="0"/>
                <w:sz w:val="24"/>
                <w:szCs w:val="24"/>
              </w:rPr>
            </w:pPr>
          </w:p>
        </w:tc>
        <w:tc>
          <w:tcPr>
            <w:tcW w:w="1083" w:type="dxa"/>
          </w:tcPr>
          <w:p w14:paraId="17654006">
            <w:pPr>
              <w:pStyle w:val="25"/>
              <w:spacing w:line="400" w:lineRule="exact"/>
              <w:ind w:firstLine="0" w:firstLineChars="0"/>
              <w:rPr>
                <w:rFonts w:asciiTheme="minorEastAsia" w:hAnsiTheme="minorEastAsia" w:eastAsiaTheme="minorEastAsia" w:cstheme="minorEastAsia"/>
                <w:kern w:val="0"/>
                <w:sz w:val="24"/>
                <w:szCs w:val="24"/>
              </w:rPr>
            </w:pPr>
          </w:p>
        </w:tc>
      </w:tr>
      <w:tr w14:paraId="583D4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1850C227">
            <w:pPr>
              <w:widowControl/>
              <w:spacing w:line="400" w:lineRule="exact"/>
              <w:jc w:val="center"/>
              <w:rPr>
                <w:rFonts w:asciiTheme="minorEastAsia" w:hAnsiTheme="minorEastAsia" w:cstheme="minorEastAsia"/>
                <w:kern w:val="0"/>
                <w:sz w:val="24"/>
              </w:rPr>
            </w:pPr>
            <w:r>
              <w:rPr>
                <w:rFonts w:hint="eastAsia" w:ascii="宋体" w:hAnsi="宋体" w:cs="宋体"/>
                <w:bCs/>
                <w:kern w:val="0"/>
                <w:sz w:val="24"/>
              </w:rPr>
              <w:t>...</w:t>
            </w:r>
          </w:p>
        </w:tc>
        <w:tc>
          <w:tcPr>
            <w:tcW w:w="1779" w:type="dxa"/>
            <w:vAlign w:val="center"/>
          </w:tcPr>
          <w:p w14:paraId="628FF716">
            <w:pPr>
              <w:widowControl/>
              <w:spacing w:line="400" w:lineRule="exact"/>
              <w:jc w:val="center"/>
              <w:rPr>
                <w:rFonts w:asciiTheme="minorEastAsia" w:hAnsiTheme="minorEastAsia" w:eastAsiaTheme="minorEastAsia" w:cstheme="minorEastAsia"/>
                <w:kern w:val="0"/>
                <w:sz w:val="24"/>
              </w:rPr>
            </w:pPr>
          </w:p>
        </w:tc>
        <w:tc>
          <w:tcPr>
            <w:tcW w:w="3874" w:type="dxa"/>
            <w:vAlign w:val="center"/>
          </w:tcPr>
          <w:p w14:paraId="3E3726C7">
            <w:pPr>
              <w:pStyle w:val="3"/>
              <w:spacing w:line="400" w:lineRule="exact"/>
              <w:outlineLvl w:val="3"/>
              <w:rPr>
                <w:rFonts w:asciiTheme="minorEastAsia" w:hAnsiTheme="minorEastAsia" w:eastAsiaTheme="minorEastAsia" w:cstheme="minorEastAsia"/>
                <w:kern w:val="0"/>
                <w:sz w:val="24"/>
              </w:rPr>
            </w:pPr>
          </w:p>
        </w:tc>
        <w:tc>
          <w:tcPr>
            <w:tcW w:w="2400" w:type="dxa"/>
          </w:tcPr>
          <w:p w14:paraId="58A539BA">
            <w:pPr>
              <w:pStyle w:val="25"/>
              <w:spacing w:line="400" w:lineRule="exact"/>
              <w:ind w:firstLine="0" w:firstLineChars="0"/>
              <w:rPr>
                <w:rFonts w:asciiTheme="minorEastAsia" w:hAnsiTheme="minorEastAsia" w:eastAsiaTheme="minorEastAsia" w:cstheme="minorEastAsia"/>
                <w:kern w:val="0"/>
                <w:sz w:val="24"/>
                <w:szCs w:val="24"/>
              </w:rPr>
            </w:pPr>
          </w:p>
        </w:tc>
        <w:tc>
          <w:tcPr>
            <w:tcW w:w="1083" w:type="dxa"/>
          </w:tcPr>
          <w:p w14:paraId="4F4439A1">
            <w:pPr>
              <w:pStyle w:val="25"/>
              <w:spacing w:line="400" w:lineRule="exact"/>
              <w:ind w:firstLine="0" w:firstLineChars="0"/>
              <w:rPr>
                <w:rFonts w:asciiTheme="minorEastAsia" w:hAnsiTheme="minorEastAsia" w:eastAsiaTheme="minorEastAsia" w:cstheme="minorEastAsia"/>
                <w:kern w:val="0"/>
                <w:sz w:val="24"/>
                <w:szCs w:val="24"/>
              </w:rPr>
            </w:pPr>
          </w:p>
        </w:tc>
      </w:tr>
      <w:tr w14:paraId="400C5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jc w:val="center"/>
        </w:trPr>
        <w:tc>
          <w:tcPr>
            <w:tcW w:w="9916" w:type="dxa"/>
            <w:gridSpan w:val="5"/>
            <w:vAlign w:val="center"/>
          </w:tcPr>
          <w:p w14:paraId="0B67DC2E">
            <w:pPr>
              <w:pStyle w:val="3"/>
              <w:spacing w:line="400" w:lineRule="exact"/>
              <w:jc w:val="left"/>
              <w:outlineLvl w:val="3"/>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注：1.按“第二章  项目需求和说明”逐条响应</w:t>
            </w:r>
          </w:p>
          <w:p w14:paraId="482C204C">
            <w:pPr>
              <w:pStyle w:val="3"/>
              <w:spacing w:line="400" w:lineRule="exact"/>
              <w:ind w:firstLine="422" w:firstLineChars="200"/>
              <w:jc w:val="left"/>
              <w:outlineLvl w:val="3"/>
            </w:pPr>
          </w:p>
        </w:tc>
      </w:tr>
    </w:tbl>
    <w:p w14:paraId="39301AB1">
      <w:pPr>
        <w:pStyle w:val="4"/>
        <w:spacing w:line="400" w:lineRule="exact"/>
        <w:ind w:left="0"/>
        <w:rPr>
          <w:rFonts w:ascii="宋体" w:hAnsi="宋体" w:cs="宋体"/>
          <w:sz w:val="24"/>
        </w:rPr>
      </w:pPr>
    </w:p>
    <w:p w14:paraId="5CD39210">
      <w:pPr>
        <w:spacing w:line="400" w:lineRule="exact"/>
        <w:rPr>
          <w:rFonts w:hAnsi="宋体"/>
          <w:b/>
          <w:szCs w:val="21"/>
        </w:rPr>
      </w:pPr>
    </w:p>
    <w:p w14:paraId="3B97636D">
      <w:pPr>
        <w:spacing w:line="400" w:lineRule="exact"/>
        <w:rPr>
          <w:rFonts w:hAnsi="宋体"/>
          <w:b/>
          <w:szCs w:val="21"/>
        </w:rPr>
      </w:pPr>
    </w:p>
    <w:p w14:paraId="39CE30DA">
      <w:pPr>
        <w:spacing w:line="400" w:lineRule="exact"/>
        <w:jc w:val="center"/>
        <w:rPr>
          <w:rFonts w:hAnsi="宋体"/>
          <w:b/>
          <w:sz w:val="32"/>
          <w:szCs w:val="32"/>
        </w:rPr>
      </w:pPr>
    </w:p>
    <w:p w14:paraId="4F208A5C">
      <w:pPr>
        <w:spacing w:line="400" w:lineRule="exact"/>
        <w:jc w:val="center"/>
        <w:rPr>
          <w:rFonts w:hint="eastAsia" w:ascii="宋体" w:hAnsi="宋体" w:eastAsia="宋体" w:cs="宋体"/>
          <w:b/>
          <w:sz w:val="30"/>
          <w:szCs w:val="30"/>
        </w:rPr>
      </w:pPr>
      <w:r>
        <w:rPr>
          <w:rFonts w:hint="eastAsia" w:ascii="宋体" w:hAnsi="宋体" w:eastAsia="宋体" w:cs="宋体"/>
          <w:b/>
          <w:sz w:val="30"/>
          <w:szCs w:val="30"/>
        </w:rPr>
        <w:t>投标人可结合本项目的评标办法视自身情况自行提交相关证明材料（如有，请提供）</w:t>
      </w:r>
    </w:p>
    <w:p w14:paraId="1D42319D">
      <w:pPr>
        <w:pStyle w:val="3"/>
        <w:spacing w:line="400" w:lineRule="exact"/>
      </w:pPr>
    </w:p>
    <w:p w14:paraId="209CF479"/>
    <w:p w14:paraId="12DE7507">
      <w:pPr>
        <w:pStyle w:val="3"/>
        <w:spacing w:line="400" w:lineRule="exact"/>
      </w:pPr>
    </w:p>
    <w:p w14:paraId="3DFB07F9"/>
    <w:sectPr>
      <w:footerReference r:id="rId4" w:type="default"/>
      <w:pgSz w:w="11906" w:h="16838"/>
      <w:pgMar w:top="1304" w:right="130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方正大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E06EC">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BF64FF">
                          <w:pPr>
                            <w:pStyle w:val="12"/>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68BF64FF">
                    <w:pPr>
                      <w:pStyle w:val="12"/>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35015">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B8986F0">
                          <w:pPr>
                            <w:pStyle w:val="12"/>
                          </w:pPr>
                          <w:r>
                            <w:fldChar w:fldCharType="begin"/>
                          </w:r>
                          <w:r>
                            <w:instrText xml:space="preserve"> PAGE  \* MERGEFORMAT </w:instrText>
                          </w:r>
                          <w:r>
                            <w:fldChar w:fldCharType="separate"/>
                          </w:r>
                          <w:r>
                            <w:t>22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3B8986F0">
                    <w:pPr>
                      <w:pStyle w:val="12"/>
                    </w:pPr>
                    <w:r>
                      <w:fldChar w:fldCharType="begin"/>
                    </w:r>
                    <w:r>
                      <w:instrText xml:space="preserve"> PAGE  \* MERGEFORMAT </w:instrText>
                    </w:r>
                    <w:r>
                      <w:fldChar w:fldCharType="separate"/>
                    </w:r>
                    <w:r>
                      <w:t>22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946299"/>
    <w:multiLevelType w:val="singleLevel"/>
    <w:tmpl w:val="5C946299"/>
    <w:lvl w:ilvl="0"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636D7B"/>
    <w:rsid w:val="00176967"/>
    <w:rsid w:val="0030649A"/>
    <w:rsid w:val="00330B9F"/>
    <w:rsid w:val="003A6A0B"/>
    <w:rsid w:val="004B64B0"/>
    <w:rsid w:val="00560257"/>
    <w:rsid w:val="006907EF"/>
    <w:rsid w:val="00A80F75"/>
    <w:rsid w:val="00AA614D"/>
    <w:rsid w:val="00AD505D"/>
    <w:rsid w:val="00BE2051"/>
    <w:rsid w:val="00C733E3"/>
    <w:rsid w:val="00D848FE"/>
    <w:rsid w:val="00DF5253"/>
    <w:rsid w:val="00E751BA"/>
    <w:rsid w:val="00E865DB"/>
    <w:rsid w:val="0CD30126"/>
    <w:rsid w:val="14337207"/>
    <w:rsid w:val="17F06B12"/>
    <w:rsid w:val="1B237A68"/>
    <w:rsid w:val="263B2C98"/>
    <w:rsid w:val="2C242ED7"/>
    <w:rsid w:val="38C109B4"/>
    <w:rsid w:val="38E946AA"/>
    <w:rsid w:val="3F2226C4"/>
    <w:rsid w:val="48D53E3D"/>
    <w:rsid w:val="4D756E58"/>
    <w:rsid w:val="52636C17"/>
    <w:rsid w:val="599C77FF"/>
    <w:rsid w:val="5AA862C2"/>
    <w:rsid w:val="63636D7B"/>
    <w:rsid w:val="66EC2C07"/>
    <w:rsid w:val="69B83B3A"/>
    <w:rsid w:val="6A9E6E7B"/>
    <w:rsid w:val="6F5536E8"/>
    <w:rsid w:val="7D295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spacing w:before="161"/>
      <w:ind w:left="218"/>
      <w:outlineLvl w:val="0"/>
    </w:pPr>
    <w:rPr>
      <w:rFonts w:ascii="宋体" w:hAnsi="宋体" w:cs="宋体"/>
      <w:b/>
      <w:bCs/>
      <w:sz w:val="24"/>
    </w:rPr>
  </w:style>
  <w:style w:type="paragraph" w:styleId="3">
    <w:name w:val="heading 4"/>
    <w:basedOn w:val="1"/>
    <w:next w:val="1"/>
    <w:qFormat/>
    <w:uiPriority w:val="0"/>
    <w:pPr>
      <w:keepNext/>
      <w:keepLines/>
      <w:spacing w:line="360" w:lineRule="auto"/>
      <w:outlineLvl w:val="3"/>
    </w:pPr>
    <w:rPr>
      <w:rFonts w:ascii="Arial" w:hAnsi="Arial"/>
      <w:b/>
      <w:bCs/>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index 8"/>
    <w:basedOn w:val="1"/>
    <w:next w:val="1"/>
    <w:unhideWhenUsed/>
    <w:qFormat/>
    <w:uiPriority w:val="0"/>
    <w:pPr>
      <w:ind w:left="2940"/>
    </w:pPr>
  </w:style>
  <w:style w:type="paragraph" w:styleId="5">
    <w:name w:val="annotation text"/>
    <w:basedOn w:val="1"/>
    <w:link w:val="26"/>
    <w:qFormat/>
    <w:uiPriority w:val="0"/>
    <w:pPr>
      <w:jc w:val="left"/>
    </w:pPr>
  </w:style>
  <w:style w:type="paragraph" w:styleId="6">
    <w:name w:val="Body Text"/>
    <w:basedOn w:val="1"/>
    <w:next w:val="1"/>
    <w:qFormat/>
    <w:uiPriority w:val="0"/>
    <w:pPr>
      <w:spacing w:after="120"/>
    </w:pPr>
  </w:style>
  <w:style w:type="paragraph" w:styleId="7">
    <w:name w:val="Body Text Indent"/>
    <w:basedOn w:val="1"/>
    <w:qFormat/>
    <w:uiPriority w:val="0"/>
    <w:pPr>
      <w:spacing w:line="460" w:lineRule="exact"/>
      <w:ind w:firstLine="560"/>
    </w:pPr>
    <w:rPr>
      <w:sz w:val="28"/>
      <w:szCs w:val="20"/>
    </w:rPr>
  </w:style>
  <w:style w:type="paragraph" w:styleId="8">
    <w:name w:val="index 4"/>
    <w:basedOn w:val="1"/>
    <w:next w:val="1"/>
    <w:unhideWhenUsed/>
    <w:qFormat/>
    <w:uiPriority w:val="99"/>
    <w:pPr>
      <w:ind w:left="600" w:leftChars="600"/>
    </w:pPr>
    <w:rPr>
      <w:rFonts w:ascii="Verdana" w:hAnsi="Verdana"/>
      <w:szCs w:val="20"/>
    </w:rPr>
  </w:style>
  <w:style w:type="paragraph" w:styleId="9">
    <w:name w:val="toc 3"/>
    <w:basedOn w:val="1"/>
    <w:next w:val="1"/>
    <w:unhideWhenUsed/>
    <w:qFormat/>
    <w:uiPriority w:val="39"/>
    <w:pPr>
      <w:ind w:left="840" w:leftChars="400"/>
    </w:pPr>
  </w:style>
  <w:style w:type="paragraph" w:styleId="10">
    <w:name w:val="Plain Text"/>
    <w:basedOn w:val="1"/>
    <w:qFormat/>
    <w:uiPriority w:val="0"/>
    <w:rPr>
      <w:rFonts w:ascii="宋体" w:hAnsi="Courier New"/>
      <w:kern w:val="0"/>
      <w:sz w:val="20"/>
      <w:szCs w:val="20"/>
    </w:rPr>
  </w:style>
  <w:style w:type="paragraph" w:styleId="11">
    <w:name w:val="Balloon Text"/>
    <w:basedOn w:val="1"/>
    <w:link w:val="28"/>
    <w:qFormat/>
    <w:uiPriority w:val="0"/>
    <w:rPr>
      <w:sz w:val="18"/>
      <w:szCs w:val="18"/>
    </w:rPr>
  </w:style>
  <w:style w:type="paragraph" w:styleId="12">
    <w:name w:val="footer"/>
    <w:basedOn w:val="1"/>
    <w:qFormat/>
    <w:uiPriority w:val="0"/>
    <w:pPr>
      <w:tabs>
        <w:tab w:val="center" w:pos="4153"/>
        <w:tab w:val="right" w:pos="8306"/>
      </w:tabs>
      <w:snapToGrid w:val="0"/>
      <w:jc w:val="left"/>
    </w:pPr>
    <w:rPr>
      <w:kern w:val="0"/>
      <w:sz w:val="18"/>
      <w:szCs w:val="18"/>
    </w:rPr>
  </w:style>
  <w:style w:type="paragraph" w:styleId="13">
    <w:name w:val="header"/>
    <w:basedOn w:val="1"/>
    <w:next w:val="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4">
    <w:name w:val="引用1"/>
    <w:basedOn w:val="1"/>
    <w:next w:val="1"/>
    <w:qFormat/>
    <w:uiPriority w:val="0"/>
    <w:pPr>
      <w:ind w:left="864" w:right="864"/>
      <w:jc w:val="center"/>
    </w:pPr>
    <w:rPr>
      <w:i/>
      <w:iCs/>
      <w:color w:val="404040"/>
      <w:szCs w:val="21"/>
    </w:rPr>
  </w:style>
  <w:style w:type="paragraph" w:styleId="15">
    <w:name w:val="toc 1"/>
    <w:basedOn w:val="1"/>
    <w:next w:val="1"/>
    <w:qFormat/>
    <w:uiPriority w:val="39"/>
  </w:style>
  <w:style w:type="paragraph" w:styleId="16">
    <w:name w:val="Title"/>
    <w:basedOn w:val="1"/>
    <w:next w:val="1"/>
    <w:qFormat/>
    <w:uiPriority w:val="1"/>
    <w:pPr>
      <w:spacing w:before="171"/>
      <w:ind w:left="2520" w:right="2556"/>
      <w:jc w:val="center"/>
    </w:pPr>
    <w:rPr>
      <w:rFonts w:ascii="宋体" w:hAnsi="宋体" w:cs="宋体"/>
      <w:sz w:val="44"/>
      <w:szCs w:val="44"/>
    </w:rPr>
  </w:style>
  <w:style w:type="paragraph" w:styleId="17">
    <w:name w:val="annotation subject"/>
    <w:basedOn w:val="5"/>
    <w:next w:val="5"/>
    <w:link w:val="27"/>
    <w:qFormat/>
    <w:uiPriority w:val="0"/>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paragraph" w:customStyle="1" w:styleId="23">
    <w:name w:val="_Style 7"/>
    <w:basedOn w:val="2"/>
    <w:next w:val="1"/>
    <w:qFormat/>
    <w:uiPriority w:val="39"/>
    <w:pPr>
      <w:widowControl/>
      <w:spacing w:before="240" w:line="259" w:lineRule="auto"/>
      <w:jc w:val="left"/>
      <w:outlineLvl w:val="9"/>
    </w:pPr>
    <w:rPr>
      <w:rFonts w:ascii="等线 Light" w:hAnsi="等线 Light" w:eastAsia="等线 Light" w:cs="Times New Roman"/>
      <w:b w:val="0"/>
      <w:bCs w:val="0"/>
      <w:color w:val="2F5496"/>
      <w:kern w:val="0"/>
      <w:sz w:val="32"/>
      <w:szCs w:val="32"/>
    </w:rPr>
  </w:style>
  <w:style w:type="paragraph" w:customStyle="1" w:styleId="24">
    <w:name w:val="列出段落1"/>
    <w:basedOn w:val="1"/>
    <w:qFormat/>
    <w:uiPriority w:val="34"/>
    <w:pPr>
      <w:ind w:left="850"/>
    </w:pPr>
    <w:rPr>
      <w:rFonts w:ascii="Calibri" w:hAnsi="Calibri"/>
      <w:szCs w:val="21"/>
    </w:rPr>
  </w:style>
  <w:style w:type="paragraph" w:customStyle="1" w:styleId="25">
    <w:name w:val="List Paragraph_40b67d30-6b8b-4697-8f49-97c11e174001"/>
    <w:basedOn w:val="1"/>
    <w:qFormat/>
    <w:uiPriority w:val="0"/>
    <w:pPr>
      <w:ind w:firstLine="420" w:firstLineChars="200"/>
    </w:pPr>
    <w:rPr>
      <w:rFonts w:ascii="Calibri" w:hAnsi="Calibri" w:cs="宋体"/>
      <w:szCs w:val="22"/>
    </w:rPr>
  </w:style>
  <w:style w:type="character" w:customStyle="1" w:styleId="26">
    <w:name w:val="批注文字 字符"/>
    <w:basedOn w:val="20"/>
    <w:link w:val="5"/>
    <w:qFormat/>
    <w:uiPriority w:val="0"/>
    <w:rPr>
      <w:rFonts w:ascii="Times New Roman" w:hAnsi="Times New Roman" w:eastAsia="宋体" w:cs="Times New Roman"/>
      <w:kern w:val="2"/>
      <w:sz w:val="21"/>
      <w:szCs w:val="24"/>
    </w:rPr>
  </w:style>
  <w:style w:type="character" w:customStyle="1" w:styleId="27">
    <w:name w:val="批注主题 字符"/>
    <w:basedOn w:val="26"/>
    <w:link w:val="17"/>
    <w:qFormat/>
    <w:uiPriority w:val="0"/>
    <w:rPr>
      <w:rFonts w:ascii="Times New Roman" w:hAnsi="Times New Roman" w:eastAsia="宋体" w:cs="Times New Roman"/>
      <w:b/>
      <w:bCs/>
      <w:kern w:val="2"/>
      <w:sz w:val="21"/>
      <w:szCs w:val="24"/>
    </w:rPr>
  </w:style>
  <w:style w:type="character" w:customStyle="1" w:styleId="28">
    <w:name w:val="批注框文本 字符"/>
    <w:basedOn w:val="20"/>
    <w:link w:val="11"/>
    <w:qFormat/>
    <w:uiPriority w:val="0"/>
    <w:rPr>
      <w:rFonts w:ascii="Times New Roman" w:hAnsi="Times New Roman" w:eastAsia="宋体" w:cs="Times New Roman"/>
      <w:kern w:val="2"/>
      <w:sz w:val="18"/>
      <w:szCs w:val="18"/>
    </w:rPr>
  </w:style>
  <w:style w:type="paragraph" w:customStyle="1" w:styleId="29">
    <w:name w:val="Table Paragraph"/>
    <w:basedOn w:val="1"/>
    <w:qFormat/>
    <w:uiPriority w:val="1"/>
    <w:pPr>
      <w:autoSpaceDE w:val="0"/>
      <w:autoSpaceDN w:val="0"/>
      <w:spacing w:before="132"/>
      <w:ind w:left="108"/>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13130</Words>
  <Characters>14169</Characters>
  <Lines>162</Lines>
  <Paragraphs>45</Paragraphs>
  <TotalTime>12</TotalTime>
  <ScaleCrop>false</ScaleCrop>
  <LinksUpToDate>false</LinksUpToDate>
  <CharactersWithSpaces>14871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2025-05-27T03:40:00Z</dcterms:created>
  <dc:creator>水晶海豚</dc:creator>
  <cp:lastModifiedBy>H.小薇</cp:lastModifiedBy>
  <dcterms:modified xsi:type="dcterms:W3CDTF">2025-07-16T07:26:01Z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A7FACA96C9164D2EA3147770602B28EA_13</vt:lpwstr>
  </property>
  <property fmtid="{D5CDD505-2E9C-101B-9397-08002B2CF9AE}" pid="4" name="KSOTemplateDocerSaveRecord">
    <vt:lpwstr>eyJoZGlkIjoiZDBlYzBkYTEwODIwYzhjZjA1MTAxNTFkOTI0NzUzNjkiLCJ1c2VySWQiOiIyMjgyNjQ3NTgifQ==</vt:lpwstr>
  </property>
</Properties>
</file>