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98539">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0B711921">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3668DCCE">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1641A7D4">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05F449BA">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598B0993">
      <w:pPr>
        <w:pStyle w:val="9"/>
        <w:pageBreakBefore w:val="0"/>
        <w:kinsoku/>
        <w:wordWrap/>
        <w:overflowPunct/>
        <w:topLinePunct w:val="0"/>
        <w:autoSpaceDE/>
        <w:autoSpaceDN/>
        <w:bidi w:val="0"/>
        <w:spacing w:line="400" w:lineRule="exact"/>
        <w:jc w:val="center"/>
        <w:rPr>
          <w:rFonts w:ascii="Arial" w:hAnsi="Arial" w:eastAsia="楷体_GB2312" w:cs="Arial"/>
          <w:b/>
          <w:bCs/>
          <w:sz w:val="56"/>
          <w:szCs w:val="72"/>
        </w:rPr>
      </w:pPr>
    </w:p>
    <w:p w14:paraId="3A7847BC">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cs="宋体"/>
          <w:b/>
          <w:bCs/>
          <w:sz w:val="44"/>
          <w:szCs w:val="44"/>
        </w:rPr>
      </w:pPr>
      <w:r>
        <w:rPr>
          <w:rFonts w:hint="eastAsia" w:hAnsi="宋体" w:cs="宋体"/>
          <w:b/>
          <w:bCs/>
          <w:sz w:val="44"/>
          <w:szCs w:val="44"/>
        </w:rPr>
        <w:t>桂林市人民医院</w:t>
      </w:r>
    </w:p>
    <w:p w14:paraId="0E36DD97">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cs="宋体"/>
          <w:b/>
          <w:bCs/>
          <w:sz w:val="44"/>
          <w:szCs w:val="44"/>
        </w:rPr>
      </w:pPr>
      <w:r>
        <w:rPr>
          <w:rFonts w:hint="eastAsia" w:hAnsi="宋体" w:cs="宋体"/>
          <w:b/>
          <w:bCs/>
          <w:sz w:val="44"/>
          <w:szCs w:val="44"/>
        </w:rPr>
        <w:t>双活存储升级扩容及虚拟化交换机采购招标文件</w:t>
      </w:r>
    </w:p>
    <w:p w14:paraId="50E6FEA1">
      <w:pPr>
        <w:pStyle w:val="9"/>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Arial" w:hAnsi="Arial" w:eastAsia="楷体_GB2312" w:cs="Arial"/>
          <w:b/>
          <w:bCs/>
          <w:sz w:val="24"/>
          <w:szCs w:val="24"/>
        </w:rPr>
      </w:pPr>
    </w:p>
    <w:p w14:paraId="6F67FA63">
      <w:pPr>
        <w:pStyle w:val="9"/>
        <w:pageBreakBefore w:val="0"/>
        <w:kinsoku/>
        <w:wordWrap/>
        <w:overflowPunct/>
        <w:topLinePunct w:val="0"/>
        <w:autoSpaceDE/>
        <w:autoSpaceDN/>
        <w:bidi w:val="0"/>
        <w:spacing w:line="400" w:lineRule="exact"/>
        <w:ind w:firstLine="2695"/>
        <w:rPr>
          <w:rFonts w:ascii="Arial" w:hAnsi="Arial" w:cs="Arial"/>
          <w:sz w:val="24"/>
          <w:szCs w:val="24"/>
        </w:rPr>
      </w:pPr>
    </w:p>
    <w:p w14:paraId="54E4B608">
      <w:pPr>
        <w:pStyle w:val="9"/>
        <w:pageBreakBefore w:val="0"/>
        <w:kinsoku/>
        <w:wordWrap/>
        <w:overflowPunct/>
        <w:topLinePunct w:val="0"/>
        <w:autoSpaceDE/>
        <w:autoSpaceDN/>
        <w:bidi w:val="0"/>
        <w:spacing w:line="400" w:lineRule="exact"/>
        <w:ind w:firstLine="2695"/>
        <w:rPr>
          <w:rFonts w:ascii="Arial" w:hAnsi="Arial" w:cs="Arial"/>
          <w:sz w:val="28"/>
        </w:rPr>
      </w:pPr>
      <w:r>
        <w:rPr>
          <w:rFonts w:ascii="Arial" w:hAnsi="Arial" w:cs="Arial"/>
          <w:sz w:val="28"/>
        </w:rPr>
        <w:cr/>
      </w:r>
    </w:p>
    <w:p w14:paraId="02C61105">
      <w:pPr>
        <w:pStyle w:val="9"/>
        <w:pageBreakBefore w:val="0"/>
        <w:kinsoku/>
        <w:wordWrap/>
        <w:overflowPunct/>
        <w:topLinePunct w:val="0"/>
        <w:autoSpaceDE/>
        <w:autoSpaceDN/>
        <w:bidi w:val="0"/>
        <w:spacing w:line="400" w:lineRule="exact"/>
        <w:ind w:firstLine="2695"/>
        <w:rPr>
          <w:rFonts w:ascii="Arial" w:hAnsi="Arial" w:cs="Arial"/>
          <w:sz w:val="28"/>
        </w:rPr>
      </w:pPr>
    </w:p>
    <w:p w14:paraId="7D0A0A76">
      <w:pPr>
        <w:pStyle w:val="9"/>
        <w:pageBreakBefore w:val="0"/>
        <w:kinsoku/>
        <w:wordWrap/>
        <w:overflowPunct/>
        <w:topLinePunct w:val="0"/>
        <w:autoSpaceDE/>
        <w:autoSpaceDN/>
        <w:bidi w:val="0"/>
        <w:spacing w:line="400" w:lineRule="exact"/>
        <w:ind w:firstLine="2695"/>
        <w:rPr>
          <w:rFonts w:ascii="Arial" w:hAnsi="Arial" w:cs="Arial"/>
          <w:sz w:val="28"/>
        </w:rPr>
      </w:pPr>
    </w:p>
    <w:p w14:paraId="7BE9E5EF">
      <w:pPr>
        <w:pStyle w:val="9"/>
        <w:pageBreakBefore w:val="0"/>
        <w:kinsoku/>
        <w:wordWrap/>
        <w:overflowPunct/>
        <w:topLinePunct w:val="0"/>
        <w:autoSpaceDE/>
        <w:autoSpaceDN/>
        <w:bidi w:val="0"/>
        <w:spacing w:line="400" w:lineRule="exact"/>
        <w:ind w:firstLine="2695"/>
        <w:rPr>
          <w:rFonts w:ascii="Arial" w:hAnsi="Arial" w:cs="Arial"/>
          <w:sz w:val="28"/>
        </w:rPr>
      </w:pPr>
    </w:p>
    <w:p w14:paraId="7BBA65EE">
      <w:pPr>
        <w:pStyle w:val="9"/>
        <w:pageBreakBefore w:val="0"/>
        <w:kinsoku/>
        <w:wordWrap/>
        <w:overflowPunct/>
        <w:topLinePunct w:val="0"/>
        <w:autoSpaceDE/>
        <w:autoSpaceDN/>
        <w:bidi w:val="0"/>
        <w:spacing w:line="400" w:lineRule="exact"/>
        <w:ind w:firstLine="2695"/>
        <w:rPr>
          <w:rFonts w:ascii="Arial" w:hAnsi="Arial" w:cs="Arial"/>
          <w:sz w:val="28"/>
        </w:rPr>
      </w:pPr>
    </w:p>
    <w:p w14:paraId="0C575BC4">
      <w:pPr>
        <w:pStyle w:val="9"/>
        <w:pageBreakBefore w:val="0"/>
        <w:kinsoku/>
        <w:wordWrap/>
        <w:overflowPunct/>
        <w:topLinePunct w:val="0"/>
        <w:autoSpaceDE/>
        <w:autoSpaceDN/>
        <w:bidi w:val="0"/>
        <w:spacing w:line="400" w:lineRule="exact"/>
        <w:ind w:firstLine="2695"/>
        <w:rPr>
          <w:rFonts w:ascii="Arial" w:hAnsi="Arial" w:cs="Arial"/>
          <w:sz w:val="28"/>
        </w:rPr>
      </w:pPr>
    </w:p>
    <w:p w14:paraId="6FFE69A8">
      <w:pPr>
        <w:pStyle w:val="9"/>
        <w:pageBreakBefore w:val="0"/>
        <w:kinsoku/>
        <w:wordWrap/>
        <w:overflowPunct/>
        <w:topLinePunct w:val="0"/>
        <w:autoSpaceDE/>
        <w:autoSpaceDN/>
        <w:bidi w:val="0"/>
        <w:spacing w:line="400" w:lineRule="exact"/>
        <w:rPr>
          <w:rFonts w:ascii="Arial" w:hAnsi="Arial" w:cs="Arial"/>
          <w:sz w:val="28"/>
        </w:rPr>
      </w:pPr>
    </w:p>
    <w:p w14:paraId="52B2F23F">
      <w:pPr>
        <w:pStyle w:val="9"/>
        <w:pageBreakBefore w:val="0"/>
        <w:kinsoku/>
        <w:wordWrap/>
        <w:overflowPunct/>
        <w:topLinePunct w:val="0"/>
        <w:autoSpaceDE/>
        <w:autoSpaceDN/>
        <w:bidi w:val="0"/>
        <w:spacing w:line="400" w:lineRule="exact"/>
        <w:rPr>
          <w:rFonts w:ascii="Arial" w:hAnsi="Arial" w:cs="Arial"/>
          <w:sz w:val="28"/>
        </w:rPr>
      </w:pPr>
    </w:p>
    <w:p w14:paraId="22ECDAFC">
      <w:pPr>
        <w:pStyle w:val="4"/>
        <w:pageBreakBefore w:val="0"/>
        <w:kinsoku/>
        <w:wordWrap/>
        <w:overflowPunct/>
        <w:topLinePunct w:val="0"/>
        <w:autoSpaceDE/>
        <w:autoSpaceDN/>
        <w:bidi w:val="0"/>
        <w:spacing w:line="400" w:lineRule="exact"/>
        <w:rPr>
          <w:rFonts w:ascii="Arial" w:hAnsi="Arial" w:cs="Arial"/>
          <w:sz w:val="28"/>
        </w:rPr>
      </w:pPr>
    </w:p>
    <w:p w14:paraId="39FDE998">
      <w:pPr>
        <w:pageBreakBefore w:val="0"/>
        <w:kinsoku/>
        <w:wordWrap/>
        <w:overflowPunct/>
        <w:topLinePunct w:val="0"/>
        <w:autoSpaceDE/>
        <w:autoSpaceDN/>
        <w:bidi w:val="0"/>
        <w:spacing w:line="400" w:lineRule="exact"/>
        <w:rPr>
          <w:rFonts w:ascii="Arial" w:hAnsi="Arial" w:cs="Arial"/>
          <w:sz w:val="28"/>
        </w:rPr>
      </w:pPr>
    </w:p>
    <w:p w14:paraId="3E344304">
      <w:pPr>
        <w:pageBreakBefore w:val="0"/>
        <w:kinsoku/>
        <w:wordWrap/>
        <w:overflowPunct/>
        <w:topLinePunct w:val="0"/>
        <w:autoSpaceDE/>
        <w:autoSpaceDN/>
        <w:bidi w:val="0"/>
        <w:spacing w:line="400" w:lineRule="exact"/>
        <w:rPr>
          <w:rFonts w:ascii="Arial" w:hAnsi="Arial" w:cs="Arial"/>
          <w:sz w:val="28"/>
        </w:rPr>
      </w:pPr>
    </w:p>
    <w:p w14:paraId="568509C5">
      <w:pPr>
        <w:pageBreakBefore w:val="0"/>
        <w:kinsoku/>
        <w:wordWrap/>
        <w:overflowPunct/>
        <w:topLinePunct w:val="0"/>
        <w:autoSpaceDE/>
        <w:autoSpaceDN/>
        <w:bidi w:val="0"/>
        <w:spacing w:line="400" w:lineRule="exact"/>
      </w:pPr>
    </w:p>
    <w:p w14:paraId="51E0CB69">
      <w:pPr>
        <w:pageBreakBefore w:val="0"/>
        <w:kinsoku/>
        <w:wordWrap/>
        <w:overflowPunct/>
        <w:topLinePunct w:val="0"/>
        <w:autoSpaceDE/>
        <w:autoSpaceDN/>
        <w:bidi w:val="0"/>
        <w:spacing w:line="400" w:lineRule="exact"/>
        <w:rPr>
          <w:rFonts w:ascii="Arial" w:hAnsi="Arial" w:cs="Arial"/>
          <w:sz w:val="28"/>
        </w:rPr>
      </w:pPr>
    </w:p>
    <w:p w14:paraId="12E85842">
      <w:pPr>
        <w:pStyle w:val="9"/>
        <w:pageBreakBefore w:val="0"/>
        <w:kinsoku/>
        <w:wordWrap/>
        <w:overflowPunct/>
        <w:topLinePunct w:val="0"/>
        <w:autoSpaceDE/>
        <w:autoSpaceDN/>
        <w:bidi w:val="0"/>
        <w:spacing w:line="400" w:lineRule="exact"/>
        <w:rPr>
          <w:rFonts w:ascii="Arial" w:hAnsi="Arial" w:cs="Arial"/>
          <w:sz w:val="28"/>
        </w:rPr>
      </w:pPr>
    </w:p>
    <w:p w14:paraId="01C9CFAA">
      <w:pPr>
        <w:pStyle w:val="9"/>
        <w:pageBreakBefore w:val="0"/>
        <w:kinsoku/>
        <w:wordWrap/>
        <w:overflowPunct/>
        <w:topLinePunct w:val="0"/>
        <w:autoSpaceDE/>
        <w:autoSpaceDN/>
        <w:bidi w:val="0"/>
        <w:spacing w:line="400" w:lineRule="exact"/>
        <w:jc w:val="center"/>
        <w:rPr>
          <w:rFonts w:hAnsi="宋体" w:cs="宋体"/>
          <w:b/>
          <w:bCs/>
          <w:sz w:val="36"/>
          <w:szCs w:val="36"/>
        </w:rPr>
      </w:pPr>
      <w:r>
        <w:rPr>
          <w:rFonts w:hint="eastAsia" w:hAnsi="宋体" w:cs="宋体"/>
          <w:b/>
          <w:bCs/>
          <w:sz w:val="36"/>
          <w:szCs w:val="36"/>
        </w:rPr>
        <w:t>2025年</w:t>
      </w:r>
      <w:r>
        <w:rPr>
          <w:rFonts w:hint="eastAsia" w:hAnsi="宋体" w:cs="宋体"/>
          <w:b/>
          <w:bCs/>
          <w:sz w:val="36"/>
          <w:szCs w:val="36"/>
          <w:lang w:val="en-US" w:eastAsia="zh-CN"/>
        </w:rPr>
        <w:t>7</w:t>
      </w:r>
      <w:r>
        <w:rPr>
          <w:rFonts w:hint="eastAsia" w:hAnsi="宋体" w:cs="宋体"/>
          <w:b/>
          <w:bCs/>
          <w:sz w:val="36"/>
          <w:szCs w:val="36"/>
        </w:rPr>
        <w:t>月</w:t>
      </w:r>
      <w:r>
        <w:rPr>
          <w:rFonts w:hint="eastAsia" w:hAnsi="宋体" w:cs="宋体"/>
          <w:b/>
          <w:bCs/>
          <w:sz w:val="36"/>
          <w:szCs w:val="36"/>
          <w:lang w:val="en-US" w:eastAsia="zh-CN"/>
        </w:rPr>
        <w:t>31</w:t>
      </w:r>
      <w:bookmarkStart w:id="4" w:name="_GoBack"/>
      <w:bookmarkEnd w:id="4"/>
      <w:r>
        <w:rPr>
          <w:rFonts w:hint="eastAsia" w:hAnsi="宋体" w:cs="宋体"/>
          <w:b/>
          <w:bCs/>
          <w:sz w:val="36"/>
          <w:szCs w:val="36"/>
        </w:rPr>
        <w:t>日</w:t>
      </w:r>
    </w:p>
    <w:p w14:paraId="67105A2E">
      <w:pPr>
        <w:pStyle w:val="9"/>
        <w:pageBreakBefore w:val="0"/>
        <w:kinsoku/>
        <w:wordWrap/>
        <w:overflowPunct/>
        <w:topLinePunct w:val="0"/>
        <w:autoSpaceDE/>
        <w:autoSpaceDN/>
        <w:bidi w:val="0"/>
        <w:spacing w:line="400" w:lineRule="exact"/>
        <w:jc w:val="center"/>
        <w:rPr>
          <w:rFonts w:hAnsi="宋体" w:cs="宋体"/>
          <w:b/>
          <w:bCs/>
          <w:sz w:val="36"/>
          <w:szCs w:val="36"/>
        </w:rPr>
      </w:pPr>
    </w:p>
    <w:p w14:paraId="2722C302">
      <w:pPr>
        <w:pStyle w:val="9"/>
        <w:pageBreakBefore w:val="0"/>
        <w:kinsoku/>
        <w:wordWrap/>
        <w:overflowPunct/>
        <w:topLinePunct w:val="0"/>
        <w:autoSpaceDE/>
        <w:autoSpaceDN/>
        <w:bidi w:val="0"/>
        <w:spacing w:line="400" w:lineRule="exact"/>
        <w:rPr>
          <w:rFonts w:hAnsi="宋体" w:cs="宋体"/>
          <w:b/>
          <w:bCs/>
          <w:sz w:val="36"/>
          <w:szCs w:val="36"/>
        </w:rPr>
      </w:pPr>
    </w:p>
    <w:p w14:paraId="7A5D38CF">
      <w:pPr>
        <w:pStyle w:val="9"/>
        <w:pageBreakBefore w:val="0"/>
        <w:kinsoku/>
        <w:wordWrap/>
        <w:overflowPunct/>
        <w:topLinePunct w:val="0"/>
        <w:autoSpaceDE/>
        <w:autoSpaceDN/>
        <w:bidi w:val="0"/>
        <w:spacing w:line="400" w:lineRule="exact"/>
        <w:rPr>
          <w:rFonts w:hAnsi="宋体" w:cs="宋体"/>
          <w:b/>
          <w:bCs/>
          <w:sz w:val="36"/>
          <w:szCs w:val="36"/>
        </w:rPr>
      </w:pPr>
    </w:p>
    <w:p w14:paraId="35C3763C">
      <w:pPr>
        <w:pStyle w:val="9"/>
        <w:pageBreakBefore w:val="0"/>
        <w:kinsoku/>
        <w:wordWrap/>
        <w:overflowPunct/>
        <w:topLinePunct w:val="0"/>
        <w:autoSpaceDE/>
        <w:autoSpaceDN/>
        <w:bidi w:val="0"/>
        <w:spacing w:line="400" w:lineRule="exact"/>
        <w:rPr>
          <w:rFonts w:hAnsi="宋体" w:cs="宋体"/>
          <w:b/>
          <w:bCs/>
          <w:sz w:val="36"/>
          <w:szCs w:val="36"/>
        </w:rPr>
      </w:pPr>
    </w:p>
    <w:p w14:paraId="526B6EC8">
      <w:pPr>
        <w:pStyle w:val="9"/>
        <w:pageBreakBefore w:val="0"/>
        <w:kinsoku/>
        <w:wordWrap/>
        <w:overflowPunct/>
        <w:topLinePunct w:val="0"/>
        <w:autoSpaceDE/>
        <w:autoSpaceDN/>
        <w:bidi w:val="0"/>
        <w:spacing w:line="400" w:lineRule="exact"/>
        <w:rPr>
          <w:rFonts w:hAnsi="宋体" w:cs="宋体"/>
          <w:b/>
          <w:bCs/>
          <w:sz w:val="36"/>
          <w:szCs w:val="36"/>
        </w:rPr>
      </w:pPr>
    </w:p>
    <w:p w14:paraId="34DCF86E">
      <w:pPr>
        <w:pStyle w:val="9"/>
        <w:pageBreakBefore w:val="0"/>
        <w:kinsoku/>
        <w:wordWrap/>
        <w:overflowPunct/>
        <w:topLinePunct w:val="0"/>
        <w:autoSpaceDE/>
        <w:autoSpaceDN/>
        <w:bidi w:val="0"/>
        <w:spacing w:line="400" w:lineRule="exact"/>
        <w:rPr>
          <w:rFonts w:hAnsi="宋体" w:cs="宋体"/>
          <w:b/>
          <w:bCs/>
          <w:sz w:val="36"/>
          <w:szCs w:val="36"/>
        </w:rPr>
      </w:pPr>
    </w:p>
    <w:p w14:paraId="53E18F39">
      <w:pPr>
        <w:pStyle w:val="20"/>
        <w:pageBreakBefore w:val="0"/>
        <w:kinsoku/>
        <w:wordWrap/>
        <w:overflowPunct/>
        <w:topLinePunct w:val="0"/>
        <w:autoSpaceDE/>
        <w:autoSpaceDN/>
        <w:bidi w:val="0"/>
        <w:spacing w:before="0" w:line="400" w:lineRule="exact"/>
        <w:ind w:left="0"/>
        <w:jc w:val="center"/>
        <w:rPr>
          <w:rFonts w:ascii="Arial" w:hAnsi="宋体" w:eastAsia="宋体" w:cs="Arial"/>
          <w:b/>
          <w:bCs/>
          <w:color w:val="auto"/>
          <w:sz w:val="44"/>
          <w:szCs w:val="44"/>
          <w:lang w:val="zh-CN"/>
        </w:rPr>
      </w:pPr>
    </w:p>
    <w:p w14:paraId="27636364">
      <w:pPr>
        <w:pStyle w:val="20"/>
        <w:pageBreakBefore w:val="0"/>
        <w:kinsoku/>
        <w:wordWrap/>
        <w:overflowPunct/>
        <w:topLinePunct w:val="0"/>
        <w:autoSpaceDE/>
        <w:autoSpaceDN/>
        <w:bidi w:val="0"/>
        <w:spacing w:before="0" w:line="400" w:lineRule="exact"/>
        <w:ind w:left="0"/>
        <w:jc w:val="center"/>
        <w:rPr>
          <w:rFonts w:ascii="Arial" w:hAnsi="宋体" w:eastAsia="宋体" w:cs="Arial"/>
          <w:b/>
          <w:bCs/>
          <w:color w:val="auto"/>
          <w:sz w:val="44"/>
          <w:szCs w:val="44"/>
          <w:lang w:val="zh-CN"/>
        </w:rPr>
      </w:pPr>
    </w:p>
    <w:p w14:paraId="22D94570">
      <w:pPr>
        <w:pStyle w:val="20"/>
        <w:pageBreakBefore w:val="0"/>
        <w:kinsoku/>
        <w:wordWrap/>
        <w:overflowPunct/>
        <w:topLinePunct w:val="0"/>
        <w:autoSpaceDE/>
        <w:autoSpaceDN/>
        <w:bidi w:val="0"/>
        <w:spacing w:before="0" w:line="400" w:lineRule="exact"/>
        <w:ind w:left="0"/>
        <w:jc w:val="center"/>
        <w:rPr>
          <w:rFonts w:ascii="Arial" w:hAnsi="宋体" w:eastAsia="宋体" w:cs="Arial"/>
          <w:b/>
          <w:bCs/>
          <w:color w:val="auto"/>
          <w:sz w:val="44"/>
          <w:szCs w:val="44"/>
          <w:lang w:val="zh-CN"/>
        </w:rPr>
      </w:pPr>
    </w:p>
    <w:p w14:paraId="5442E616">
      <w:pPr>
        <w:pStyle w:val="20"/>
        <w:pageBreakBefore w:val="0"/>
        <w:kinsoku/>
        <w:wordWrap/>
        <w:overflowPunct/>
        <w:topLinePunct w:val="0"/>
        <w:autoSpaceDE/>
        <w:autoSpaceDN/>
        <w:bidi w:val="0"/>
        <w:spacing w:before="0" w:line="400" w:lineRule="exact"/>
        <w:ind w:left="0"/>
        <w:jc w:val="center"/>
        <w:rPr>
          <w:rFonts w:ascii="Arial" w:hAnsi="宋体" w:eastAsia="宋体" w:cs="Arial"/>
          <w:b/>
          <w:bCs/>
          <w:color w:val="auto"/>
          <w:sz w:val="44"/>
          <w:szCs w:val="44"/>
          <w:lang w:val="zh-CN"/>
        </w:rPr>
      </w:pPr>
      <w:r>
        <w:rPr>
          <w:rFonts w:ascii="Arial" w:hAnsi="宋体" w:eastAsia="宋体" w:cs="Arial"/>
          <w:b/>
          <w:bCs/>
          <w:color w:val="auto"/>
          <w:sz w:val="44"/>
          <w:szCs w:val="44"/>
          <w:lang w:val="zh-CN"/>
        </w:rPr>
        <w:t>目录</w:t>
      </w:r>
    </w:p>
    <w:p w14:paraId="004630B2">
      <w:pPr>
        <w:pageBreakBefore w:val="0"/>
        <w:kinsoku/>
        <w:wordWrap/>
        <w:overflowPunct/>
        <w:topLinePunct w:val="0"/>
        <w:autoSpaceDE/>
        <w:autoSpaceDN/>
        <w:bidi w:val="0"/>
        <w:spacing w:line="400" w:lineRule="exact"/>
      </w:pPr>
    </w:p>
    <w:p w14:paraId="756FF2E7">
      <w:pPr>
        <w:pStyle w:val="8"/>
        <w:pageBreakBefore w:val="0"/>
        <w:tabs>
          <w:tab w:val="right" w:leader="dot" w:pos="9628"/>
        </w:tabs>
        <w:kinsoku/>
        <w:wordWrap/>
        <w:overflowPunct/>
        <w:topLinePunct w:val="0"/>
        <w:autoSpaceDE/>
        <w:autoSpaceDN/>
        <w:bidi w:val="0"/>
        <w:spacing w:line="400" w:lineRule="exact"/>
        <w:ind w:left="0" w:leftChars="0"/>
        <w:rPr>
          <w:rFonts w:ascii="Arial" w:hAnsi="Arial" w:cs="Arial"/>
          <w:color w:val="0000FF"/>
          <w:sz w:val="24"/>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"_Toc33820534" </w:instrText>
      </w:r>
      <w:r>
        <w:fldChar w:fldCharType="separate"/>
      </w:r>
      <w:r>
        <w:rPr>
          <w:rStyle w:val="18"/>
          <w:rFonts w:ascii="Arial" w:cs="Arial"/>
          <w:sz w:val="24"/>
        </w:rPr>
        <w:t>第一章</w:t>
      </w:r>
      <w:r>
        <w:rPr>
          <w:rStyle w:val="18"/>
          <w:rFonts w:hint="eastAsia" w:ascii="Arial" w:cs="Arial"/>
          <w:sz w:val="24"/>
        </w:rPr>
        <w:t xml:space="preserve">  招标</w:t>
      </w:r>
      <w:r>
        <w:rPr>
          <w:rStyle w:val="18"/>
          <w:rFonts w:ascii="Arial" w:cs="Arial"/>
          <w:sz w:val="24"/>
        </w:rPr>
        <w:t>公告</w:t>
      </w:r>
      <w:r>
        <w:rPr>
          <w:rFonts w:ascii="Arial" w:hAnsi="Arial" w:cs="Arial"/>
          <w:color w:val="0000FF"/>
          <w:sz w:val="24"/>
        </w:rPr>
        <w:tab/>
      </w:r>
      <w:r>
        <w:rPr>
          <w:rFonts w:hint="eastAsia" w:ascii="Arial" w:hAnsi="Arial" w:cs="Arial"/>
          <w:color w:val="0000FF"/>
          <w:sz w:val="24"/>
        </w:rPr>
        <w:t>3</w:t>
      </w:r>
      <w:r>
        <w:rPr>
          <w:rFonts w:hint="eastAsia" w:ascii="Arial" w:hAnsi="Arial" w:cs="Arial"/>
          <w:color w:val="0000FF"/>
          <w:sz w:val="24"/>
        </w:rPr>
        <w:fldChar w:fldCharType="end"/>
      </w:r>
    </w:p>
    <w:p w14:paraId="7B100918">
      <w:pPr>
        <w:pStyle w:val="8"/>
        <w:pageBreakBefore w:val="0"/>
        <w:tabs>
          <w:tab w:val="right" w:leader="dot" w:pos="9628"/>
        </w:tabs>
        <w:kinsoku/>
        <w:wordWrap/>
        <w:overflowPunct/>
        <w:topLinePunct w:val="0"/>
        <w:autoSpaceDE/>
        <w:autoSpaceDN/>
        <w:bidi w:val="0"/>
        <w:spacing w:line="400" w:lineRule="exact"/>
        <w:ind w:left="0" w:leftChars="0"/>
        <w:rPr>
          <w:color w:val="0000FF"/>
        </w:rPr>
      </w:pPr>
      <w:r>
        <w:fldChar w:fldCharType="begin"/>
      </w:r>
      <w:r>
        <w:instrText xml:space="preserve"> HYPERLINK \l "_Toc33820536" </w:instrText>
      </w:r>
      <w:r>
        <w:fldChar w:fldCharType="separate"/>
      </w:r>
      <w:r>
        <w:rPr>
          <w:rStyle w:val="18"/>
          <w:rFonts w:ascii="Arial" w:cs="Arial"/>
          <w:sz w:val="24"/>
        </w:rPr>
        <w:t>第</w:t>
      </w:r>
      <w:r>
        <w:rPr>
          <w:rStyle w:val="18"/>
          <w:rFonts w:hint="eastAsia" w:ascii="Arial" w:cs="Arial"/>
          <w:sz w:val="24"/>
        </w:rPr>
        <w:t>二</w:t>
      </w:r>
      <w:r>
        <w:rPr>
          <w:rStyle w:val="18"/>
          <w:rFonts w:ascii="Arial" w:cs="Arial"/>
          <w:sz w:val="24"/>
        </w:rPr>
        <w:t>章</w:t>
      </w:r>
      <w:r>
        <w:rPr>
          <w:rStyle w:val="18"/>
          <w:rFonts w:hint="eastAsia" w:ascii="Arial" w:cs="Arial"/>
          <w:sz w:val="24"/>
        </w:rPr>
        <w:t xml:space="preserve">  </w:t>
      </w:r>
      <w:r>
        <w:rPr>
          <w:rStyle w:val="18"/>
          <w:rFonts w:ascii="Arial" w:cs="Arial"/>
          <w:sz w:val="24"/>
        </w:rPr>
        <w:t>项目需求和说明</w:t>
      </w:r>
      <w:r>
        <w:rPr>
          <w:rFonts w:ascii="Arial" w:hAnsi="Arial" w:cs="Arial"/>
          <w:color w:val="0000FF"/>
          <w:sz w:val="24"/>
        </w:rPr>
        <w:tab/>
      </w:r>
      <w:r>
        <w:rPr>
          <w:rFonts w:hint="eastAsia" w:ascii="Arial" w:hAnsi="Arial" w:cs="Arial"/>
          <w:color w:val="0000FF"/>
          <w:sz w:val="24"/>
        </w:rPr>
        <w:t>5</w:t>
      </w:r>
      <w:r>
        <w:rPr>
          <w:rFonts w:hint="eastAsia" w:ascii="Arial" w:hAnsi="Arial" w:cs="Arial"/>
          <w:color w:val="0000FF"/>
          <w:sz w:val="24"/>
        </w:rPr>
        <w:fldChar w:fldCharType="end"/>
      </w:r>
    </w:p>
    <w:p w14:paraId="75419FA4">
      <w:pPr>
        <w:pStyle w:val="8"/>
        <w:pageBreakBefore w:val="0"/>
        <w:tabs>
          <w:tab w:val="right" w:leader="dot" w:pos="9628"/>
        </w:tabs>
        <w:kinsoku/>
        <w:wordWrap/>
        <w:overflowPunct/>
        <w:topLinePunct w:val="0"/>
        <w:autoSpaceDE/>
        <w:autoSpaceDN/>
        <w:bidi w:val="0"/>
        <w:spacing w:line="400" w:lineRule="exact"/>
        <w:ind w:left="0" w:leftChars="0"/>
        <w:rPr>
          <w:rFonts w:hint="default" w:ascii="Arial" w:hAnsi="Arial" w:eastAsia="宋体" w:cs="Arial"/>
          <w:color w:val="0000FF"/>
          <w:sz w:val="24"/>
          <w:lang w:val="en-US" w:eastAsia="zh-CN"/>
        </w:rPr>
      </w:pPr>
      <w:r>
        <w:fldChar w:fldCharType="begin"/>
      </w:r>
      <w:r>
        <w:instrText xml:space="preserve"> HYPERLINK \l "_Toc33820536" </w:instrText>
      </w:r>
      <w:r>
        <w:fldChar w:fldCharType="separate"/>
      </w:r>
      <w:r>
        <w:rPr>
          <w:rFonts w:hint="eastAsia"/>
          <w:sz w:val="24"/>
        </w:rPr>
        <w:t>第三章  评标办法</w:t>
      </w:r>
      <w:r>
        <w:rPr>
          <w:rFonts w:ascii="Arial" w:hAnsi="Arial" w:cs="Arial"/>
          <w:color w:val="0000FF"/>
          <w:sz w:val="24"/>
        </w:rPr>
        <w:tab/>
      </w:r>
      <w:r>
        <w:rPr>
          <w:rFonts w:ascii="Arial" w:hAnsi="Arial" w:cs="Arial"/>
          <w:color w:val="0000FF"/>
          <w:sz w:val="24"/>
        </w:rPr>
        <w:fldChar w:fldCharType="end"/>
      </w:r>
      <w:r>
        <w:rPr>
          <w:rFonts w:hint="eastAsia" w:ascii="Arial" w:hAnsi="Arial" w:cs="Arial"/>
          <w:color w:val="0000FF"/>
          <w:sz w:val="24"/>
          <w:lang w:val="en-US" w:eastAsia="zh-CN"/>
        </w:rPr>
        <w:t>14</w:t>
      </w:r>
    </w:p>
    <w:p w14:paraId="3315A773">
      <w:pPr>
        <w:pStyle w:val="8"/>
        <w:pageBreakBefore w:val="0"/>
        <w:tabs>
          <w:tab w:val="right" w:leader="dot" w:pos="9628"/>
        </w:tabs>
        <w:kinsoku/>
        <w:wordWrap/>
        <w:overflowPunct/>
        <w:topLinePunct w:val="0"/>
        <w:autoSpaceDE/>
        <w:autoSpaceDN/>
        <w:bidi w:val="0"/>
        <w:spacing w:line="400" w:lineRule="exact"/>
        <w:ind w:left="0" w:leftChars="0"/>
        <w:rPr>
          <w:rFonts w:hint="default" w:ascii="Arial" w:hAnsi="Arial" w:eastAsia="宋体" w:cs="Arial"/>
          <w:color w:val="0000FF"/>
          <w:sz w:val="24"/>
          <w:lang w:val="en-US" w:eastAsia="zh-CN"/>
        </w:rPr>
      </w:pPr>
      <w:r>
        <w:rPr>
          <w:rFonts w:hint="eastAsia" w:ascii="Arial" w:hAnsi="Arial" w:cs="Arial"/>
          <w:color w:val="0000FF"/>
          <w:sz w:val="24"/>
        </w:rPr>
        <w:t>第四章  招标文件格式</w:t>
      </w:r>
      <w:r>
        <w:rPr>
          <w:rFonts w:ascii="Arial" w:hAnsi="Arial" w:cs="Arial"/>
          <w:color w:val="0000FF"/>
          <w:sz w:val="24"/>
        </w:rPr>
        <w:tab/>
      </w:r>
      <w:r>
        <w:rPr>
          <w:rFonts w:ascii="Arial" w:hAnsi="Arial" w:cs="Arial"/>
          <w:color w:val="0000FF"/>
          <w:sz w:val="24"/>
        </w:rPr>
        <w:t>……………………………………………………………………………</w:t>
      </w:r>
      <w:r>
        <w:rPr>
          <w:rFonts w:hint="eastAsia" w:ascii="Arial" w:hAnsi="Arial" w:cs="Arial"/>
          <w:color w:val="0000FF"/>
          <w:sz w:val="24"/>
          <w:lang w:val="en-US" w:eastAsia="zh-CN"/>
        </w:rPr>
        <w:t>16</w:t>
      </w:r>
    </w:p>
    <w:p w14:paraId="587241BA">
      <w:pPr>
        <w:pageBreakBefore w:val="0"/>
        <w:kinsoku/>
        <w:wordWrap/>
        <w:overflowPunct/>
        <w:topLinePunct w:val="0"/>
        <w:autoSpaceDE/>
        <w:autoSpaceDN/>
        <w:bidi w:val="0"/>
        <w:spacing w:line="400" w:lineRule="exact"/>
      </w:pPr>
    </w:p>
    <w:p w14:paraId="283A2004">
      <w:pPr>
        <w:pageBreakBefore w:val="0"/>
        <w:kinsoku/>
        <w:wordWrap/>
        <w:overflowPunct/>
        <w:topLinePunct w:val="0"/>
        <w:autoSpaceDE/>
        <w:autoSpaceDN/>
        <w:bidi w:val="0"/>
        <w:spacing w:line="400" w:lineRule="exact"/>
        <w:jc w:val="center"/>
        <w:rPr>
          <w:rFonts w:ascii="Arial" w:hAnsi="Arial" w:cs="Arial"/>
          <w:b/>
          <w:bCs/>
          <w:lang w:val="zh-CN"/>
        </w:rPr>
      </w:pPr>
      <w:r>
        <w:rPr>
          <w:rFonts w:ascii="Arial" w:hAnsi="Arial" w:cs="Arial"/>
          <w:b/>
          <w:bCs/>
          <w:lang w:val="zh-CN"/>
        </w:rPr>
        <w:fldChar w:fldCharType="end"/>
      </w:r>
    </w:p>
    <w:p w14:paraId="2B5CDB1E">
      <w:pPr>
        <w:pageBreakBefore w:val="0"/>
        <w:kinsoku/>
        <w:wordWrap/>
        <w:overflowPunct/>
        <w:topLinePunct w:val="0"/>
        <w:autoSpaceDE/>
        <w:autoSpaceDN/>
        <w:bidi w:val="0"/>
        <w:spacing w:line="400" w:lineRule="exact"/>
        <w:jc w:val="center"/>
        <w:rPr>
          <w:rFonts w:ascii="宋体" w:hAnsi="宋体" w:cs="宋体"/>
          <w:b/>
          <w:bCs/>
          <w:color w:val="000000" w:themeColor="text1"/>
          <w:sz w:val="32"/>
          <w:szCs w:val="32"/>
          <w14:textFill>
            <w14:solidFill>
              <w14:schemeClr w14:val="tx1"/>
            </w14:solidFill>
          </w14:textFill>
        </w:rPr>
        <w:sectPr>
          <w:footerReference r:id="rId3" w:type="default"/>
          <w:pgSz w:w="11906" w:h="16838"/>
          <w:pgMar w:top="1440" w:right="1080" w:bottom="1440" w:left="1080" w:header="851" w:footer="992" w:gutter="0"/>
          <w:cols w:space="425" w:num="1"/>
          <w:docGrid w:type="lines" w:linePitch="312" w:charSpace="0"/>
        </w:sectPr>
      </w:pPr>
    </w:p>
    <w:p w14:paraId="26E75549">
      <w:pPr>
        <w:pStyle w:val="2"/>
        <w:pageBreakBefore w:val="0"/>
        <w:kinsoku/>
        <w:wordWrap/>
        <w:overflowPunct/>
        <w:topLinePunct w:val="0"/>
        <w:autoSpaceDE/>
        <w:autoSpaceDN/>
        <w:bidi w:val="0"/>
        <w:spacing w:line="400" w:lineRule="exact"/>
        <w:jc w:val="center"/>
        <w:rPr>
          <w:sz w:val="32"/>
          <w:szCs w:val="32"/>
        </w:rPr>
      </w:pPr>
      <w:r>
        <w:rPr>
          <w:rFonts w:hint="eastAsia"/>
          <w:sz w:val="32"/>
          <w:szCs w:val="32"/>
        </w:rPr>
        <w:t>第一章  招标公告</w:t>
      </w:r>
    </w:p>
    <w:p w14:paraId="4CA046B7">
      <w:pPr>
        <w:pageBreakBefore w:val="0"/>
        <w:kinsoku/>
        <w:wordWrap/>
        <w:overflowPunct/>
        <w:topLinePunct w:val="0"/>
        <w:autoSpaceDE/>
        <w:autoSpaceDN/>
        <w:bidi w:val="0"/>
        <w:spacing w:line="400" w:lineRule="exact"/>
        <w:ind w:firstLine="480" w:firstLineChars="200"/>
        <w:rPr>
          <w:rFonts w:ascii="宋体" w:hAnsi="宋体" w:cs="宋体"/>
          <w:sz w:val="24"/>
        </w:rPr>
      </w:pPr>
    </w:p>
    <w:p w14:paraId="718095AF">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现有桂林市人民医院</w:t>
      </w:r>
      <w:r>
        <w:rPr>
          <w:rFonts w:hint="eastAsia" w:ascii="宋体" w:hAnsi="宋体" w:cs="宋体"/>
          <w:bCs/>
          <w:sz w:val="24"/>
        </w:rPr>
        <w:t>双活存储升级扩容及虚拟化交换机采购</w:t>
      </w:r>
      <w:r>
        <w:rPr>
          <w:rFonts w:hint="eastAsia" w:ascii="宋体" w:hAnsi="宋体" w:cs="宋体"/>
          <w:sz w:val="24"/>
        </w:rPr>
        <w:t>项目，为确保质优价廉，决定通过院内公开招标确定供应商，现将有关内容公告如下：</w:t>
      </w:r>
    </w:p>
    <w:p w14:paraId="2EF9DB31">
      <w:pPr>
        <w:pageBreakBefore w:val="0"/>
        <w:kinsoku/>
        <w:wordWrap/>
        <w:overflowPunct/>
        <w:topLinePunct w:val="0"/>
        <w:autoSpaceDE/>
        <w:autoSpaceDN/>
        <w:bidi w:val="0"/>
        <w:spacing w:line="400" w:lineRule="exact"/>
        <w:ind w:firstLine="482" w:firstLineChars="200"/>
        <w:rPr>
          <w:rFonts w:ascii="宋体" w:hAnsi="宋体" w:cs="宋体"/>
          <w:b/>
          <w:bCs/>
          <w:sz w:val="24"/>
        </w:rPr>
      </w:pPr>
      <w:r>
        <w:rPr>
          <w:rFonts w:hint="eastAsia" w:ascii="宋体" w:hAnsi="宋体" w:cs="宋体"/>
          <w:b/>
          <w:bCs/>
          <w:sz w:val="24"/>
        </w:rPr>
        <w:t>一、项目基本情况：</w:t>
      </w:r>
    </w:p>
    <w:p w14:paraId="1DA15623">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r>
        <w:rPr>
          <w:rFonts w:hint="eastAsia" w:ascii="宋体" w:hAnsi="宋体" w:cs="宋体"/>
          <w:bCs/>
          <w:sz w:val="24"/>
        </w:rPr>
        <w:t>双活存储升级扩容及虚拟化交换机采购</w:t>
      </w:r>
    </w:p>
    <w:p w14:paraId="2F6B4B0C">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XXK-2025-016</w:t>
      </w:r>
    </w:p>
    <w:p w14:paraId="0648AF99">
      <w:pPr>
        <w:pageBreakBefore w:val="0"/>
        <w:kinsoku/>
        <w:wordWrap/>
        <w:overflowPunct/>
        <w:topLinePunct w:val="0"/>
        <w:autoSpaceDE/>
        <w:autoSpaceDN/>
        <w:bidi w:val="0"/>
        <w:spacing w:line="400" w:lineRule="exact"/>
        <w:ind w:left="480"/>
        <w:rPr>
          <w:rFonts w:ascii="宋体" w:hAnsi="宋体" w:cs="宋体"/>
          <w:b/>
          <w:bCs/>
          <w:sz w:val="24"/>
        </w:rPr>
      </w:pPr>
      <w:r>
        <w:rPr>
          <w:rFonts w:hint="eastAsia" w:ascii="宋体" w:hAnsi="宋体" w:cs="宋体"/>
          <w:b/>
          <w:bCs/>
          <w:sz w:val="24"/>
        </w:rPr>
        <w:t>（三）项目概况：</w:t>
      </w:r>
    </w:p>
    <w:p w14:paraId="6AAB289C">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1.通过院内公开招标确定桂林市人民医院</w:t>
      </w:r>
      <w:r>
        <w:rPr>
          <w:rFonts w:hint="eastAsia" w:ascii="宋体" w:hAnsi="宋体" w:cs="宋体"/>
          <w:bCs/>
          <w:sz w:val="24"/>
        </w:rPr>
        <w:t>双活存储升级扩容及虚拟化交换机采购</w:t>
      </w:r>
      <w:r>
        <w:rPr>
          <w:rFonts w:hint="eastAsia" w:ascii="宋体" w:hAnsi="宋体" w:cs="宋体"/>
          <w:sz w:val="24"/>
        </w:rPr>
        <w:t>项目供应商。</w:t>
      </w:r>
    </w:p>
    <w:p w14:paraId="32186B20">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2.服务地点：桂林市人民医院</w:t>
      </w:r>
    </w:p>
    <w:p w14:paraId="7C9B6916">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（四）</w:t>
      </w:r>
      <w:r>
        <w:rPr>
          <w:rFonts w:hint="eastAsia"/>
          <w:sz w:val="24"/>
        </w:rPr>
        <w:t>项目预算控制价</w:t>
      </w:r>
      <w:r>
        <w:rPr>
          <w:rFonts w:hint="eastAsia" w:ascii="宋体" w:hAnsi="宋体" w:cs="宋体"/>
          <w:b/>
          <w:bCs/>
          <w:sz w:val="24"/>
        </w:rPr>
        <w:t>：</w:t>
      </w:r>
      <w:r>
        <w:rPr>
          <w:rFonts w:hint="eastAsia" w:ascii="宋体" w:hAnsi="宋体" w:cs="宋体"/>
          <w:spacing w:val="-2"/>
          <w:sz w:val="24"/>
        </w:rPr>
        <w:t>本项目</w:t>
      </w:r>
      <w:r>
        <w:rPr>
          <w:rFonts w:hint="eastAsia" w:ascii="宋体" w:hAnsi="宋体" w:cs="宋体"/>
          <w:bCs/>
          <w:sz w:val="24"/>
        </w:rPr>
        <w:t>预算控制价为431200元，</w:t>
      </w:r>
      <w:r>
        <w:rPr>
          <w:rFonts w:hint="eastAsia" w:ascii="宋体" w:hAnsi="宋体" w:cs="宋体"/>
          <w:spacing w:val="-2"/>
          <w:sz w:val="24"/>
        </w:rPr>
        <w:t>投标人报价超出参考预算控制价的，按无效处理。</w:t>
      </w:r>
      <w:r>
        <w:rPr>
          <w:rFonts w:hint="eastAsia" w:cs="宋体"/>
          <w:color w:val="000000" w:themeColor="text1"/>
          <w:sz w:val="24"/>
          <w:shd w:val="clear" w:color="auto" w:fill="FFFFFF"/>
          <w14:textFill>
            <w14:solidFill>
              <w14:schemeClr w14:val="tx1"/>
            </w14:solidFill>
          </w14:textFill>
        </w:rPr>
        <w:t>本项目不接受</w:t>
      </w:r>
      <w:r>
        <w:rPr>
          <w:rFonts w:hint="eastAsia" w:ascii="宋体" w:hAnsi="宋体" w:cs="宋体"/>
          <w:sz w:val="24"/>
        </w:rPr>
        <w:t>二次报价。</w:t>
      </w:r>
    </w:p>
    <w:p w14:paraId="08803521">
      <w:pPr>
        <w:pageBreakBefore w:val="0"/>
        <w:kinsoku/>
        <w:wordWrap/>
        <w:overflowPunct/>
        <w:topLinePunct w:val="0"/>
        <w:autoSpaceDE/>
        <w:autoSpaceDN/>
        <w:bidi w:val="0"/>
        <w:spacing w:line="400" w:lineRule="exact"/>
        <w:ind w:firstLine="482" w:firstLineChars="200"/>
        <w:rPr>
          <w:rFonts w:ascii="宋体" w:hAnsi="宋体" w:cs="宋体"/>
          <w:b/>
          <w:bCs/>
          <w:sz w:val="24"/>
        </w:rPr>
      </w:pPr>
      <w:r>
        <w:rPr>
          <w:rFonts w:hint="eastAsia" w:ascii="宋体" w:hAnsi="宋体" w:cs="宋体"/>
          <w:b/>
          <w:bCs/>
          <w:sz w:val="24"/>
        </w:rPr>
        <w:t>二、供应商资质条件要求</w:t>
      </w:r>
    </w:p>
    <w:p w14:paraId="22037C15">
      <w:pPr>
        <w:pageBreakBefore w:val="0"/>
        <w:kinsoku/>
        <w:wordWrap/>
        <w:overflowPunct/>
        <w:topLinePunct w:val="0"/>
        <w:autoSpaceDE/>
        <w:autoSpaceDN/>
        <w:bidi w:val="0"/>
        <w:spacing w:line="400" w:lineRule="exact"/>
        <w:ind w:firstLine="480" w:firstLineChars="200"/>
        <w:jc w:val="left"/>
        <w:rPr>
          <w:rFonts w:ascii="宋体" w:hAnsi="宋体" w:cs="宋体"/>
          <w:kern w:val="0"/>
          <w:sz w:val="24"/>
        </w:rPr>
      </w:pPr>
      <w:r>
        <w:rPr>
          <w:rFonts w:hint="eastAsia" w:ascii="宋体" w:hAnsi="宋体" w:cs="宋体"/>
          <w:kern w:val="0"/>
          <w:sz w:val="24"/>
        </w:rPr>
        <w:t>1.国内注册【依法在市场监督管理部门（或行政审批部门）登记注册】的，具备合法资格的供应商；</w:t>
      </w:r>
    </w:p>
    <w:p w14:paraId="604BA473">
      <w:pPr>
        <w:pageBreakBefore w:val="0"/>
        <w:kinsoku/>
        <w:wordWrap/>
        <w:overflowPunct/>
        <w:topLinePunct w:val="0"/>
        <w:autoSpaceDE/>
        <w:autoSpaceDN/>
        <w:bidi w:val="0"/>
        <w:spacing w:line="400" w:lineRule="exact"/>
        <w:ind w:firstLine="480" w:firstLineChars="200"/>
        <w:jc w:val="left"/>
        <w:rPr>
          <w:rFonts w:ascii="宋体" w:hAnsi="宋体" w:cs="宋体"/>
          <w:kern w:val="0"/>
          <w:sz w:val="24"/>
        </w:rPr>
      </w:pPr>
      <w:r>
        <w:rPr>
          <w:rFonts w:hint="eastAsia" w:ascii="宋体" w:hAnsi="宋体" w:cs="宋体"/>
          <w:kern w:val="0"/>
          <w:sz w:val="24"/>
        </w:rPr>
        <w:t>2.参加本投标活动前三年内，在经营活动中没有重大违法记录；</w:t>
      </w:r>
    </w:p>
    <w:p w14:paraId="003F7EE0">
      <w:pPr>
        <w:pageBreakBefore w:val="0"/>
        <w:kinsoku/>
        <w:wordWrap/>
        <w:overflowPunct/>
        <w:topLinePunct w:val="0"/>
        <w:autoSpaceDE/>
        <w:autoSpaceDN/>
        <w:bidi w:val="0"/>
        <w:spacing w:line="400" w:lineRule="exact"/>
        <w:ind w:firstLine="480" w:firstLineChars="200"/>
        <w:jc w:val="left"/>
        <w:rPr>
          <w:rFonts w:ascii="宋体" w:hAnsi="宋体" w:cs="宋体"/>
          <w:kern w:val="0"/>
          <w:sz w:val="24"/>
        </w:rPr>
      </w:pPr>
      <w:r>
        <w:rPr>
          <w:rFonts w:hint="eastAsia" w:ascii="宋体" w:hAnsi="宋体" w:cs="宋体"/>
          <w:kern w:val="0"/>
          <w:sz w:val="24"/>
        </w:rPr>
        <w:t>3.本项目不接受在“信用中国”网站(www.creditchina.gov.cn)被列入失信被执行人、重大税收违法失信主体、严重违法失信行为记录名单的投标人参与投标；</w:t>
      </w:r>
    </w:p>
    <w:p w14:paraId="71A71B13">
      <w:pPr>
        <w:pageBreakBefore w:val="0"/>
        <w:kinsoku/>
        <w:wordWrap/>
        <w:overflowPunct/>
        <w:topLinePunct w:val="0"/>
        <w:autoSpaceDE/>
        <w:autoSpaceDN/>
        <w:bidi w:val="0"/>
        <w:spacing w:line="400" w:lineRule="exact"/>
        <w:ind w:firstLine="480" w:firstLineChars="200"/>
        <w:jc w:val="left"/>
        <w:rPr>
          <w:rFonts w:ascii="宋体" w:hAnsi="宋体" w:cs="宋体"/>
          <w:kern w:val="0"/>
          <w:sz w:val="24"/>
        </w:rPr>
      </w:pPr>
      <w:r>
        <w:rPr>
          <w:rFonts w:hint="eastAsia" w:ascii="宋体" w:hAnsi="宋体" w:cs="宋体"/>
          <w:kern w:val="0"/>
          <w:sz w:val="24"/>
        </w:rPr>
        <w:t>4.本项目不接受联合体参与报价。</w:t>
      </w:r>
    </w:p>
    <w:p w14:paraId="33205A0B">
      <w:pPr>
        <w:pageBreakBefore w:val="0"/>
        <w:kinsoku/>
        <w:wordWrap/>
        <w:overflowPunct/>
        <w:topLinePunct w:val="0"/>
        <w:autoSpaceDE/>
        <w:autoSpaceDN/>
        <w:bidi w:val="0"/>
        <w:spacing w:line="400" w:lineRule="exact"/>
        <w:ind w:firstLine="482" w:firstLineChars="200"/>
        <w:jc w:val="left"/>
        <w:rPr>
          <w:rFonts w:ascii="宋体" w:hAnsi="宋体" w:cs="宋体"/>
          <w:b/>
          <w:bCs/>
          <w:kern w:val="0"/>
          <w:sz w:val="24"/>
        </w:rPr>
      </w:pPr>
      <w:r>
        <w:rPr>
          <w:rFonts w:hint="eastAsia" w:ascii="宋体" w:hAnsi="宋体" w:cs="宋体"/>
          <w:b/>
          <w:bCs/>
          <w:kern w:val="0"/>
          <w:sz w:val="24"/>
        </w:rPr>
        <w:t>特别说明：</w:t>
      </w:r>
    </w:p>
    <w:p w14:paraId="1ED19085">
      <w:pPr>
        <w:pageBreakBefore w:val="0"/>
        <w:kinsoku/>
        <w:wordWrap/>
        <w:overflowPunct/>
        <w:topLinePunct w:val="0"/>
        <w:autoSpaceDE/>
        <w:autoSpaceDN/>
        <w:bidi w:val="0"/>
        <w:spacing w:line="400" w:lineRule="exact"/>
        <w:ind w:firstLine="482" w:firstLineChars="200"/>
        <w:jc w:val="left"/>
        <w:rPr>
          <w:rFonts w:ascii="宋体" w:hAnsi="宋体" w:cs="宋体"/>
          <w:b/>
          <w:bCs/>
          <w:kern w:val="0"/>
          <w:sz w:val="24"/>
        </w:rPr>
      </w:pPr>
      <w:r>
        <w:rPr>
          <w:rFonts w:hint="eastAsia" w:ascii="宋体" w:hAnsi="宋体" w:cs="宋体"/>
          <w:b/>
          <w:bCs/>
          <w:kern w:val="0"/>
          <w:sz w:val="24"/>
        </w:rPr>
        <w:t>（1）与招标人存在利害关系可能影响招标公正性的法人、其他组织或者个人，不得参加投标。</w:t>
      </w:r>
    </w:p>
    <w:p w14:paraId="5866AC30">
      <w:pPr>
        <w:pageBreakBefore w:val="0"/>
        <w:kinsoku/>
        <w:wordWrap/>
        <w:overflowPunct/>
        <w:topLinePunct w:val="0"/>
        <w:autoSpaceDE/>
        <w:autoSpaceDN/>
        <w:bidi w:val="0"/>
        <w:spacing w:line="400" w:lineRule="exact"/>
        <w:ind w:firstLine="482" w:firstLineChars="200"/>
        <w:jc w:val="left"/>
        <w:rPr>
          <w:rFonts w:ascii="宋体" w:hAnsi="宋体" w:cs="宋体"/>
          <w:b/>
          <w:bCs/>
          <w:kern w:val="0"/>
          <w:sz w:val="24"/>
        </w:rPr>
      </w:pPr>
      <w:r>
        <w:rPr>
          <w:rFonts w:hint="eastAsia" w:ascii="宋体" w:hAnsi="宋体" w:cs="宋体"/>
          <w:b/>
          <w:bCs/>
          <w:kern w:val="0"/>
          <w:sz w:val="24"/>
        </w:rPr>
        <w:t>（2）单位负责人为同一人或者存在控股、管理关系的不同单位，不得参加同一招标项目投标。</w:t>
      </w:r>
    </w:p>
    <w:p w14:paraId="68235AB7">
      <w:pPr>
        <w:pageBreakBefore w:val="0"/>
        <w:kinsoku/>
        <w:wordWrap/>
        <w:overflowPunct/>
        <w:topLinePunct w:val="0"/>
        <w:autoSpaceDE/>
        <w:autoSpaceDN/>
        <w:bidi w:val="0"/>
        <w:spacing w:line="400" w:lineRule="exact"/>
        <w:ind w:firstLine="482" w:firstLineChars="200"/>
        <w:jc w:val="left"/>
        <w:rPr>
          <w:rFonts w:ascii="宋体" w:hAnsi="宋体" w:cs="宋体"/>
          <w:b/>
          <w:bCs/>
          <w:kern w:val="0"/>
          <w:sz w:val="24"/>
        </w:rPr>
      </w:pPr>
      <w:r>
        <w:rPr>
          <w:rFonts w:hint="eastAsia" w:ascii="宋体" w:hAnsi="宋体" w:cs="宋体"/>
          <w:b/>
          <w:bCs/>
          <w:kern w:val="0"/>
          <w:sz w:val="24"/>
        </w:rPr>
        <w:t>如投标人有违反上述规定的，相关投标按无效投标处理。</w:t>
      </w:r>
    </w:p>
    <w:p w14:paraId="3106EB44">
      <w:pPr>
        <w:pageBreakBefore w:val="0"/>
        <w:kinsoku/>
        <w:wordWrap/>
        <w:overflowPunct/>
        <w:topLinePunct w:val="0"/>
        <w:autoSpaceDE/>
        <w:autoSpaceDN/>
        <w:bidi w:val="0"/>
        <w:spacing w:line="400" w:lineRule="exact"/>
        <w:ind w:left="420" w:leftChars="200"/>
        <w:jc w:val="left"/>
        <w:rPr>
          <w:rFonts w:ascii="宋体" w:hAnsi="宋体" w:cs="宋体"/>
          <w:sz w:val="24"/>
        </w:rPr>
      </w:pPr>
      <w:r>
        <w:rPr>
          <w:rFonts w:hint="eastAsia" w:ascii="宋体" w:hAnsi="宋体" w:cs="宋体"/>
          <w:b/>
          <w:bCs/>
          <w:sz w:val="24"/>
        </w:rPr>
        <w:t>三、报名时间、方式及获取招标文件方式</w:t>
      </w:r>
    </w:p>
    <w:p w14:paraId="719C89AF">
      <w:pPr>
        <w:pStyle w:val="5"/>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报名时间：2025年</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1</w:t>
      </w:r>
      <w:r>
        <w:rPr>
          <w:rFonts w:hint="eastAsia" w:ascii="宋体" w:hAnsi="宋体" w:cs="宋体"/>
          <w:sz w:val="24"/>
        </w:rPr>
        <w:t xml:space="preserve"> 日至</w:t>
      </w:r>
      <w:r>
        <w:rPr>
          <w:rFonts w:hint="eastAsia" w:ascii="宋体" w:hAnsi="宋体" w:cs="宋体"/>
          <w:sz w:val="24"/>
          <w:lang w:val="en-US" w:eastAsia="zh-CN"/>
        </w:rPr>
        <w:t>8</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日17:00时止</w:t>
      </w:r>
      <w:r>
        <w:rPr>
          <w:rFonts w:hint="eastAsia"/>
          <w:sz w:val="24"/>
        </w:rPr>
        <w:t>（北京时间）</w:t>
      </w:r>
      <w:r>
        <w:rPr>
          <w:rFonts w:hint="eastAsia" w:ascii="宋体" w:hAnsi="宋体" w:cs="宋体"/>
          <w:sz w:val="24"/>
        </w:rPr>
        <w:t>，逾期报名无效。</w:t>
      </w:r>
    </w:p>
    <w:p w14:paraId="0F28745B">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报名方式：网上报名。请潜在投标人自行下载附件《报名表》，并按《报名表》的格式内容填写相关信息，同时附上营业执照、“信用中国(www.creditchina.gov.cn)以及中国政府采购网(www.ccgp.gov.cn)”上打印的信用查询记录相关信息。潜在投标人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60CD91B5">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获取招标文件方式：桂林市人民医院官网（www.glrmyy.com）</w:t>
      </w:r>
    </w:p>
    <w:p w14:paraId="38D60B69">
      <w:pPr>
        <w:pageBreakBefore w:val="0"/>
        <w:kinsoku/>
        <w:wordWrap/>
        <w:overflowPunct/>
        <w:topLinePunct w:val="0"/>
        <w:autoSpaceDE/>
        <w:autoSpaceDN/>
        <w:bidi w:val="0"/>
        <w:spacing w:line="400" w:lineRule="exact"/>
        <w:ind w:firstLine="482" w:firstLineChars="200"/>
        <w:rPr>
          <w:rFonts w:ascii="宋体" w:hAnsi="宋体" w:cs="宋体"/>
          <w:b/>
          <w:bCs/>
          <w:sz w:val="24"/>
        </w:rPr>
      </w:pPr>
      <w:r>
        <w:rPr>
          <w:rFonts w:hint="eastAsia" w:ascii="宋体" w:hAnsi="宋体" w:cs="宋体"/>
          <w:b/>
          <w:bCs/>
          <w:sz w:val="24"/>
        </w:rPr>
        <w:t>四、采购活动要求</w:t>
      </w:r>
    </w:p>
    <w:p w14:paraId="587CF5D9">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1.开标时间：具体时间另行通知</w:t>
      </w:r>
      <w:r>
        <w:rPr>
          <w:rFonts w:hint="eastAsia" w:ascii="宋体" w:hAnsi="宋体" w:cs="宋体"/>
          <w:b/>
          <w:bCs/>
          <w:sz w:val="24"/>
        </w:rPr>
        <w:t>（开标通告将会通过（</w:t>
      </w:r>
      <w:r>
        <w:fldChar w:fldCharType="begin"/>
      </w:r>
      <w:r>
        <w:instrText xml:space="preserve"> HYPERLINK "mailto:glsrmyyzbb@163.com" </w:instrText>
      </w:r>
      <w:r>
        <w:fldChar w:fldCharType="separate"/>
      </w:r>
      <w:r>
        <w:rPr>
          <w:rStyle w:val="18"/>
          <w:rFonts w:hint="eastAsia" w:ascii="宋体" w:hAnsi="宋体" w:cs="宋体"/>
          <w:b/>
          <w:bCs/>
          <w:color w:val="auto"/>
          <w:sz w:val="24"/>
        </w:rPr>
        <w:t>glsrmyyzbb@163.com</w:t>
      </w:r>
      <w:r>
        <w:rPr>
          <w:rStyle w:val="18"/>
          <w:rFonts w:hint="eastAsia" w:ascii="宋体" w:hAnsi="宋体" w:cs="宋体"/>
          <w:b/>
          <w:bCs/>
          <w:color w:val="auto"/>
          <w:sz w:val="24"/>
        </w:rPr>
        <w:fldChar w:fldCharType="end"/>
      </w:r>
      <w:r>
        <w:rPr>
          <w:rFonts w:hint="eastAsia" w:ascii="宋体" w:hAnsi="宋体" w:cs="宋体"/>
          <w:b/>
          <w:bCs/>
          <w:sz w:val="24"/>
        </w:rPr>
        <w:t>）发至潜在投标人报名邮箱，报名后请及时关注查收，未及时查收后果自负）</w:t>
      </w:r>
      <w:r>
        <w:rPr>
          <w:rFonts w:hint="eastAsia" w:ascii="宋体" w:hAnsi="宋体" w:cs="宋体"/>
          <w:sz w:val="24"/>
        </w:rPr>
        <w:t>，请报名后根据所获取的招标文件要求及时准备正式的投标文件。</w:t>
      </w:r>
    </w:p>
    <w:p w14:paraId="66351647">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2.开标地点：桂林市人民医院招标办公室（广西桂林市象山区文明路29号）</w:t>
      </w:r>
    </w:p>
    <w:p w14:paraId="43B630D8">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3.投标文件：</w:t>
      </w:r>
    </w:p>
    <w:p w14:paraId="66A625B3">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(1)投标文件组成：必须含有但不限于响应函、营业执照复印件、法定代表人（负责人）身份证复印件、法定代表人授权书原件（委托代理时必须提供）、授权委托代理人身份证复印件、投标人参加政府采购活动前3年内在经营活动中没有重大违法记录的书面声明、投标人关于政府采购活动中信用信息记录的书面声明、“信用中国(www.creditchina.gov.cn)以及中国政府采购网(www.ccgp.gov.cn)”上打印的信用查询记录相关信息、项目实施</w:t>
      </w:r>
      <w:r>
        <w:rPr>
          <w:rFonts w:hint="eastAsia" w:ascii="宋体" w:hAnsi="宋体" w:cs="宋体"/>
          <w:sz w:val="24"/>
          <w:lang w:val="en-US" w:eastAsia="zh-CN"/>
        </w:rPr>
        <w:t>方案</w:t>
      </w:r>
      <w:r>
        <w:rPr>
          <w:rFonts w:hint="eastAsia" w:ascii="宋体" w:hAnsi="宋体" w:cs="宋体"/>
          <w:sz w:val="24"/>
          <w:lang w:eastAsia="zh-CN"/>
        </w:rPr>
        <w:t>、履约能力、</w:t>
      </w:r>
      <w:r>
        <w:rPr>
          <w:rFonts w:hint="eastAsia" w:ascii="宋体" w:hAnsi="宋体" w:cs="宋体"/>
          <w:sz w:val="24"/>
          <w:lang w:val="en-US" w:eastAsia="zh-CN"/>
        </w:rPr>
        <w:t>业绩、</w:t>
      </w:r>
      <w:r>
        <w:rPr>
          <w:rFonts w:hint="eastAsia" w:ascii="宋体" w:hAnsi="宋体" w:cs="宋体"/>
          <w:sz w:val="24"/>
        </w:rPr>
        <w:t>联系人及电话等资料。投标人应完整准备上述投标文件的材料，否则由此引起的不利后果由投标人承担。</w:t>
      </w:r>
    </w:p>
    <w:p w14:paraId="35FFDF5B">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投标文件所提供的证照及相关证明材料必须真实有效，一经发现造假，将取消本次投标资格并追究相关法律责任！</w:t>
      </w:r>
    </w:p>
    <w:p w14:paraId="1C500545">
      <w:pPr>
        <w:pageBreakBefore w:val="0"/>
        <w:numPr>
          <w:ilvl w:val="0"/>
          <w:numId w:val="1"/>
        </w:numPr>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投标文件份数：正本一份，副本六份。</w:t>
      </w:r>
    </w:p>
    <w:p w14:paraId="69AA984E">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4.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50DA1AED">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5.凡报名合格并获取了招标文件的投标人，视同响应承诺参与本次投标活动。若因故不能按期参加的，请至少于开标截止时间前两天以书面邮件形式（发送邮箱地址：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33AAA3F5">
      <w:pPr>
        <w:pageBreakBefore w:val="0"/>
        <w:kinsoku/>
        <w:wordWrap/>
        <w:overflowPunct/>
        <w:topLinePunct w:val="0"/>
        <w:autoSpaceDE/>
        <w:autoSpaceDN/>
        <w:bidi w:val="0"/>
        <w:spacing w:line="400" w:lineRule="exact"/>
        <w:ind w:firstLine="482" w:firstLineChars="200"/>
        <w:rPr>
          <w:rFonts w:ascii="宋体" w:hAnsi="宋体" w:cs="宋体"/>
          <w:b/>
          <w:bCs/>
          <w:sz w:val="24"/>
        </w:rPr>
      </w:pPr>
      <w:r>
        <w:rPr>
          <w:rFonts w:hint="eastAsia" w:ascii="宋体" w:hAnsi="宋体" w:cs="宋体"/>
          <w:b/>
          <w:bCs/>
          <w:sz w:val="24"/>
        </w:rPr>
        <w:t>五、信息公告发布媒体</w:t>
      </w:r>
    </w:p>
    <w:p w14:paraId="70B014DA">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本次招标公告在桂林市人民医院官网（www.glrmyy.com）发布，对其他网站转发本公告可能引起的信息误导、造成投标人的经济或其他损失的，招标人不负任何责任。</w:t>
      </w:r>
    </w:p>
    <w:p w14:paraId="5135C1B7">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六、联系方式</w:t>
      </w:r>
    </w:p>
    <w:p w14:paraId="3BA264CA">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1.联系人：罗老师、戴老师</w:t>
      </w:r>
    </w:p>
    <w:p w14:paraId="34E6A0FB">
      <w:pPr>
        <w:pageBreakBefore w:val="0"/>
        <w:kinsoku/>
        <w:wordWrap/>
        <w:overflowPunct/>
        <w:topLinePunct w:val="0"/>
        <w:autoSpaceDE/>
        <w:autoSpaceDN/>
        <w:bidi w:val="0"/>
        <w:spacing w:line="400" w:lineRule="exact"/>
        <w:ind w:firstLine="480" w:firstLineChars="200"/>
        <w:rPr>
          <w:rFonts w:ascii="宋体" w:hAnsi="宋体" w:cs="宋体"/>
          <w:sz w:val="24"/>
        </w:rPr>
      </w:pPr>
      <w:r>
        <w:rPr>
          <w:rFonts w:hint="eastAsia" w:ascii="宋体" w:hAnsi="宋体" w:cs="宋体"/>
          <w:sz w:val="24"/>
        </w:rPr>
        <w:t>2.联系电话：0773-2803316</w:t>
      </w:r>
    </w:p>
    <w:p w14:paraId="193A87FE">
      <w:pPr>
        <w:pageBreakBefore w:val="0"/>
        <w:tabs>
          <w:tab w:val="left" w:pos="6583"/>
        </w:tabs>
        <w:kinsoku/>
        <w:wordWrap/>
        <w:overflowPunct/>
        <w:topLinePunct w:val="0"/>
        <w:autoSpaceDE/>
        <w:autoSpaceDN/>
        <w:bidi w:val="0"/>
        <w:spacing w:line="400" w:lineRule="exact"/>
        <w:ind w:firstLine="5760" w:firstLineChars="2400"/>
        <w:jc w:val="center"/>
        <w:rPr>
          <w:rFonts w:ascii="宋体" w:hAnsi="宋体" w:cs="宋体"/>
          <w:sz w:val="24"/>
        </w:rPr>
      </w:pPr>
      <w:r>
        <w:rPr>
          <w:rFonts w:hint="eastAsia" w:ascii="宋体" w:hAnsi="宋体" w:cs="宋体"/>
          <w:sz w:val="24"/>
        </w:rPr>
        <w:t xml:space="preserve">         桂林市人民医院</w:t>
      </w:r>
    </w:p>
    <w:p w14:paraId="477A72A0">
      <w:pPr>
        <w:pageBreakBefore w:val="0"/>
        <w:tabs>
          <w:tab w:val="left" w:pos="5623"/>
        </w:tabs>
        <w:kinsoku/>
        <w:wordWrap/>
        <w:overflowPunct/>
        <w:topLinePunct w:val="0"/>
        <w:autoSpaceDE/>
        <w:autoSpaceDN/>
        <w:bidi w:val="0"/>
        <w:spacing w:line="400" w:lineRule="exact"/>
        <w:jc w:val="center"/>
        <w:rPr>
          <w:rFonts w:ascii="宋体" w:hAnsi="宋体" w:cs="宋体"/>
          <w:b/>
          <w:bCs/>
          <w:w w:val="95"/>
          <w:sz w:val="24"/>
        </w:rPr>
      </w:pPr>
      <w:r>
        <w:rPr>
          <w:rFonts w:hint="eastAsia" w:ascii="宋体" w:hAnsi="宋体" w:cs="宋体"/>
          <w:sz w:val="24"/>
        </w:rPr>
        <w:t xml:space="preserve">                                                        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31</w:t>
      </w:r>
      <w:r>
        <w:rPr>
          <w:rFonts w:hint="eastAsia" w:ascii="宋体" w:hAnsi="宋体" w:cs="宋体"/>
          <w:sz w:val="24"/>
        </w:rPr>
        <w:t>日</w:t>
      </w:r>
    </w:p>
    <w:p w14:paraId="0D993819">
      <w:pPr>
        <w:pageBreakBefore w:val="0"/>
        <w:kinsoku/>
        <w:wordWrap/>
        <w:overflowPunct/>
        <w:topLinePunct w:val="0"/>
        <w:autoSpaceDE/>
        <w:autoSpaceDN/>
        <w:bidi w:val="0"/>
        <w:spacing w:line="400" w:lineRule="exact"/>
        <w:rPr>
          <w:rFonts w:ascii="宋体" w:hAnsi="宋体" w:cs="宋体"/>
          <w:sz w:val="24"/>
        </w:rPr>
      </w:pPr>
      <w:r>
        <w:rPr>
          <w:rFonts w:hint="eastAsia" w:ascii="宋体" w:hAnsi="宋体" w:cs="宋体"/>
          <w:b/>
          <w:bCs/>
          <w:w w:val="95"/>
          <w:sz w:val="24"/>
        </w:rPr>
        <w:br w:type="page"/>
      </w:r>
    </w:p>
    <w:p w14:paraId="452CEDFA">
      <w:pPr>
        <w:pStyle w:val="2"/>
        <w:pageBreakBefore w:val="0"/>
        <w:kinsoku/>
        <w:wordWrap/>
        <w:overflowPunct/>
        <w:topLinePunct w:val="0"/>
        <w:autoSpaceDE/>
        <w:autoSpaceDN/>
        <w:bidi w:val="0"/>
        <w:spacing w:line="400" w:lineRule="exact"/>
        <w:jc w:val="center"/>
        <w:rPr>
          <w:sz w:val="30"/>
          <w:szCs w:val="30"/>
        </w:rPr>
      </w:pPr>
      <w:r>
        <w:rPr>
          <w:rFonts w:hint="eastAsia"/>
          <w:w w:val="95"/>
          <w:sz w:val="30"/>
          <w:szCs w:val="30"/>
        </w:rPr>
        <w:t xml:space="preserve">第二章  项目需求和说明 </w:t>
      </w:r>
    </w:p>
    <w:p w14:paraId="745C2A77">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一、项目名称：</w:t>
      </w:r>
      <w:r>
        <w:rPr>
          <w:rFonts w:hint="eastAsia" w:ascii="宋体" w:hAnsi="宋体" w:cs="宋体"/>
          <w:sz w:val="24"/>
        </w:rPr>
        <w:t>桂林市人民医院</w:t>
      </w:r>
      <w:r>
        <w:rPr>
          <w:rFonts w:hint="eastAsia" w:ascii="宋体" w:hAnsi="宋体" w:cs="宋体"/>
          <w:bCs/>
          <w:sz w:val="24"/>
        </w:rPr>
        <w:t>双活存储升级扩容及虚拟化交换机采购</w:t>
      </w:r>
    </w:p>
    <w:p w14:paraId="34F75192">
      <w:pPr>
        <w:pageBreakBefore w:val="0"/>
        <w:kinsoku/>
        <w:wordWrap/>
        <w:overflowPunct/>
        <w:topLinePunct w:val="0"/>
        <w:autoSpaceDE/>
        <w:autoSpaceDN/>
        <w:bidi w:val="0"/>
        <w:spacing w:line="400" w:lineRule="exact"/>
        <w:ind w:firstLine="482" w:firstLineChars="200"/>
        <w:rPr>
          <w:rFonts w:ascii="宋体" w:hAnsi="宋体" w:cs="宋体"/>
          <w:sz w:val="24"/>
        </w:rPr>
      </w:pPr>
      <w:r>
        <w:rPr>
          <w:rFonts w:hint="eastAsia" w:ascii="宋体" w:hAnsi="宋体" w:cs="宋体"/>
          <w:b/>
          <w:bCs/>
          <w:sz w:val="24"/>
        </w:rPr>
        <w:t>二、项目编号：</w:t>
      </w:r>
      <w:r>
        <w:rPr>
          <w:rFonts w:hint="eastAsia" w:ascii="宋体" w:hAnsi="宋体" w:cs="宋体"/>
          <w:sz w:val="24"/>
        </w:rPr>
        <w:t>XXK-2025-016</w:t>
      </w:r>
    </w:p>
    <w:p w14:paraId="430BAA7E">
      <w:pPr>
        <w:pageBreakBefore w:val="0"/>
        <w:kinsoku/>
        <w:wordWrap/>
        <w:overflowPunct/>
        <w:topLinePunct w:val="0"/>
        <w:autoSpaceDE/>
        <w:autoSpaceDN/>
        <w:bidi w:val="0"/>
        <w:spacing w:line="400" w:lineRule="exact"/>
        <w:ind w:firstLine="482" w:firstLineChars="200"/>
        <w:rPr>
          <w:rFonts w:eastAsia="方正大标宋简体"/>
          <w:sz w:val="30"/>
          <w:szCs w:val="30"/>
        </w:rPr>
      </w:pPr>
      <w:r>
        <w:rPr>
          <w:rFonts w:hint="eastAsia" w:ascii="宋体" w:hAnsi="宋体" w:cs="宋体"/>
          <w:b/>
          <w:sz w:val="24"/>
        </w:rPr>
        <w:t>三、技术要求</w:t>
      </w:r>
      <w:r>
        <w:rPr>
          <w:rFonts w:hint="eastAsia" w:eastAsia="方正大标宋简体"/>
          <w:sz w:val="30"/>
          <w:szCs w:val="30"/>
        </w:rPr>
        <w:t xml:space="preserve"> </w:t>
      </w:r>
    </w:p>
    <w:tbl>
      <w:tblPr>
        <w:tblStyle w:val="15"/>
        <w:tblW w:w="11227"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716"/>
        <w:gridCol w:w="728"/>
        <w:gridCol w:w="6798"/>
        <w:gridCol w:w="582"/>
        <w:gridCol w:w="630"/>
        <w:gridCol w:w="885"/>
        <w:gridCol w:w="888"/>
      </w:tblGrid>
      <w:tr w14:paraId="11577D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7" w:hRule="atLeast"/>
          <w:jc w:val="center"/>
        </w:trPr>
        <w:tc>
          <w:tcPr>
            <w:tcW w:w="71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E8464D">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项号</w:t>
            </w:r>
          </w:p>
        </w:tc>
        <w:tc>
          <w:tcPr>
            <w:tcW w:w="7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3D5355">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货物</w:t>
            </w:r>
          </w:p>
          <w:p w14:paraId="41C76CAF">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名称</w:t>
            </w:r>
          </w:p>
        </w:tc>
        <w:tc>
          <w:tcPr>
            <w:tcW w:w="6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111BA">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货物技术规格、配置参数</w:t>
            </w:r>
          </w:p>
        </w:tc>
        <w:tc>
          <w:tcPr>
            <w:tcW w:w="5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AA331F3">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数量</w:t>
            </w:r>
          </w:p>
        </w:tc>
        <w:tc>
          <w:tcPr>
            <w:tcW w:w="6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2FDBD">
            <w:pPr>
              <w:pageBreakBefore w:val="0"/>
              <w:kinsoku/>
              <w:wordWrap/>
              <w:overflowPunct/>
              <w:topLinePunct w:val="0"/>
              <w:autoSpaceDE/>
              <w:autoSpaceDN/>
              <w:bidi w:val="0"/>
              <w:spacing w:line="400" w:lineRule="exact"/>
              <w:jc w:val="center"/>
              <w:rPr>
                <w:rFonts w:ascii="宋体" w:hAnsi="宋体" w:cs="宋体"/>
                <w:b/>
                <w:szCs w:val="21"/>
              </w:rPr>
            </w:pPr>
            <w:r>
              <w:rPr>
                <w:rFonts w:hint="eastAsia" w:ascii="宋体" w:hAnsi="宋体" w:cs="宋体"/>
                <w:b/>
                <w:szCs w:val="21"/>
              </w:rPr>
              <w:t>单位</w:t>
            </w:r>
          </w:p>
        </w:tc>
        <w:tc>
          <w:tcPr>
            <w:tcW w:w="88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557D4D">
            <w:pPr>
              <w:pageBreakBefore w:val="0"/>
              <w:kinsoku/>
              <w:wordWrap/>
              <w:overflowPunct/>
              <w:topLinePunct w:val="0"/>
              <w:autoSpaceDE/>
              <w:autoSpaceDN/>
              <w:bidi w:val="0"/>
              <w:spacing w:line="400" w:lineRule="exact"/>
              <w:jc w:val="center"/>
              <w:rPr>
                <w:rFonts w:ascii="宋体" w:hAnsi="宋体" w:cs="宋体" w:eastAsiaTheme="minorEastAsia"/>
                <w:b/>
                <w:szCs w:val="21"/>
              </w:rPr>
            </w:pPr>
            <w:r>
              <w:rPr>
                <w:rFonts w:hint="eastAsia" w:ascii="宋体" w:hAnsi="宋体" w:cs="宋体"/>
                <w:b/>
                <w:szCs w:val="21"/>
              </w:rPr>
              <w:t>控制单价（元）</w:t>
            </w:r>
          </w:p>
        </w:tc>
        <w:tc>
          <w:tcPr>
            <w:tcW w:w="88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E1954A">
            <w:pPr>
              <w:pageBreakBefore w:val="0"/>
              <w:kinsoku/>
              <w:wordWrap/>
              <w:overflowPunct/>
              <w:topLinePunct w:val="0"/>
              <w:autoSpaceDE/>
              <w:autoSpaceDN/>
              <w:bidi w:val="0"/>
              <w:spacing w:line="400" w:lineRule="exact"/>
              <w:jc w:val="center"/>
              <w:rPr>
                <w:rFonts w:ascii="宋体" w:hAnsi="宋体" w:cs="宋体" w:eastAsiaTheme="minorEastAsia"/>
                <w:b/>
                <w:szCs w:val="21"/>
              </w:rPr>
            </w:pPr>
            <w:r>
              <w:rPr>
                <w:rFonts w:hint="eastAsia" w:ascii="宋体" w:hAnsi="宋体" w:cs="宋体"/>
                <w:b/>
                <w:szCs w:val="21"/>
              </w:rPr>
              <w:t>汇总价（元）</w:t>
            </w:r>
          </w:p>
        </w:tc>
      </w:tr>
      <w:tr w14:paraId="078D8B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12" w:hRule="atLeast"/>
          <w:jc w:val="center"/>
        </w:trPr>
        <w:tc>
          <w:tcPr>
            <w:tcW w:w="7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F73C93F">
            <w:pPr>
              <w:pageBreakBefore w:val="0"/>
              <w:kinsoku/>
              <w:wordWrap/>
              <w:overflowPunct/>
              <w:topLinePunct w:val="0"/>
              <w:autoSpaceDE/>
              <w:autoSpaceDN/>
              <w:bidi w:val="0"/>
              <w:spacing w:line="400" w:lineRule="exact"/>
              <w:jc w:val="center"/>
              <w:rPr>
                <w:rFonts w:ascii="宋体" w:hAnsi="宋体" w:cs="宋体" w:eastAsiaTheme="minorEastAsia"/>
                <w:szCs w:val="21"/>
              </w:rPr>
            </w:pPr>
            <w:r>
              <w:rPr>
                <w:rFonts w:hint="eastAsia" w:asciiTheme="minorEastAsia" w:hAnsiTheme="minorEastAsia" w:cstheme="minorEastAsia"/>
                <w:szCs w:val="21"/>
              </w:rPr>
              <w:t>1</w:t>
            </w:r>
          </w:p>
        </w:tc>
        <w:tc>
          <w:tcPr>
            <w:tcW w:w="7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AACA0C1">
            <w:pPr>
              <w:pageBreakBefore w:val="0"/>
              <w:kinsoku/>
              <w:wordWrap/>
              <w:overflowPunct/>
              <w:topLinePunct w:val="0"/>
              <w:autoSpaceDE/>
              <w:autoSpaceDN/>
              <w:bidi w:val="0"/>
              <w:spacing w:line="40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全闪存存储</w:t>
            </w:r>
          </w:p>
          <w:p w14:paraId="72111440">
            <w:pPr>
              <w:pageBreakBefore w:val="0"/>
              <w:kinsoku/>
              <w:wordWrap/>
              <w:overflowPunct/>
              <w:topLinePunct w:val="0"/>
              <w:autoSpaceDE/>
              <w:autoSpaceDN/>
              <w:bidi w:val="0"/>
              <w:spacing w:line="400" w:lineRule="exact"/>
              <w:jc w:val="center"/>
              <w:textAlignment w:val="center"/>
              <w:rPr>
                <w:rFonts w:ascii="宋体" w:hAnsi="宋体" w:cs="宋体" w:eastAsiaTheme="minorEastAsia"/>
                <w:szCs w:val="21"/>
              </w:rPr>
            </w:pPr>
            <w:r>
              <w:rPr>
                <w:rFonts w:hint="eastAsia" w:ascii="宋体" w:hAnsi="宋体" w:cs="宋体"/>
                <w:szCs w:val="21"/>
              </w:rPr>
              <w:t>双活扩容节点</w:t>
            </w:r>
          </w:p>
        </w:tc>
        <w:tc>
          <w:tcPr>
            <w:tcW w:w="6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B686DA3">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1、全闪存存储架构，仅支持固态硬盘，不支持机械硬盘，</w:t>
            </w:r>
            <w:r>
              <w:rPr>
                <w:rFonts w:hint="eastAsia" w:asciiTheme="minorEastAsia" w:hAnsiTheme="minorEastAsia" w:cstheme="minorEastAsia"/>
                <w:kern w:val="0"/>
                <w:szCs w:val="21"/>
              </w:rPr>
              <w:t>须</w:t>
            </w:r>
            <w:r>
              <w:rPr>
                <w:rFonts w:hint="eastAsia" w:asciiTheme="minorEastAsia" w:hAnsiTheme="minorEastAsia" w:eastAsiaTheme="minorEastAsia" w:cstheme="minorEastAsia"/>
                <w:kern w:val="0"/>
                <w:szCs w:val="21"/>
              </w:rPr>
              <w:t>与医院现有华为OceanStor Dorado 2000全闪存存储实现</w:t>
            </w:r>
            <w:r>
              <w:rPr>
                <w:rFonts w:hint="eastAsia" w:asciiTheme="minorEastAsia" w:hAnsiTheme="minorEastAsia" w:cstheme="minorEastAsia"/>
                <w:kern w:val="0"/>
                <w:szCs w:val="21"/>
              </w:rPr>
              <w:t>双活扩容功能</w:t>
            </w:r>
            <w:r>
              <w:rPr>
                <w:rFonts w:hint="eastAsia" w:asciiTheme="minorEastAsia" w:hAnsiTheme="minorEastAsia" w:eastAsiaTheme="minorEastAsia" w:cstheme="minorEastAsia"/>
                <w:kern w:val="0"/>
                <w:szCs w:val="21"/>
              </w:rPr>
              <w:t>；</w:t>
            </w:r>
          </w:p>
          <w:p w14:paraId="74D5342C">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2、采用多控（所有控制器）高速互联架构，所有控制器互联协议采用PCI-E等协议，非FC、IP联邦；；</w:t>
            </w:r>
          </w:p>
          <w:p w14:paraId="17B4E5C8">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3、控制器支持扩展≥8个。配置≥2个控制器，系统内总一级缓存容量配置≥120GB（不含任何性能加速模块、FlashCache、PAM卡，SSD Cache、SCM等）。控制器采用多核处理器，处理器总核心数≥48核，CPU主频率≥2.6GHz；</w:t>
            </w:r>
          </w:p>
          <w:p w14:paraId="7C0B4221">
            <w:pPr>
              <w:pStyle w:val="5"/>
              <w:pageBreakBefore w:val="0"/>
              <w:kinsoku/>
              <w:wordWrap/>
              <w:overflowPunct/>
              <w:topLinePunct w:val="0"/>
              <w:autoSpaceDE/>
              <w:autoSpaceDN/>
              <w:bidi w:val="0"/>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r>
              <w:rPr>
                <w:rFonts w:ascii="宋体" w:hAnsi="宋体"/>
                <w:szCs w:val="21"/>
              </w:rPr>
              <w:t>★</w:t>
            </w:r>
            <w:r>
              <w:rPr>
                <w:rFonts w:hint="eastAsia" w:asciiTheme="minorEastAsia" w:hAnsiTheme="minorEastAsia" w:eastAsiaTheme="minorEastAsia" w:cstheme="minorEastAsia"/>
                <w:kern w:val="0"/>
                <w:szCs w:val="21"/>
              </w:rPr>
              <w:t>控制器间采用Active-Active架构，LUN不归属于某一个控制器，业务负载均衡到所有控制器。支持在线从2控扩展4控，4个控制器能组成集群。</w:t>
            </w:r>
            <w:r>
              <w:rPr>
                <w:rFonts w:hint="eastAsia"/>
              </w:rPr>
              <w:t>供应商于投标文件中必须提供由国家认可的第三方检测机构出具的所投产品满足本项技术要求的检验（检测、测试）报告复印件，并加盖供应商公章，否则按投标无效处理</w:t>
            </w:r>
            <w:r>
              <w:rPr>
                <w:rFonts w:hint="eastAsia"/>
                <w:lang w:eastAsia="zh-CN"/>
              </w:rPr>
              <w:t>；</w:t>
            </w:r>
          </w:p>
          <w:p w14:paraId="2B4CEB88">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5、最大支持磁盘插槽个数≥400；</w:t>
            </w:r>
          </w:p>
          <w:p w14:paraId="22B079FA">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6、前端主机接口类型支持配置8/16/32G FC，1/10/25 GE，配置</w:t>
            </w:r>
            <w:r>
              <w:rPr>
                <w:rFonts w:hint="eastAsia" w:asciiTheme="minorEastAsia" w:hAnsiTheme="minorEastAsia" w:eastAsiaTheme="minorEastAsia" w:cstheme="minorEastAsia"/>
                <w:kern w:val="0"/>
                <w:szCs w:val="21"/>
                <w:lang w:val="en-US" w:eastAsia="zh-CN"/>
              </w:rPr>
              <w:t>不少于</w:t>
            </w:r>
            <w:r>
              <w:rPr>
                <w:rFonts w:hint="eastAsia" w:asciiTheme="minorEastAsia" w:hAnsiTheme="minorEastAsia" w:eastAsiaTheme="minorEastAsia" w:cstheme="minorEastAsia"/>
                <w:kern w:val="0"/>
                <w:szCs w:val="21"/>
              </w:rPr>
              <w:t>4个10GE以太光接口+8个GE以太电接口+8个16G FC接口；</w:t>
            </w:r>
          </w:p>
          <w:p w14:paraId="148B4C11">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7、本次配置≥25块3.84TB SSD SAS硬盘；</w:t>
            </w:r>
          </w:p>
          <w:p w14:paraId="72A248F9">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8、支持无中断升级，升级前无需在业务主机侧做相应准备工作；</w:t>
            </w:r>
          </w:p>
          <w:p w14:paraId="0AFB504D">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9、配置智能加速、智能精简、智能迁移、快照、远程复制、克隆、质量服务、数据擦除、异构存储纳管、双活、持续数据保护、多路径软件等功能授权；</w:t>
            </w:r>
          </w:p>
          <w:p w14:paraId="7ADA8CDC">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10、提供SSD寿命监控技术，并在系统中显示每一块SSD硬盘的磨损度以及预估剩余寿命；</w:t>
            </w:r>
          </w:p>
          <w:p w14:paraId="0DF77BEF">
            <w:pPr>
              <w:pStyle w:val="5"/>
              <w:pageBreakBefore w:val="0"/>
              <w:kinsoku/>
              <w:wordWrap/>
              <w:overflowPunct/>
              <w:topLinePunct w:val="0"/>
              <w:autoSpaceDE/>
              <w:autoSpaceDN/>
              <w:bidi w:val="0"/>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11、</w:t>
            </w:r>
            <w:r>
              <w:rPr>
                <w:rFonts w:ascii="宋体" w:hAnsi="宋体"/>
                <w:szCs w:val="21"/>
              </w:rPr>
              <w:t>★</w:t>
            </w:r>
            <w:r>
              <w:rPr>
                <w:rFonts w:hint="eastAsia" w:asciiTheme="minorEastAsia" w:hAnsiTheme="minorEastAsia" w:eastAsiaTheme="minorEastAsia" w:cstheme="minorEastAsia"/>
                <w:kern w:val="0"/>
                <w:szCs w:val="21"/>
              </w:rPr>
              <w:t>全闪存存储系统支持DIF校验特性，对静默数据的修复可以检测和修复。</w:t>
            </w:r>
            <w:r>
              <w:rPr>
                <w:rFonts w:hint="eastAsia"/>
              </w:rPr>
              <w:t>供应商于投标文件中必须提供由国家认可的第三方检测机构出具的所投产品满足本项技术要求的检验（检测、测试）报告复印件，并加盖供应商公章，否则按投标无效处理</w:t>
            </w:r>
            <w:r>
              <w:rPr>
                <w:rFonts w:hint="eastAsia"/>
                <w:lang w:eastAsia="zh-CN"/>
              </w:rPr>
              <w:t>；</w:t>
            </w:r>
          </w:p>
          <w:p w14:paraId="6641C259">
            <w:pPr>
              <w:pStyle w:val="5"/>
              <w:pageBreakBefore w:val="0"/>
              <w:kinsoku/>
              <w:wordWrap/>
              <w:overflowPunct/>
              <w:topLinePunct w:val="0"/>
              <w:autoSpaceDE/>
              <w:autoSpaceDN/>
              <w:bidi w:val="0"/>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12、</w:t>
            </w:r>
            <w:r>
              <w:rPr>
                <w:rFonts w:ascii="宋体" w:hAnsi="宋体"/>
                <w:szCs w:val="21"/>
              </w:rPr>
              <w:t>★</w:t>
            </w:r>
            <w:r>
              <w:rPr>
                <w:rFonts w:hint="eastAsia" w:asciiTheme="minorEastAsia" w:hAnsiTheme="minorEastAsia" w:eastAsiaTheme="minorEastAsia" w:cstheme="minorEastAsia"/>
                <w:kern w:val="0"/>
                <w:szCs w:val="21"/>
              </w:rPr>
              <w:t>支持在同一个RAID组内容忍3盘同时失效，数据不丢&amp;不中断业务。</w:t>
            </w:r>
            <w:r>
              <w:rPr>
                <w:rFonts w:hint="eastAsia"/>
              </w:rPr>
              <w:t>供应商于投标文件中必须提供由国家认可的第三方检测机构出具的所投产品满足本项技术要求的检验（检测、测试）报告复印件，并加盖供应商公章，否则按投标无效处理</w:t>
            </w:r>
            <w:r>
              <w:rPr>
                <w:rFonts w:hint="eastAsia" w:asciiTheme="minorEastAsia" w:hAnsiTheme="minorEastAsia" w:eastAsiaTheme="minorEastAsia" w:cstheme="minorEastAsia"/>
                <w:kern w:val="0"/>
                <w:szCs w:val="21"/>
              </w:rPr>
              <w:t>；</w:t>
            </w:r>
          </w:p>
          <w:p w14:paraId="547371D0">
            <w:pPr>
              <w:pStyle w:val="5"/>
              <w:pageBreakBefore w:val="0"/>
              <w:kinsoku/>
              <w:wordWrap/>
              <w:overflowPunct/>
              <w:topLinePunct w:val="0"/>
              <w:autoSpaceDE/>
              <w:autoSpaceDN/>
              <w:bidi w:val="0"/>
              <w:spacing w:line="400" w:lineRule="exact"/>
            </w:pPr>
            <w:r>
              <w:rPr>
                <w:rFonts w:hint="eastAsia" w:asciiTheme="minorEastAsia" w:hAnsiTheme="minorEastAsia" w:eastAsiaTheme="minorEastAsia" w:cstheme="minorEastAsia"/>
                <w:kern w:val="0"/>
                <w:szCs w:val="21"/>
              </w:rPr>
              <w:t>13、</w:t>
            </w:r>
            <w:r>
              <w:rPr>
                <w:rFonts w:ascii="宋体" w:hAnsi="宋体"/>
                <w:szCs w:val="21"/>
              </w:rPr>
              <w:t>★</w:t>
            </w:r>
            <w:r>
              <w:rPr>
                <w:rFonts w:hint="eastAsia" w:asciiTheme="minorEastAsia" w:hAnsiTheme="minorEastAsia" w:eastAsiaTheme="minorEastAsia" w:cstheme="minorEastAsia"/>
                <w:kern w:val="0"/>
                <w:szCs w:val="21"/>
              </w:rPr>
              <w:t>提供SSD寿命监控技术，全闪存存储系统支持SSD、电源模块、FC接口卡在线热插拔。</w:t>
            </w:r>
            <w:r>
              <w:rPr>
                <w:rFonts w:hint="eastAsia"/>
              </w:rPr>
              <w:t>供应商于投标文件中必须提供由国家认可的第三方检测机构出具的所投产品满足本项技术要求的检验（检测、测试）报告复印件，</w:t>
            </w:r>
            <w:bookmarkStart w:id="0" w:name="OLE_LINK1"/>
            <w:r>
              <w:rPr>
                <w:rFonts w:hint="eastAsia"/>
              </w:rPr>
              <w:t>并加盖供应商公章，否则按投标无效处理</w:t>
            </w:r>
            <w:r>
              <w:rPr>
                <w:rFonts w:hint="eastAsia"/>
                <w:lang w:eastAsia="zh-CN"/>
              </w:rPr>
              <w:t>；</w:t>
            </w:r>
            <w:bookmarkEnd w:id="0"/>
          </w:p>
          <w:p w14:paraId="739F619C">
            <w:pPr>
              <w:pageBreakBefore w:val="0"/>
              <w:kinsoku/>
              <w:wordWrap/>
              <w:overflowPunct/>
              <w:topLinePunct w:val="0"/>
              <w:autoSpaceDE/>
              <w:autoSpaceDN/>
              <w:bidi w:val="0"/>
              <w:spacing w:line="400" w:lineRule="exact"/>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14、提供功能全面的图形化管理软件，包括磁盘阵列和卷管理软件</w:t>
            </w:r>
            <w:r>
              <w:rPr>
                <w:rFonts w:hint="eastAsia" w:asciiTheme="minorEastAsia" w:hAnsiTheme="minorEastAsia" w:eastAsiaTheme="minorEastAsia" w:cstheme="minorEastAsia"/>
                <w:kern w:val="0"/>
                <w:szCs w:val="21"/>
                <w:lang w:val="en-US" w:eastAsia="zh-CN"/>
              </w:rPr>
              <w:t>等</w:t>
            </w:r>
            <w:r>
              <w:rPr>
                <w:rFonts w:hint="eastAsia" w:asciiTheme="minorEastAsia" w:hAnsiTheme="minorEastAsia" w:eastAsiaTheme="minorEastAsia" w:cstheme="minorEastAsia"/>
                <w:kern w:val="0"/>
                <w:szCs w:val="21"/>
              </w:rPr>
              <w:t>。为存储设备提供图形化管理、配置和监控软件；</w:t>
            </w:r>
          </w:p>
          <w:p w14:paraId="4A11D155">
            <w:pPr>
              <w:pageBreakBefore w:val="0"/>
              <w:kinsoku/>
              <w:wordWrap/>
              <w:overflowPunct/>
              <w:topLinePunct w:val="0"/>
              <w:autoSpaceDE/>
              <w:autoSpaceDN/>
              <w:bidi w:val="0"/>
              <w:spacing w:line="400" w:lineRule="exact"/>
              <w:jc w:val="left"/>
              <w:textAlignment w:val="center"/>
              <w:rPr>
                <w:rFonts w:ascii="宋体" w:hAnsi="宋体" w:cs="宋体"/>
                <w:szCs w:val="21"/>
              </w:rPr>
            </w:pPr>
            <w:r>
              <w:rPr>
                <w:rFonts w:hint="eastAsia" w:asciiTheme="minorEastAsia" w:hAnsiTheme="minorEastAsia" w:eastAsiaTheme="minorEastAsia" w:cstheme="minorEastAsia"/>
                <w:kern w:val="0"/>
                <w:szCs w:val="21"/>
              </w:rPr>
              <w:t>15、</w:t>
            </w:r>
            <w:r>
              <w:rPr>
                <w:rFonts w:hint="eastAsia" w:ascii="宋体" w:hAnsi="宋体"/>
                <w:szCs w:val="21"/>
                <w:lang w:val="en-US" w:eastAsia="zh-CN"/>
              </w:rPr>
              <w:t>提供</w:t>
            </w:r>
            <w:r>
              <w:rPr>
                <w:rFonts w:hint="eastAsia" w:asciiTheme="minorEastAsia" w:hAnsiTheme="minorEastAsia" w:eastAsiaTheme="minorEastAsia" w:cstheme="minorEastAsia"/>
                <w:kern w:val="0"/>
                <w:szCs w:val="21"/>
              </w:rPr>
              <w:t>原厂</w:t>
            </w:r>
            <w:r>
              <w:rPr>
                <w:rFonts w:hint="eastAsia" w:asciiTheme="minorEastAsia" w:hAnsiTheme="minorEastAsia" w:cstheme="minorEastAsia"/>
                <w:kern w:val="0"/>
                <w:szCs w:val="21"/>
              </w:rPr>
              <w:t>双活扩容</w:t>
            </w:r>
            <w:r>
              <w:rPr>
                <w:rFonts w:hint="eastAsia" w:asciiTheme="minorEastAsia" w:hAnsiTheme="minorEastAsia" w:eastAsiaTheme="minorEastAsia" w:cstheme="minorEastAsia"/>
                <w:kern w:val="0"/>
                <w:szCs w:val="21"/>
              </w:rPr>
              <w:t>安装调试服务、</w:t>
            </w:r>
            <w:r>
              <w:rPr>
                <w:rFonts w:hint="eastAsia" w:asciiTheme="minorEastAsia" w:hAnsiTheme="minorEastAsia" w:eastAsiaTheme="minorEastAsia" w:cstheme="minorEastAsia"/>
                <w:kern w:val="0"/>
                <w:szCs w:val="21"/>
                <w:lang w:val="en-US" w:eastAsia="zh-CN"/>
              </w:rPr>
              <w:t>提供</w:t>
            </w:r>
            <w:r>
              <w:rPr>
                <w:rFonts w:hint="eastAsia" w:asciiTheme="minorEastAsia" w:hAnsiTheme="minorEastAsia" w:eastAsiaTheme="minorEastAsia" w:cstheme="minorEastAsia"/>
                <w:kern w:val="0"/>
                <w:szCs w:val="21"/>
              </w:rPr>
              <w:t>原厂安装调试服务、</w:t>
            </w:r>
            <w:r>
              <w:rPr>
                <w:rFonts w:hint="eastAsia" w:ascii="宋体" w:hAnsi="宋体" w:cs="宋体"/>
                <w:kern w:val="0"/>
                <w:szCs w:val="21"/>
              </w:rPr>
              <w:t>签订合同时必须出具原厂针对本次项目的双活扩容</w:t>
            </w:r>
            <w:r>
              <w:rPr>
                <w:rFonts w:hint="eastAsia" w:asciiTheme="minorEastAsia" w:hAnsiTheme="minorEastAsia" w:eastAsiaTheme="minorEastAsia" w:cstheme="minorEastAsia"/>
                <w:kern w:val="0"/>
                <w:szCs w:val="21"/>
              </w:rPr>
              <w:t>含</w:t>
            </w:r>
            <w:r>
              <w:rPr>
                <w:rFonts w:hint="eastAsia" w:ascii="宋体" w:hAnsi="宋体" w:cs="宋体"/>
                <w:kern w:val="0"/>
                <w:szCs w:val="21"/>
              </w:rPr>
              <w:t>售后服务承诺书并加盖原厂公章</w:t>
            </w:r>
            <w:r>
              <w:rPr>
                <w:rFonts w:hint="eastAsia" w:ascii="宋体" w:hAnsi="宋体" w:cs="宋体"/>
                <w:kern w:val="0"/>
                <w:szCs w:val="21"/>
                <w:lang w:eastAsia="zh-CN"/>
              </w:rPr>
              <w:t>，</w:t>
            </w:r>
            <w:r>
              <w:rPr>
                <w:rFonts w:hint="eastAsia" w:ascii="宋体" w:hAnsi="宋体" w:cs="宋体"/>
                <w:kern w:val="0"/>
                <w:szCs w:val="21"/>
                <w:lang w:val="en-US" w:eastAsia="zh-CN"/>
              </w:rPr>
              <w:t>否则不予验收；</w:t>
            </w:r>
          </w:p>
        </w:tc>
        <w:tc>
          <w:tcPr>
            <w:tcW w:w="5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F74EED0">
            <w:pPr>
              <w:pageBreakBefore w:val="0"/>
              <w:kinsoku/>
              <w:wordWrap/>
              <w:overflowPunct/>
              <w:topLinePunct w:val="0"/>
              <w:autoSpaceDE/>
              <w:autoSpaceDN/>
              <w:bidi w:val="0"/>
              <w:spacing w:line="400" w:lineRule="exact"/>
              <w:jc w:val="center"/>
              <w:textAlignment w:val="center"/>
              <w:rPr>
                <w:rFonts w:ascii="宋体" w:hAnsi="宋体" w:cs="宋体"/>
                <w:szCs w:val="21"/>
              </w:rPr>
            </w:pPr>
            <w:r>
              <w:rPr>
                <w:rFonts w:hint="eastAsia" w:asciiTheme="minorEastAsia" w:hAnsiTheme="minorEastAsia" w:eastAsiaTheme="minorEastAsia" w:cstheme="minorEastAsia"/>
                <w:kern w:val="0"/>
                <w:szCs w:val="21"/>
              </w:rPr>
              <w:t>1</w:t>
            </w:r>
          </w:p>
        </w:tc>
        <w:tc>
          <w:tcPr>
            <w:tcW w:w="6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265B4E8">
            <w:pPr>
              <w:pageBreakBefore w:val="0"/>
              <w:kinsoku/>
              <w:wordWrap/>
              <w:overflowPunct/>
              <w:topLinePunct w:val="0"/>
              <w:autoSpaceDE/>
              <w:autoSpaceDN/>
              <w:bidi w:val="0"/>
              <w:spacing w:line="400" w:lineRule="exact"/>
              <w:jc w:val="center"/>
              <w:rPr>
                <w:rFonts w:ascii="宋体" w:hAnsi="宋体" w:cs="宋体" w:eastAsiaTheme="minorEastAsia"/>
                <w:szCs w:val="21"/>
              </w:rPr>
            </w:pPr>
            <w:r>
              <w:rPr>
                <w:rFonts w:hint="eastAsia" w:asciiTheme="minorEastAsia" w:hAnsiTheme="minorEastAsia" w:cstheme="minorEastAsia"/>
                <w:szCs w:val="21"/>
              </w:rPr>
              <w:t>套</w:t>
            </w:r>
          </w:p>
        </w:tc>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B001E61">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362000</w:t>
            </w:r>
          </w:p>
        </w:tc>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E08F768">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362000</w:t>
            </w:r>
          </w:p>
        </w:tc>
      </w:tr>
      <w:tr w14:paraId="077DEE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7" w:hRule="atLeast"/>
          <w:jc w:val="center"/>
        </w:trPr>
        <w:tc>
          <w:tcPr>
            <w:tcW w:w="7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DEB4234">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2</w:t>
            </w:r>
          </w:p>
        </w:tc>
        <w:tc>
          <w:tcPr>
            <w:tcW w:w="7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C7A0FB4">
            <w:pPr>
              <w:pageBreakBefore w:val="0"/>
              <w:kinsoku/>
              <w:wordWrap/>
              <w:overflowPunct/>
              <w:topLinePunct w:val="0"/>
              <w:autoSpaceDE/>
              <w:autoSpaceDN/>
              <w:bidi w:val="0"/>
              <w:spacing w:line="400" w:lineRule="exact"/>
              <w:jc w:val="center"/>
              <w:textAlignment w:val="center"/>
              <w:rPr>
                <w:rFonts w:ascii="宋体" w:hAnsi="宋体" w:cs="宋体"/>
                <w:szCs w:val="21"/>
              </w:rPr>
            </w:pPr>
            <w:r>
              <w:rPr>
                <w:rFonts w:hint="eastAsia" w:ascii="宋体" w:hAnsi="宋体" w:cs="宋体"/>
                <w:szCs w:val="21"/>
              </w:rPr>
              <w:t>外网虚拟化万兆业务交换机</w:t>
            </w:r>
          </w:p>
        </w:tc>
        <w:tc>
          <w:tcPr>
            <w:tcW w:w="6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06D60">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 设备性能：交换容量≥2.56Tbps, 转发性能≥792Mpps；</w:t>
            </w:r>
          </w:p>
          <w:p w14:paraId="432ED3FF">
            <w:pPr>
              <w:pageBreakBefore w:val="0"/>
              <w:kinsoku/>
              <w:wordWrap/>
              <w:overflowPunct/>
              <w:topLinePunct w:val="0"/>
              <w:autoSpaceDE/>
              <w:autoSpaceDN/>
              <w:bidi w:val="0"/>
              <w:spacing w:line="400" w:lineRule="exact"/>
              <w:jc w:val="left"/>
              <w:textAlignment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 设备配置：提供万兆SFP+光口≥24个，40GE QSFP+光口≥6个，标准USB接口≥1个，ETH管理接口≥1个，支持模块化可插拔电源槽位≥2个，提供可拔插交流电源模块≥1个，支持模块化可拔插风扇模块槽位≥4个</w:t>
            </w:r>
            <w:r>
              <w:rPr>
                <w:rFonts w:hint="eastAsia" w:asciiTheme="minorEastAsia" w:hAnsiTheme="minorEastAsia" w:eastAsiaTheme="minorEastAsia" w:cstheme="minorEastAsia"/>
                <w:kern w:val="0"/>
                <w:szCs w:val="21"/>
                <w:lang w:eastAsia="zh-CN"/>
              </w:rPr>
              <w:t>；</w:t>
            </w:r>
          </w:p>
          <w:p w14:paraId="71682243">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提供风扇模块≥4个，配置</w:t>
            </w:r>
            <w:r>
              <w:rPr>
                <w:rFonts w:hint="eastAsia" w:asciiTheme="minorEastAsia" w:hAnsiTheme="minorEastAsia" w:eastAsiaTheme="minorEastAsia" w:cstheme="minorEastAsia"/>
                <w:kern w:val="0"/>
                <w:szCs w:val="21"/>
                <w:lang w:val="en-US" w:eastAsia="zh-CN"/>
              </w:rPr>
              <w:t>不少于</w:t>
            </w:r>
            <w:r>
              <w:rPr>
                <w:rFonts w:hint="eastAsia" w:asciiTheme="minorEastAsia" w:hAnsiTheme="minorEastAsia" w:eastAsiaTheme="minorEastAsia" w:cstheme="minorEastAsia"/>
                <w:kern w:val="0"/>
                <w:szCs w:val="21"/>
              </w:rPr>
              <w:t>24块万兆单模模块+2块40G 多模模块；</w:t>
            </w:r>
          </w:p>
          <w:p w14:paraId="44AA5E42">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 规格表项：MAC地址≥64K，ARP表项≥32K， IPv4路由表项≥32K，IPV6路由表项≥16K;</w:t>
            </w:r>
          </w:p>
          <w:p w14:paraId="55379E01">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5</w:t>
            </w:r>
            <w:r>
              <w:rPr>
                <w:rFonts w:hint="eastAsia" w:asciiTheme="minorEastAsia" w:hAnsiTheme="minorEastAsia" w:eastAsiaTheme="minorEastAsia" w:cstheme="minorEastAsia"/>
                <w:kern w:val="0"/>
                <w:szCs w:val="21"/>
              </w:rPr>
              <w:t>. IP路由：支持RIP V1/2、OSPF、IS-IS、BGP、RIPng、OSPFv3、BGP4+、ISISv6；</w:t>
            </w:r>
          </w:p>
          <w:p w14:paraId="3A315BA0">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6</w:t>
            </w:r>
            <w:r>
              <w:rPr>
                <w:rFonts w:hint="eastAsia" w:asciiTheme="minorEastAsia" w:hAnsiTheme="minorEastAsia" w:eastAsiaTheme="minorEastAsia" w:cstheme="minorEastAsia"/>
                <w:kern w:val="0"/>
                <w:szCs w:val="21"/>
              </w:rPr>
              <w:t>. 虚拟化：支持作为纵向子节点即插即用接入虚拟交换网络系统，整网虚拟成一台设备管理；支持横向堆叠，主机堆叠数不小于9台；</w:t>
            </w:r>
          </w:p>
          <w:p w14:paraId="46077D91">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7</w:t>
            </w:r>
            <w:r>
              <w:rPr>
                <w:rFonts w:hint="eastAsia" w:asciiTheme="minorEastAsia" w:hAnsiTheme="minorEastAsia" w:eastAsiaTheme="minorEastAsia" w:cstheme="minorEastAsia"/>
                <w:kern w:val="0"/>
                <w:szCs w:val="21"/>
              </w:rPr>
              <w:t>. 安全：支持802.1x、MAC认证和Portal认证，支持DHCPv6 Snooping，IP Source Guard，SAVI等安全特性；</w:t>
            </w:r>
          </w:p>
          <w:p w14:paraId="401BD880">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8</w:t>
            </w:r>
            <w:r>
              <w:rPr>
                <w:rFonts w:hint="eastAsia" w:asciiTheme="minorEastAsia" w:hAnsiTheme="minorEastAsia" w:eastAsiaTheme="minorEastAsia" w:cstheme="minorEastAsia"/>
                <w:kern w:val="0"/>
                <w:szCs w:val="21"/>
              </w:rPr>
              <w:t>. 可靠性：支持真实业务流实时检测技术，能实时检测网络故障；</w:t>
            </w:r>
          </w:p>
          <w:p w14:paraId="4D8C61B4">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9</w:t>
            </w:r>
            <w:r>
              <w:rPr>
                <w:rFonts w:hint="eastAsia" w:asciiTheme="minorEastAsia" w:hAnsiTheme="minorEastAsia" w:eastAsiaTheme="minorEastAsia" w:cstheme="minorEastAsia"/>
                <w:kern w:val="0"/>
                <w:szCs w:val="21"/>
              </w:rPr>
              <w:t>. 网络管理：支持SNMP v1/v2/v3、Telnet、RMON、SSHv2，支持通过命令行、Web、中文图形化配置软件等方式进行配置和管理；</w:t>
            </w:r>
          </w:p>
          <w:p w14:paraId="2B57FA3E">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10</w:t>
            </w:r>
            <w:r>
              <w:rPr>
                <w:rFonts w:hint="eastAsia" w:asciiTheme="minorEastAsia" w:hAnsiTheme="minorEastAsia" w:eastAsiaTheme="minorEastAsia" w:cstheme="minorEastAsia"/>
                <w:kern w:val="0"/>
                <w:szCs w:val="21"/>
              </w:rPr>
              <w:t>. 安全协防：支持报告攻击事件给网络安全智能系统，与网络安全智能系统联动实现全网安全协防</w:t>
            </w:r>
            <w:r>
              <w:rPr>
                <w:rFonts w:hint="eastAsia" w:asciiTheme="minorEastAsia" w:hAnsiTheme="minorEastAsia" w:cstheme="minorEastAsia"/>
                <w:kern w:val="0"/>
                <w:szCs w:val="21"/>
              </w:rPr>
              <w:t>；</w:t>
            </w:r>
          </w:p>
          <w:p w14:paraId="39BB659A">
            <w:pPr>
              <w:pageBreakBefore w:val="0"/>
              <w:kinsoku/>
              <w:wordWrap/>
              <w:overflowPunct/>
              <w:topLinePunct w:val="0"/>
              <w:autoSpaceDE/>
              <w:autoSpaceDN/>
              <w:bidi w:val="0"/>
              <w:spacing w:line="400" w:lineRule="exact"/>
              <w:jc w:val="left"/>
              <w:textAlignment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kern w:val="0"/>
                <w:szCs w:val="21"/>
                <w:lang w:val="en-US" w:eastAsia="zh-CN"/>
              </w:rPr>
              <w:t>1</w:t>
            </w:r>
            <w:r>
              <w:rPr>
                <w:rFonts w:hint="eastAsia" w:asciiTheme="minorEastAsia" w:hAnsiTheme="minorEastAsia" w:eastAsiaTheme="minorEastAsia" w:cstheme="minorEastAsia"/>
                <w:kern w:val="0"/>
                <w:szCs w:val="21"/>
              </w:rPr>
              <w:t>. 安全诱捕：支持将IP和端口扫描流量重定向给网络安全智能系统进行诱捕，与网络安全智能系统和SDN控制器联动实施反制措施，以实现网络安全协防</w:t>
            </w:r>
            <w:r>
              <w:rPr>
                <w:rFonts w:hint="eastAsia" w:asciiTheme="minorEastAsia" w:hAnsiTheme="minorEastAsia" w:cstheme="minorEastAsia"/>
                <w:kern w:val="0"/>
                <w:szCs w:val="21"/>
              </w:rPr>
              <w:t>。</w:t>
            </w:r>
          </w:p>
        </w:tc>
        <w:tc>
          <w:tcPr>
            <w:tcW w:w="5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8DB8C84">
            <w:pPr>
              <w:pageBreakBefore w:val="0"/>
              <w:kinsoku/>
              <w:wordWrap/>
              <w:overflowPunct/>
              <w:topLinePunct w:val="0"/>
              <w:autoSpaceDE/>
              <w:autoSpaceDN/>
              <w:bidi w:val="0"/>
              <w:spacing w:line="400" w:lineRule="exact"/>
              <w:jc w:val="center"/>
              <w:textAlignment w:val="center"/>
              <w:rPr>
                <w:rFonts w:asciiTheme="minorEastAsia" w:hAnsiTheme="minorEastAsia" w:eastAsiaTheme="minorEastAsia" w:cstheme="minorEastAsia"/>
                <w:kern w:val="0"/>
                <w:szCs w:val="21"/>
              </w:rPr>
            </w:pPr>
            <w:r>
              <w:rPr>
                <w:rFonts w:hint="eastAsia" w:asciiTheme="minorEastAsia" w:hAnsiTheme="minorEastAsia" w:cstheme="minorEastAsia"/>
                <w:kern w:val="0"/>
                <w:szCs w:val="21"/>
              </w:rPr>
              <w:t>2</w:t>
            </w:r>
          </w:p>
        </w:tc>
        <w:tc>
          <w:tcPr>
            <w:tcW w:w="6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732DED2">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台</w:t>
            </w:r>
          </w:p>
        </w:tc>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2820F63">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31000</w:t>
            </w:r>
          </w:p>
        </w:tc>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734F310">
            <w:pPr>
              <w:pageBreakBefore w:val="0"/>
              <w:kinsoku/>
              <w:wordWrap/>
              <w:overflowPunct/>
              <w:topLinePunct w:val="0"/>
              <w:autoSpaceDE/>
              <w:autoSpaceDN/>
              <w:bidi w:val="0"/>
              <w:spacing w:line="400" w:lineRule="exact"/>
              <w:jc w:val="center"/>
              <w:rPr>
                <w:rFonts w:asciiTheme="minorEastAsia" w:hAnsiTheme="minorEastAsia" w:cstheme="minorEastAsia"/>
                <w:szCs w:val="21"/>
              </w:rPr>
            </w:pPr>
            <w:r>
              <w:rPr>
                <w:rFonts w:hint="eastAsia" w:asciiTheme="minorEastAsia" w:hAnsiTheme="minorEastAsia" w:cstheme="minorEastAsia"/>
                <w:szCs w:val="21"/>
              </w:rPr>
              <w:t>62000</w:t>
            </w:r>
          </w:p>
        </w:tc>
      </w:tr>
      <w:tr w14:paraId="7095A2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8" w:hRule="atLeast"/>
          <w:jc w:val="center"/>
        </w:trPr>
        <w:tc>
          <w:tcPr>
            <w:tcW w:w="71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CB92EE9">
            <w:pPr>
              <w:pageBreakBefore w:val="0"/>
              <w:kinsoku/>
              <w:wordWrap/>
              <w:overflowPunct/>
              <w:topLinePunct w:val="0"/>
              <w:autoSpaceDE/>
              <w:autoSpaceDN/>
              <w:bidi w:val="0"/>
              <w:spacing w:line="400" w:lineRule="exact"/>
              <w:jc w:val="center"/>
              <w:rPr>
                <w:rFonts w:ascii="宋体" w:hAnsi="宋体" w:cs="宋体" w:eastAsiaTheme="minorEastAsia"/>
                <w:szCs w:val="21"/>
              </w:rPr>
            </w:pPr>
            <w:r>
              <w:rPr>
                <w:rFonts w:hint="eastAsia" w:asciiTheme="minorEastAsia" w:hAnsiTheme="minorEastAsia" w:cstheme="minorEastAsia"/>
                <w:szCs w:val="21"/>
              </w:rPr>
              <w:t>3</w:t>
            </w:r>
          </w:p>
        </w:tc>
        <w:tc>
          <w:tcPr>
            <w:tcW w:w="72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F3515F8">
            <w:pPr>
              <w:pageBreakBefore w:val="0"/>
              <w:kinsoku/>
              <w:wordWrap/>
              <w:overflowPunct/>
              <w:topLinePunct w:val="0"/>
              <w:autoSpaceDE/>
              <w:autoSpaceDN/>
              <w:bidi w:val="0"/>
              <w:spacing w:line="400" w:lineRule="exact"/>
              <w:rPr>
                <w:rFonts w:ascii="宋体" w:hAnsi="宋体" w:cs="宋体"/>
                <w:szCs w:val="21"/>
              </w:rPr>
            </w:pPr>
            <w:r>
              <w:t>系统集成服务</w:t>
            </w:r>
          </w:p>
        </w:tc>
        <w:tc>
          <w:tcPr>
            <w:tcW w:w="679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EAD180">
            <w:pPr>
              <w:pageBreakBefore w:val="0"/>
              <w:kinsoku/>
              <w:wordWrap/>
              <w:overflowPunct/>
              <w:topLinePunct w:val="0"/>
              <w:autoSpaceDE/>
              <w:autoSpaceDN/>
              <w:bidi w:val="0"/>
              <w:spacing w:line="400" w:lineRule="exact"/>
            </w:pPr>
            <w:r>
              <w:rPr>
                <w:rFonts w:hint="eastAsia"/>
              </w:rPr>
              <w:t>1、双活扩容节点设备安装调试、外网虚拟化万兆业务交换机安装调试；</w:t>
            </w:r>
          </w:p>
          <w:p w14:paraId="09ECF5B9">
            <w:pPr>
              <w:pageBreakBefore w:val="0"/>
              <w:kinsoku/>
              <w:wordWrap/>
              <w:overflowPunct/>
              <w:topLinePunct w:val="0"/>
              <w:autoSpaceDE/>
              <w:autoSpaceDN/>
              <w:bidi w:val="0"/>
              <w:spacing w:line="400" w:lineRule="exact"/>
            </w:pPr>
            <w:r>
              <w:rPr>
                <w:rFonts w:hint="eastAsia"/>
              </w:rPr>
              <w:t>2、根据医院IT部署与集成服务情况，部署存储-集中式存储容灾，数据中心容灾与备份服务，包括传统数据中心容灾与备份高级服务（传统灾备），云数据中心容灾与备份高级服务（云灾备）以及混合云备份（V3上云）高级服务，将医院</w:t>
            </w:r>
            <w:r>
              <w:rPr>
                <w:rFonts w:hint="eastAsia" w:asciiTheme="minorEastAsia" w:hAnsiTheme="minorEastAsia" w:eastAsiaTheme="minorEastAsia" w:cstheme="minorEastAsia"/>
                <w:kern w:val="0"/>
                <w:szCs w:val="21"/>
              </w:rPr>
              <w:t>现有华为OceanStor Dorado 2000全闪存存储</w:t>
            </w:r>
            <w:r>
              <w:rPr>
                <w:rFonts w:hint="eastAsia" w:asciiTheme="minorEastAsia" w:hAnsiTheme="minorEastAsia" w:cstheme="minorEastAsia"/>
                <w:kern w:val="0"/>
                <w:szCs w:val="21"/>
              </w:rPr>
              <w:t>与新增扩容节点</w:t>
            </w:r>
            <w:r>
              <w:rPr>
                <w:rFonts w:hint="eastAsia" w:asciiTheme="minorEastAsia" w:hAnsiTheme="minorEastAsia" w:eastAsiaTheme="minorEastAsia" w:cstheme="minorEastAsia"/>
                <w:kern w:val="0"/>
                <w:szCs w:val="21"/>
              </w:rPr>
              <w:t>实现</w:t>
            </w:r>
            <w:r>
              <w:rPr>
                <w:rFonts w:hint="eastAsia" w:asciiTheme="minorEastAsia" w:hAnsiTheme="minorEastAsia" w:cstheme="minorEastAsia"/>
                <w:kern w:val="0"/>
                <w:szCs w:val="21"/>
              </w:rPr>
              <w:t>网络双活</w:t>
            </w:r>
            <w:r>
              <w:rPr>
                <w:rFonts w:hint="eastAsia"/>
              </w:rPr>
              <w:t>；</w:t>
            </w:r>
          </w:p>
          <w:p w14:paraId="52DB3018">
            <w:pPr>
              <w:pStyle w:val="6"/>
              <w:pageBreakBefore w:val="0"/>
              <w:kinsoku/>
              <w:wordWrap/>
              <w:overflowPunct/>
              <w:topLinePunct w:val="0"/>
              <w:autoSpaceDE/>
              <w:autoSpaceDN/>
              <w:bidi w:val="0"/>
              <w:spacing w:line="400" w:lineRule="exact"/>
            </w:pPr>
            <w:r>
              <w:rPr>
                <w:rFonts w:hint="eastAsia"/>
              </w:rPr>
              <w:t>2、</w:t>
            </w:r>
            <w:r>
              <w:rPr>
                <w:rFonts w:hint="eastAsia" w:asciiTheme="minorHAnsi" w:hAnsiTheme="minorHAnsi" w:eastAsiaTheme="minorEastAsia" w:cstheme="minorBidi"/>
                <w:szCs w:val="22"/>
              </w:rPr>
              <w:t>固态存储规划设计与实施服务,提供OceanStor Dorado 系列固态存储的规划设计,系统部署,验收测试；</w:t>
            </w:r>
          </w:p>
          <w:p w14:paraId="2AB8C1B5">
            <w:pPr>
              <w:pageBreakBefore w:val="0"/>
              <w:kinsoku/>
              <w:wordWrap/>
              <w:overflowPunct/>
              <w:topLinePunct w:val="0"/>
              <w:autoSpaceDE/>
              <w:autoSpaceDN/>
              <w:bidi w:val="0"/>
              <w:spacing w:line="400" w:lineRule="exact"/>
              <w:rPr>
                <w:rFonts w:ascii="宋体" w:hAnsi="宋体" w:cs="宋体"/>
                <w:szCs w:val="21"/>
              </w:rPr>
            </w:pPr>
            <w:r>
              <w:rPr>
                <w:rFonts w:hint="eastAsia"/>
              </w:rPr>
              <w:t>3、所有设备安装调试需确保业务运行持续不中断，熟悉存储、网络交换、RHCSA等软件系统操作，所有操作方案需跟医院信息化现状充分调研，向医院信息中心汇报方案设计思路与方案存在的各种技术细节确保实施过程无任何风险。</w:t>
            </w:r>
          </w:p>
        </w:tc>
        <w:tc>
          <w:tcPr>
            <w:tcW w:w="5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BA3C44">
            <w:pPr>
              <w:pageBreakBefore w:val="0"/>
              <w:kinsoku/>
              <w:wordWrap/>
              <w:overflowPunct/>
              <w:topLinePunct w:val="0"/>
              <w:autoSpaceDE/>
              <w:autoSpaceDN/>
              <w:bidi w:val="0"/>
              <w:spacing w:line="400" w:lineRule="exact"/>
              <w:jc w:val="center"/>
              <w:rPr>
                <w:rFonts w:ascii="宋体" w:hAnsi="宋体" w:cs="宋体"/>
                <w:szCs w:val="21"/>
              </w:rPr>
            </w:pPr>
            <w:r>
              <w:rPr>
                <w:rFonts w:hint="eastAsia" w:asciiTheme="minorEastAsia" w:hAnsiTheme="minorEastAsia" w:eastAsiaTheme="minorEastAsia" w:cstheme="minorEastAsia"/>
                <w:szCs w:val="21"/>
              </w:rPr>
              <w:t>1</w:t>
            </w:r>
          </w:p>
        </w:tc>
        <w:tc>
          <w:tcPr>
            <w:tcW w:w="63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AE2EE1">
            <w:pPr>
              <w:pageBreakBefore w:val="0"/>
              <w:kinsoku/>
              <w:wordWrap/>
              <w:overflowPunct/>
              <w:topLinePunct w:val="0"/>
              <w:autoSpaceDE/>
              <w:autoSpaceDN/>
              <w:bidi w:val="0"/>
              <w:spacing w:line="400" w:lineRule="exact"/>
              <w:jc w:val="center"/>
              <w:rPr>
                <w:rFonts w:ascii="宋体" w:hAnsi="宋体" w:cs="宋体"/>
                <w:szCs w:val="21"/>
              </w:rPr>
            </w:pPr>
            <w:r>
              <w:rPr>
                <w:rFonts w:hint="eastAsia" w:asciiTheme="minorEastAsia" w:hAnsiTheme="minorEastAsia" w:eastAsiaTheme="minorEastAsia" w:cstheme="minorEastAsia"/>
                <w:szCs w:val="21"/>
              </w:rPr>
              <w:t>项</w:t>
            </w:r>
          </w:p>
        </w:tc>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19318FA6">
            <w:pPr>
              <w:pageBreakBefore w:val="0"/>
              <w:kinsoku/>
              <w:wordWrap/>
              <w:overflowPunct/>
              <w:topLinePunct w:val="0"/>
              <w:autoSpaceDE/>
              <w:autoSpaceDN/>
              <w:bidi w:val="0"/>
              <w:spacing w:line="400" w:lineRule="exact"/>
              <w:jc w:val="center"/>
              <w:rPr>
                <w:rFonts w:asciiTheme="minorEastAsia" w:hAnsiTheme="minorEastAsia" w:eastAsiaTheme="minorEastAsia" w:cstheme="minorEastAsia"/>
                <w:szCs w:val="21"/>
              </w:rPr>
            </w:pPr>
            <w:r>
              <w:rPr>
                <w:rFonts w:hint="eastAsia" w:asciiTheme="minorEastAsia" w:hAnsiTheme="minorEastAsia" w:cstheme="minorEastAsia"/>
                <w:szCs w:val="21"/>
              </w:rPr>
              <w:t>7200</w:t>
            </w:r>
          </w:p>
        </w:tc>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34C11CE9">
            <w:pPr>
              <w:pageBreakBefore w:val="0"/>
              <w:kinsoku/>
              <w:wordWrap/>
              <w:overflowPunct/>
              <w:topLinePunct w:val="0"/>
              <w:autoSpaceDE/>
              <w:autoSpaceDN/>
              <w:bidi w:val="0"/>
              <w:spacing w:line="400" w:lineRule="exact"/>
              <w:jc w:val="center"/>
              <w:rPr>
                <w:rFonts w:asciiTheme="minorEastAsia" w:hAnsiTheme="minorEastAsia" w:eastAsiaTheme="minorEastAsia" w:cstheme="minorEastAsia"/>
                <w:szCs w:val="21"/>
              </w:rPr>
            </w:pPr>
            <w:r>
              <w:rPr>
                <w:rFonts w:hint="eastAsia" w:asciiTheme="minorEastAsia" w:hAnsiTheme="minorEastAsia" w:cstheme="minorEastAsia"/>
                <w:szCs w:val="21"/>
              </w:rPr>
              <w:t>7200</w:t>
            </w:r>
          </w:p>
        </w:tc>
      </w:tr>
      <w:tr w14:paraId="7C8E3A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98" w:hRule="atLeast"/>
          <w:jc w:val="center"/>
        </w:trPr>
        <w:tc>
          <w:tcPr>
            <w:tcW w:w="9454" w:type="dxa"/>
            <w:gridSpan w:val="5"/>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CE2BF1A">
            <w:pPr>
              <w:pageBreakBefore w:val="0"/>
              <w:kinsoku/>
              <w:wordWrap/>
              <w:overflowPunct/>
              <w:topLinePunct w:val="0"/>
              <w:autoSpaceDE/>
              <w:autoSpaceDN/>
              <w:bidi w:val="0"/>
              <w:spacing w:line="400" w:lineRule="exact"/>
              <w:jc w:val="left"/>
              <w:rPr>
                <w:rFonts w:asciiTheme="minorEastAsia" w:hAnsiTheme="minorEastAsia" w:eastAsiaTheme="minorEastAsia" w:cstheme="minorEastAsia"/>
                <w:szCs w:val="21"/>
              </w:rPr>
            </w:pPr>
            <w:r>
              <w:rPr>
                <w:rFonts w:hint="eastAsia" w:ascii="宋体" w:hAnsi="宋体" w:cs="宋体"/>
                <w:b/>
                <w:bCs/>
                <w:szCs w:val="21"/>
              </w:rPr>
              <w:t>注：本项目“采购需求”中所有需求条款均需满足，其中标注“</w:t>
            </w:r>
            <w:r>
              <w:rPr>
                <w:rFonts w:hint="eastAsia" w:asciiTheme="minorEastAsia" w:hAnsiTheme="minorEastAsia" w:eastAsiaTheme="minorEastAsia" w:cstheme="minorEastAsia"/>
                <w:kern w:val="0"/>
                <w:szCs w:val="21"/>
              </w:rPr>
              <w:t>★</w:t>
            </w:r>
            <w:r>
              <w:rPr>
                <w:rFonts w:hint="eastAsia" w:ascii="宋体" w:hAnsi="宋体" w:cs="宋体"/>
                <w:b/>
                <w:bCs/>
                <w:szCs w:val="21"/>
              </w:rPr>
              <w:t xml:space="preserve">”符号的条款均需提供截图或相关证明材料，投标人若有任意一项不满足，投标文件按无效处理。 </w:t>
            </w:r>
          </w:p>
        </w:tc>
        <w:tc>
          <w:tcPr>
            <w:tcW w:w="8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8B457E7">
            <w:pPr>
              <w:pageBreakBefore w:val="0"/>
              <w:kinsoku/>
              <w:wordWrap/>
              <w:overflowPunct/>
              <w:topLinePunct w:val="0"/>
              <w:autoSpaceDE/>
              <w:autoSpaceDN/>
              <w:bidi w:val="0"/>
              <w:spacing w:line="400" w:lineRule="exact"/>
              <w:jc w:val="left"/>
              <w:rPr>
                <w:rFonts w:ascii="宋体" w:hAnsi="宋体" w:cs="宋体"/>
                <w:b/>
                <w:bCs/>
                <w:szCs w:val="21"/>
              </w:rPr>
            </w:pPr>
          </w:p>
        </w:tc>
        <w:tc>
          <w:tcPr>
            <w:tcW w:w="88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59C27ECA">
            <w:pPr>
              <w:pageBreakBefore w:val="0"/>
              <w:kinsoku/>
              <w:wordWrap/>
              <w:overflowPunct/>
              <w:topLinePunct w:val="0"/>
              <w:autoSpaceDE/>
              <w:autoSpaceDN/>
              <w:bidi w:val="0"/>
              <w:spacing w:line="400" w:lineRule="exact"/>
              <w:jc w:val="left"/>
              <w:rPr>
                <w:rFonts w:ascii="宋体" w:hAnsi="宋体" w:cs="宋体"/>
                <w:b/>
                <w:bCs/>
                <w:szCs w:val="21"/>
              </w:rPr>
            </w:pPr>
          </w:p>
        </w:tc>
      </w:tr>
    </w:tbl>
    <w:p w14:paraId="6511A115">
      <w:pPr>
        <w:pageBreakBefore w:val="0"/>
        <w:kinsoku/>
        <w:wordWrap/>
        <w:overflowPunct/>
        <w:topLinePunct w:val="0"/>
        <w:autoSpaceDE/>
        <w:autoSpaceDN/>
        <w:bidi w:val="0"/>
        <w:spacing w:line="400" w:lineRule="exact"/>
        <w:ind w:firstLine="600" w:firstLineChars="200"/>
      </w:pPr>
      <w:r>
        <w:rPr>
          <w:rFonts w:hint="eastAsia" w:eastAsia="方正大标宋简体"/>
          <w:sz w:val="30"/>
          <w:szCs w:val="30"/>
        </w:rPr>
        <w:t xml:space="preserve">                  </w:t>
      </w:r>
    </w:p>
    <w:p w14:paraId="0BE43DE0">
      <w:pPr>
        <w:pageBreakBefore w:val="0"/>
        <w:numPr>
          <w:ilvl w:val="0"/>
          <w:numId w:val="2"/>
        </w:numPr>
        <w:kinsoku/>
        <w:wordWrap/>
        <w:overflowPunct/>
        <w:topLinePunct w:val="0"/>
        <w:autoSpaceDE/>
        <w:autoSpaceDN/>
        <w:bidi w:val="0"/>
        <w:spacing w:line="400" w:lineRule="exact"/>
        <w:rPr>
          <w:rFonts w:hint="eastAsia" w:ascii="宋体" w:hAnsi="宋体" w:cs="宋体"/>
          <w:b/>
          <w:color w:val="auto"/>
          <w:sz w:val="24"/>
        </w:rPr>
      </w:pPr>
      <w:r>
        <w:rPr>
          <w:rFonts w:hint="eastAsia" w:ascii="宋体" w:hAnsi="宋体" w:cs="宋体"/>
          <w:b/>
          <w:sz w:val="24"/>
        </w:rPr>
        <w:t>商务条款</w:t>
      </w:r>
    </w:p>
    <w:tbl>
      <w:tblPr>
        <w:tblStyle w:val="15"/>
        <w:tblpPr w:leftFromText="180" w:rightFromText="180" w:vertAnchor="text" w:horzAnchor="page" w:tblpXSpec="center" w:tblpY="523"/>
        <w:tblOverlap w:val="never"/>
        <w:tblW w:w="9828" w:type="dxa"/>
        <w:jc w:val="center"/>
        <w:tblLayout w:type="fixed"/>
        <w:tblCellMar>
          <w:top w:w="0" w:type="dxa"/>
          <w:left w:w="108" w:type="dxa"/>
          <w:bottom w:w="0" w:type="dxa"/>
          <w:right w:w="108" w:type="dxa"/>
        </w:tblCellMar>
      </w:tblPr>
      <w:tblGrid>
        <w:gridCol w:w="1680"/>
        <w:gridCol w:w="8148"/>
      </w:tblGrid>
      <w:tr w14:paraId="23E5832D">
        <w:tblPrEx>
          <w:tblCellMar>
            <w:top w:w="0" w:type="dxa"/>
            <w:left w:w="108" w:type="dxa"/>
            <w:bottom w:w="0" w:type="dxa"/>
            <w:right w:w="108" w:type="dxa"/>
          </w:tblCellMar>
        </w:tblPrEx>
        <w:trPr>
          <w:trHeight w:val="40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8FF5590">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color w:val="auto"/>
                <w:spacing w:val="-2"/>
                <w:szCs w:val="21"/>
              </w:rPr>
            </w:pPr>
            <w:r>
              <w:rPr>
                <w:rFonts w:hint="eastAsia" w:ascii="宋体" w:hAnsi="宋体" w:cs="宋体"/>
                <w:b/>
                <w:bCs/>
                <w:color w:val="auto"/>
                <w:sz w:val="24"/>
              </w:rPr>
              <w:t>（一）售后服务要求</w:t>
            </w:r>
          </w:p>
        </w:tc>
        <w:tc>
          <w:tcPr>
            <w:tcW w:w="8148" w:type="dxa"/>
            <w:tcBorders>
              <w:top w:val="single" w:color="auto" w:sz="4" w:space="0"/>
              <w:left w:val="single" w:color="auto" w:sz="4" w:space="0"/>
              <w:bottom w:val="single" w:color="auto" w:sz="4" w:space="0"/>
              <w:right w:val="single" w:color="auto" w:sz="4" w:space="0"/>
            </w:tcBorders>
            <w:vAlign w:val="center"/>
          </w:tcPr>
          <w:p w14:paraId="59E29A25">
            <w:pPr>
              <w:pageBreakBefore w:val="0"/>
              <w:kinsoku/>
              <w:wordWrap/>
              <w:overflowPunct/>
              <w:topLinePunct w:val="0"/>
              <w:autoSpaceDE/>
              <w:autoSpaceDN/>
              <w:bidi w:val="0"/>
              <w:spacing w:line="400" w:lineRule="exact"/>
              <w:rPr>
                <w:color w:val="auto"/>
              </w:rPr>
            </w:pPr>
            <w:r>
              <w:rPr>
                <w:rFonts w:hint="eastAsia"/>
                <w:color w:val="auto"/>
              </w:rPr>
              <w:t>1.按国家有关产品“三包”规定执行“三包”，提供≥1年免费维保服务。</w:t>
            </w:r>
          </w:p>
          <w:p w14:paraId="6CD831EB">
            <w:pPr>
              <w:pageBreakBefore w:val="0"/>
              <w:kinsoku/>
              <w:wordWrap/>
              <w:overflowPunct/>
              <w:topLinePunct w:val="0"/>
              <w:autoSpaceDE/>
              <w:autoSpaceDN/>
              <w:bidi w:val="0"/>
              <w:spacing w:line="400" w:lineRule="exact"/>
              <w:rPr>
                <w:color w:val="auto"/>
              </w:rPr>
            </w:pPr>
            <w:r>
              <w:rPr>
                <w:rFonts w:hint="eastAsia"/>
                <w:color w:val="auto"/>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367CF43D">
            <w:pPr>
              <w:pageBreakBefore w:val="0"/>
              <w:kinsoku/>
              <w:wordWrap/>
              <w:overflowPunct/>
              <w:topLinePunct w:val="0"/>
              <w:autoSpaceDE/>
              <w:autoSpaceDN/>
              <w:bidi w:val="0"/>
              <w:spacing w:line="400" w:lineRule="exact"/>
              <w:rPr>
                <w:color w:val="auto"/>
              </w:rPr>
            </w:pPr>
            <w:r>
              <w:rPr>
                <w:rFonts w:hint="eastAsia"/>
                <w:color w:val="auto"/>
              </w:rPr>
              <w:t>3.提供≥1年的7*24小时售后技术服务，维保期内均提供免费上门维护、升级服务，故障响应时间：2小时内进行响应，12小时以内到现场，24小时以内解决问题。包括免费升级、功能完善、故障排除、性能调优、技术咨询等。</w:t>
            </w:r>
          </w:p>
          <w:p w14:paraId="26785AA9">
            <w:pPr>
              <w:pageBreakBefore w:val="0"/>
              <w:kinsoku/>
              <w:wordWrap/>
              <w:overflowPunct/>
              <w:topLinePunct w:val="0"/>
              <w:autoSpaceDE/>
              <w:autoSpaceDN/>
              <w:bidi w:val="0"/>
              <w:spacing w:line="400" w:lineRule="exact"/>
              <w:rPr>
                <w:color w:val="auto"/>
              </w:rPr>
            </w:pPr>
            <w:r>
              <w:rPr>
                <w:rFonts w:hint="eastAsia"/>
                <w:color w:val="auto"/>
              </w:rPr>
              <w:t>4.免费质保期内，需要更换配件的，要求更换的配件应跟被更换的品牌、类型相一致或者是同类同档次的替代品，后者需征得用户方管理人员同意。</w:t>
            </w:r>
          </w:p>
          <w:p w14:paraId="42F8EFEA">
            <w:pPr>
              <w:pageBreakBefore w:val="0"/>
              <w:kinsoku/>
              <w:wordWrap/>
              <w:overflowPunct/>
              <w:topLinePunct w:val="0"/>
              <w:autoSpaceDE/>
              <w:autoSpaceDN/>
              <w:bidi w:val="0"/>
              <w:spacing w:line="400" w:lineRule="exact"/>
              <w:rPr>
                <w:color w:val="auto"/>
              </w:rPr>
            </w:pPr>
            <w:r>
              <w:rPr>
                <w:rFonts w:hint="eastAsia"/>
                <w:color w:val="auto"/>
              </w:rPr>
              <w:t>5.免费安装调试：中标人负责本项目所有设备的安装、调试工作。</w:t>
            </w:r>
          </w:p>
          <w:p w14:paraId="1734DD4B">
            <w:pPr>
              <w:pageBreakBefore w:val="0"/>
              <w:kinsoku/>
              <w:wordWrap/>
              <w:overflowPunct/>
              <w:topLinePunct w:val="0"/>
              <w:autoSpaceDE/>
              <w:autoSpaceDN/>
              <w:bidi w:val="0"/>
              <w:spacing w:line="400" w:lineRule="exact"/>
              <w:rPr>
                <w:color w:val="auto"/>
              </w:rPr>
            </w:pPr>
            <w:r>
              <w:rPr>
                <w:rFonts w:hint="eastAsia"/>
                <w:color w:val="auto"/>
              </w:rPr>
              <w:t>6.投标人请在投标文件中提供具体的售后服务方案。</w:t>
            </w:r>
          </w:p>
        </w:tc>
      </w:tr>
      <w:tr w14:paraId="5CCD4400">
        <w:tblPrEx>
          <w:tblCellMar>
            <w:top w:w="0" w:type="dxa"/>
            <w:left w:w="108" w:type="dxa"/>
            <w:bottom w:w="0" w:type="dxa"/>
            <w:right w:w="108" w:type="dxa"/>
          </w:tblCellMar>
        </w:tblPrEx>
        <w:trPr>
          <w:trHeight w:val="9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7B241FD8">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color w:val="auto"/>
                <w:spacing w:val="-2"/>
                <w:szCs w:val="21"/>
              </w:rPr>
            </w:pPr>
            <w:r>
              <w:rPr>
                <w:rFonts w:hint="eastAsia" w:asciiTheme="minorEastAsia" w:hAnsiTheme="minorEastAsia" w:eastAsiaTheme="minorEastAsia" w:cstheme="minorEastAsia"/>
                <w:bCs/>
                <w:color w:val="auto"/>
                <w:spacing w:val="-2"/>
                <w:szCs w:val="21"/>
              </w:rPr>
              <w:t>（二）</w:t>
            </w:r>
            <w:r>
              <w:rPr>
                <w:rFonts w:hint="eastAsia" w:ascii="宋体" w:hAnsi="宋体" w:cs="宋体"/>
                <w:b/>
                <w:bCs/>
                <w:color w:val="auto"/>
                <w:sz w:val="24"/>
              </w:rPr>
              <w:t>交付期及地点</w:t>
            </w:r>
          </w:p>
        </w:tc>
        <w:tc>
          <w:tcPr>
            <w:tcW w:w="8148" w:type="dxa"/>
            <w:tcBorders>
              <w:top w:val="single" w:color="auto" w:sz="4" w:space="0"/>
              <w:left w:val="single" w:color="auto" w:sz="4" w:space="0"/>
              <w:bottom w:val="single" w:color="auto" w:sz="4" w:space="0"/>
              <w:right w:val="single" w:color="auto" w:sz="4" w:space="0"/>
            </w:tcBorders>
            <w:vAlign w:val="center"/>
          </w:tcPr>
          <w:p w14:paraId="2D6C39A6">
            <w:pPr>
              <w:pageBreakBefore w:val="0"/>
              <w:kinsoku/>
              <w:wordWrap/>
              <w:overflowPunct/>
              <w:topLinePunct w:val="0"/>
              <w:autoSpaceDE/>
              <w:autoSpaceDN/>
              <w:bidi w:val="0"/>
              <w:spacing w:line="400" w:lineRule="exact"/>
              <w:rPr>
                <w:color w:val="auto"/>
              </w:rPr>
            </w:pPr>
            <w:r>
              <w:rPr>
                <w:rFonts w:hint="eastAsia"/>
                <w:color w:val="auto"/>
              </w:rPr>
              <w:t>1.交付期：自签订合同之日起15个工作日内验收合格并交付采购人使用。</w:t>
            </w:r>
          </w:p>
          <w:p w14:paraId="41437B43">
            <w:pPr>
              <w:pageBreakBefore w:val="0"/>
              <w:kinsoku/>
              <w:wordWrap/>
              <w:overflowPunct/>
              <w:topLinePunct w:val="0"/>
              <w:autoSpaceDE/>
              <w:autoSpaceDN/>
              <w:bidi w:val="0"/>
              <w:spacing w:line="400" w:lineRule="exact"/>
              <w:rPr>
                <w:rFonts w:asciiTheme="minorEastAsia" w:hAnsiTheme="minorEastAsia" w:eastAsiaTheme="minorEastAsia" w:cstheme="minorEastAsia"/>
                <w:color w:val="auto"/>
                <w:spacing w:val="-2"/>
                <w:szCs w:val="21"/>
              </w:rPr>
            </w:pPr>
            <w:r>
              <w:rPr>
                <w:rFonts w:hint="eastAsia"/>
                <w:color w:val="auto"/>
              </w:rPr>
              <w:t>2.交付地点：招标人指定地点。</w:t>
            </w:r>
          </w:p>
        </w:tc>
      </w:tr>
      <w:tr w14:paraId="2BA28609">
        <w:tblPrEx>
          <w:tblCellMar>
            <w:top w:w="0" w:type="dxa"/>
            <w:left w:w="108" w:type="dxa"/>
            <w:bottom w:w="0" w:type="dxa"/>
            <w:right w:w="108" w:type="dxa"/>
          </w:tblCellMar>
        </w:tblPrEx>
        <w:trPr>
          <w:trHeight w:val="413"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3544D763">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color w:val="auto"/>
                <w:spacing w:val="-2"/>
                <w:szCs w:val="21"/>
              </w:rPr>
            </w:pPr>
            <w:r>
              <w:rPr>
                <w:rFonts w:hint="eastAsia" w:asciiTheme="minorEastAsia" w:hAnsiTheme="minorEastAsia" w:eastAsiaTheme="minorEastAsia" w:cstheme="minorEastAsia"/>
                <w:bCs/>
                <w:color w:val="auto"/>
                <w:spacing w:val="-2"/>
                <w:szCs w:val="21"/>
              </w:rPr>
              <w:t>（三）</w:t>
            </w:r>
            <w:r>
              <w:rPr>
                <w:rFonts w:hint="eastAsia" w:ascii="宋体" w:hAnsi="宋体" w:cs="宋体"/>
                <w:b/>
                <w:bCs/>
                <w:color w:val="auto"/>
                <w:sz w:val="24"/>
              </w:rPr>
              <w:t>付款方式</w:t>
            </w:r>
          </w:p>
        </w:tc>
        <w:tc>
          <w:tcPr>
            <w:tcW w:w="8148" w:type="dxa"/>
            <w:tcBorders>
              <w:top w:val="single" w:color="auto" w:sz="4" w:space="0"/>
              <w:left w:val="single" w:color="auto" w:sz="4" w:space="0"/>
              <w:bottom w:val="single" w:color="auto" w:sz="4" w:space="0"/>
              <w:right w:val="single" w:color="auto" w:sz="4" w:space="0"/>
            </w:tcBorders>
            <w:vAlign w:val="center"/>
          </w:tcPr>
          <w:p w14:paraId="21E65DCE">
            <w:pPr>
              <w:pageBreakBefore w:val="0"/>
              <w:kinsoku/>
              <w:wordWrap/>
              <w:overflowPunct/>
              <w:topLinePunct w:val="0"/>
              <w:autoSpaceDE/>
              <w:autoSpaceDN/>
              <w:bidi w:val="0"/>
              <w:snapToGrid w:val="0"/>
              <w:spacing w:line="400" w:lineRule="exact"/>
              <w:outlineLvl w:val="2"/>
              <w:rPr>
                <w:rFonts w:asciiTheme="minorEastAsia" w:hAnsiTheme="minorEastAsia" w:eastAsiaTheme="minorEastAsia" w:cstheme="minorEastAsia"/>
                <w:color w:val="auto"/>
                <w:spacing w:val="-2"/>
                <w:szCs w:val="21"/>
              </w:rPr>
            </w:pPr>
            <w:r>
              <w:rPr>
                <w:rFonts w:hint="eastAsia" w:ascii="宋体" w:hAnsi="宋体"/>
                <w:color w:val="auto"/>
                <w:lang w:val="en-US" w:eastAsia="zh-CN"/>
              </w:rPr>
              <w:t>合同签订后，乙方将尽快安排入场安装，自验收合格（培训指导完成、设备、软件正式使用）收到正规等额、有效发票之日起60个工作日后支付自有资金的95%，自有资金的的5%作为履约保证金，质保期满30个工作日后付清（无息）。</w:t>
            </w:r>
          </w:p>
        </w:tc>
      </w:tr>
      <w:tr w14:paraId="5CE0020C">
        <w:tblPrEx>
          <w:tblCellMar>
            <w:top w:w="0" w:type="dxa"/>
            <w:left w:w="108" w:type="dxa"/>
            <w:bottom w:w="0" w:type="dxa"/>
            <w:right w:w="108" w:type="dxa"/>
          </w:tblCellMar>
        </w:tblPrEx>
        <w:trPr>
          <w:trHeight w:val="1440"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2EC24C5">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（四）</w:t>
            </w:r>
            <w:r>
              <w:rPr>
                <w:rFonts w:hint="eastAsia" w:ascii="宋体" w:hAnsi="宋体" w:cs="宋体"/>
                <w:b/>
                <w:bCs/>
                <w:sz w:val="24"/>
              </w:rPr>
              <w:t>包装和运输</w:t>
            </w:r>
          </w:p>
        </w:tc>
        <w:tc>
          <w:tcPr>
            <w:tcW w:w="8148" w:type="dxa"/>
            <w:tcBorders>
              <w:top w:val="single" w:color="auto" w:sz="4" w:space="0"/>
              <w:left w:val="single" w:color="auto" w:sz="4" w:space="0"/>
              <w:bottom w:val="single" w:color="auto" w:sz="4" w:space="0"/>
              <w:right w:val="single" w:color="auto" w:sz="4" w:space="0"/>
            </w:tcBorders>
            <w:vAlign w:val="center"/>
          </w:tcPr>
          <w:p w14:paraId="1932763A">
            <w:pPr>
              <w:pageBreakBefore w:val="0"/>
              <w:kinsoku/>
              <w:wordWrap/>
              <w:overflowPunct/>
              <w:topLinePunct w:val="0"/>
              <w:autoSpaceDE/>
              <w:autoSpaceDN/>
              <w:bidi w:val="0"/>
              <w:spacing w:line="400" w:lineRule="exact"/>
            </w:pPr>
            <w:r>
              <w:rPr>
                <w:rFonts w:hint="eastAsia"/>
              </w:rPr>
              <w:t>1.原厂原包装，包装完好完整、无破损、未开封。</w:t>
            </w:r>
          </w:p>
          <w:p w14:paraId="78F0A700">
            <w:pPr>
              <w:pageBreakBefore w:val="0"/>
              <w:kinsoku/>
              <w:wordWrap/>
              <w:overflowPunct/>
              <w:topLinePunct w:val="0"/>
              <w:autoSpaceDE/>
              <w:autoSpaceDN/>
              <w:bidi w:val="0"/>
              <w:spacing w:line="400" w:lineRule="exact"/>
            </w:pPr>
            <w:r>
              <w:rPr>
                <w:rFonts w:hint="eastAsia"/>
              </w:rPr>
              <w:t>2.包装及运输方式应综合考虑运输距离、防潮、防震、防锈和防破损装卸等要求，以保证标的安全运达招标人指定地点。国家对包装及运输有相关强制性标准或要求的，供应商应当执行。</w:t>
            </w:r>
          </w:p>
          <w:p w14:paraId="6DF896EF">
            <w:pPr>
              <w:pageBreakBefore w:val="0"/>
              <w:kinsoku/>
              <w:wordWrap/>
              <w:overflowPunct/>
              <w:topLinePunct w:val="0"/>
              <w:autoSpaceDE/>
              <w:autoSpaceDN/>
              <w:bidi w:val="0"/>
              <w:spacing w:line="400" w:lineRule="exact"/>
              <w:rPr>
                <w:rFonts w:asciiTheme="minorEastAsia" w:hAnsiTheme="minorEastAsia" w:eastAsiaTheme="minorEastAsia" w:cstheme="minorEastAsia"/>
                <w:spacing w:val="-2"/>
                <w:szCs w:val="21"/>
              </w:rPr>
            </w:pPr>
            <w:r>
              <w:rPr>
                <w:rFonts w:hint="eastAsia"/>
              </w:rPr>
              <w:t>3.产品（含包装）运抵采购人指定交付地点前发生损坏以及全部风险和责任均由供应商负责。</w:t>
            </w:r>
          </w:p>
        </w:tc>
      </w:tr>
      <w:tr w14:paraId="0A364307">
        <w:tblPrEx>
          <w:tblCellMar>
            <w:top w:w="0" w:type="dxa"/>
            <w:left w:w="108" w:type="dxa"/>
            <w:bottom w:w="0" w:type="dxa"/>
            <w:right w:w="108" w:type="dxa"/>
          </w:tblCellMar>
        </w:tblPrEx>
        <w:trPr>
          <w:trHeight w:val="519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0AF983D9">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（五）</w:t>
            </w:r>
            <w:r>
              <w:rPr>
                <w:rFonts w:hint="eastAsia" w:ascii="宋体" w:hAnsi="宋体" w:cs="宋体"/>
                <w:b/>
                <w:bCs/>
                <w:sz w:val="24"/>
              </w:rPr>
              <w:t>验收标准</w:t>
            </w:r>
          </w:p>
        </w:tc>
        <w:tc>
          <w:tcPr>
            <w:tcW w:w="8148" w:type="dxa"/>
            <w:tcBorders>
              <w:top w:val="single" w:color="auto" w:sz="4" w:space="0"/>
              <w:left w:val="single" w:color="auto" w:sz="4" w:space="0"/>
              <w:bottom w:val="single" w:color="auto" w:sz="4" w:space="0"/>
              <w:right w:val="single" w:color="auto" w:sz="4" w:space="0"/>
            </w:tcBorders>
            <w:vAlign w:val="center"/>
          </w:tcPr>
          <w:p w14:paraId="08950248">
            <w:pPr>
              <w:pageBreakBefore w:val="0"/>
              <w:kinsoku/>
              <w:wordWrap/>
              <w:overflowPunct/>
              <w:topLinePunct w:val="0"/>
              <w:autoSpaceDE/>
              <w:autoSpaceDN/>
              <w:bidi w:val="0"/>
              <w:spacing w:line="400" w:lineRule="exact"/>
            </w:pPr>
            <w:r>
              <w:rPr>
                <w:rFonts w:hint="eastAsia"/>
              </w:rPr>
              <w:t>1.投标人于投标文件中必须对所有产品的技术参数要求作出真实、有效的响应和承诺。供应商所提供的产品必须为原装正品的、全新的、必须符合国家强制执行的相关质量标准要求以及产品制造厂家合格产品的出厂质量标准。</w:t>
            </w:r>
          </w:p>
          <w:p w14:paraId="7721C5E7">
            <w:pPr>
              <w:pageBreakBefore w:val="0"/>
              <w:kinsoku/>
              <w:wordWrap/>
              <w:overflowPunct/>
              <w:topLinePunct w:val="0"/>
              <w:autoSpaceDE/>
              <w:autoSpaceDN/>
              <w:bidi w:val="0"/>
              <w:spacing w:line="400" w:lineRule="exact"/>
            </w:pPr>
            <w:r>
              <w:rPr>
                <w:rFonts w:hint="eastAsia"/>
              </w:rPr>
              <w:t>2.招标人现场根据招标文件要求及招标文件承诺对各项参数逐条对应进行核验，核验或检测数据不符合招标人要求及投标文件承诺的指标的，招标人有权终止合同执行并全部退货，由此造成招标人经济损失的由成交供应商负责承担全部赔偿责任并向招标人支付合同金额的30%违约赔偿金。如有异议，将交由国家认可并具有检验检测资质的第三方机构进行检验，若核验结果的各项参数指标不满足招标人要求及投标文件承诺的指标要求，所有产生的费用由中标人承担，并承担虚假投标的相关法律责任。</w:t>
            </w:r>
          </w:p>
          <w:p w14:paraId="7386267E">
            <w:pPr>
              <w:pageBreakBefore w:val="0"/>
              <w:kinsoku/>
              <w:wordWrap/>
              <w:overflowPunct/>
              <w:topLinePunct w:val="0"/>
              <w:autoSpaceDE/>
              <w:autoSpaceDN/>
              <w:bidi w:val="0"/>
              <w:spacing w:line="400" w:lineRule="exact"/>
            </w:pPr>
            <w:r>
              <w:rPr>
                <w:rFonts w:hint="eastAsia"/>
              </w:rPr>
              <w:t>3.项目完成系统建设内容，经稳定运行一周以上可提出验收，成交供应商按医院信息化项目管理制度要求提供有关材料，由采购人组织现场验收。</w:t>
            </w:r>
          </w:p>
          <w:p w14:paraId="0626021F">
            <w:pPr>
              <w:pageBreakBefore w:val="0"/>
              <w:kinsoku/>
              <w:wordWrap/>
              <w:overflowPunct/>
              <w:topLinePunct w:val="0"/>
              <w:autoSpaceDE/>
              <w:autoSpaceDN/>
              <w:bidi w:val="0"/>
              <w:spacing w:line="400" w:lineRule="exact"/>
              <w:rPr>
                <w:rFonts w:asciiTheme="minorEastAsia" w:hAnsiTheme="minorEastAsia" w:eastAsiaTheme="minorEastAsia" w:cstheme="minorEastAsia"/>
                <w:spacing w:val="-2"/>
                <w:szCs w:val="21"/>
              </w:rPr>
            </w:pPr>
            <w:r>
              <w:rPr>
                <w:rFonts w:hint="eastAsia"/>
              </w:rPr>
              <w:t>4.验收其他要求按合同条款执行。</w:t>
            </w:r>
          </w:p>
        </w:tc>
      </w:tr>
      <w:tr w14:paraId="7666FD1C">
        <w:tblPrEx>
          <w:tblCellMar>
            <w:top w:w="0" w:type="dxa"/>
            <w:left w:w="108" w:type="dxa"/>
            <w:bottom w:w="0" w:type="dxa"/>
            <w:right w:w="108" w:type="dxa"/>
          </w:tblCellMar>
        </w:tblPrEx>
        <w:trPr>
          <w:trHeight w:val="775"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4A295EF0">
            <w:pPr>
              <w:pageBreakBefore w:val="0"/>
              <w:kinsoku/>
              <w:wordWrap/>
              <w:overflowPunct/>
              <w:topLinePunct w:val="0"/>
              <w:autoSpaceDE/>
              <w:autoSpaceDN/>
              <w:bidi w:val="0"/>
              <w:adjustRightInd w:val="0"/>
              <w:snapToGrid w:val="0"/>
              <w:spacing w:line="400" w:lineRule="exact"/>
              <w:jc w:val="center"/>
              <w:rPr>
                <w:rFonts w:asciiTheme="minorEastAsia" w:hAnsiTheme="minorEastAsia" w:eastAsiaTheme="minorEastAsia" w:cstheme="minorEastAsia"/>
                <w:bCs/>
                <w:spacing w:val="-2"/>
                <w:szCs w:val="21"/>
              </w:rPr>
            </w:pPr>
            <w:r>
              <w:rPr>
                <w:rFonts w:hint="eastAsia" w:asciiTheme="minorEastAsia" w:hAnsiTheme="minorEastAsia" w:eastAsiaTheme="minorEastAsia" w:cstheme="minorEastAsia"/>
                <w:bCs/>
                <w:spacing w:val="-2"/>
                <w:szCs w:val="21"/>
              </w:rPr>
              <w:t>（六）</w:t>
            </w:r>
            <w:r>
              <w:rPr>
                <w:rFonts w:hint="eastAsia" w:ascii="宋体" w:hAnsi="宋体" w:cs="宋体"/>
                <w:b/>
                <w:bCs/>
                <w:sz w:val="24"/>
                <w:lang w:val="zh-CN"/>
              </w:rPr>
              <w:t>其他要求</w:t>
            </w:r>
          </w:p>
        </w:tc>
        <w:tc>
          <w:tcPr>
            <w:tcW w:w="8148" w:type="dxa"/>
            <w:tcBorders>
              <w:top w:val="single" w:color="auto" w:sz="4" w:space="0"/>
              <w:left w:val="single" w:color="auto" w:sz="4" w:space="0"/>
              <w:bottom w:val="single" w:color="auto" w:sz="4" w:space="0"/>
              <w:right w:val="single" w:color="auto" w:sz="4" w:space="0"/>
            </w:tcBorders>
            <w:vAlign w:val="center"/>
          </w:tcPr>
          <w:p w14:paraId="555E5F7F">
            <w:pPr>
              <w:pageBreakBefore w:val="0"/>
              <w:kinsoku/>
              <w:wordWrap/>
              <w:overflowPunct/>
              <w:topLinePunct w:val="0"/>
              <w:autoSpaceDE/>
              <w:autoSpaceDN/>
              <w:bidi w:val="0"/>
              <w:spacing w:line="400" w:lineRule="exact"/>
            </w:pPr>
            <w:r>
              <w:rPr>
                <w:rFonts w:hint="eastAsia"/>
              </w:rPr>
              <w:t>1.本项目所提供的软件必须具有合法的版权或使用权，如在本项目范围内使用过程中出现版权或使用权纠纷，应由供应商负责。</w:t>
            </w:r>
          </w:p>
          <w:p w14:paraId="24668444">
            <w:pPr>
              <w:pageBreakBefore w:val="0"/>
              <w:kinsoku/>
              <w:wordWrap/>
              <w:overflowPunct/>
              <w:topLinePunct w:val="0"/>
              <w:autoSpaceDE/>
              <w:autoSpaceDN/>
              <w:bidi w:val="0"/>
              <w:spacing w:line="400" w:lineRule="exact"/>
            </w:pPr>
            <w:r>
              <w:rPr>
                <w:rFonts w:hint="eastAsia"/>
              </w:rPr>
              <w:t>2.为了避免恶意竞争，保证项目的整体质量并确保服务质量，如某一供应商的报价明显低于其他通过符合性审查投标人的报价或评标委员会认定为低于成本报价时，评标委员会可要求其在规定时间内予以澄清说明，必要时可要求其提供相关证明材料，投标人不能合理说明或者不能提供相关证明材料的，视为以低于企业成本报价恶意报价，其投标文件作无效处理。</w:t>
            </w:r>
          </w:p>
          <w:p w14:paraId="3D701114">
            <w:pPr>
              <w:pageBreakBefore w:val="0"/>
              <w:kinsoku/>
              <w:wordWrap/>
              <w:overflowPunct/>
              <w:topLinePunct w:val="0"/>
              <w:autoSpaceDE/>
              <w:autoSpaceDN/>
              <w:bidi w:val="0"/>
              <w:spacing w:line="400" w:lineRule="exact"/>
              <w:rPr>
                <w:rFonts w:eastAsiaTheme="minorEastAsia"/>
              </w:rPr>
            </w:pPr>
            <w:r>
              <w:rPr>
                <w:rFonts w:hint="eastAsia"/>
              </w:rPr>
              <w:t>3.投标报价包括本次采购范围内所有服务、人员、材料、运输、管理费、购置费、税金、后续服务等及其他所有成本费用的总和，招标人不再支付其他任何费用。</w:t>
            </w:r>
          </w:p>
        </w:tc>
      </w:tr>
    </w:tbl>
    <w:p w14:paraId="4355597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b/>
          <w:bCs/>
          <w:sz w:val="24"/>
        </w:rPr>
      </w:pPr>
    </w:p>
    <w:p w14:paraId="2760B7C6">
      <w:pPr>
        <w:pageBreakBefore w:val="0"/>
        <w:kinsoku/>
        <w:wordWrap/>
        <w:overflowPunct/>
        <w:topLinePunct w:val="0"/>
        <w:autoSpaceDE/>
        <w:autoSpaceDN/>
        <w:bidi w:val="0"/>
        <w:spacing w:line="400" w:lineRule="exact"/>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五、合同主要条款</w:t>
      </w:r>
    </w:p>
    <w:p w14:paraId="7E4ECB7A">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甲方：</w:t>
      </w:r>
      <w:r>
        <w:rPr>
          <w:rFonts w:hint="eastAsia" w:asciiTheme="minorEastAsia" w:hAnsiTheme="minorEastAsia" w:eastAsiaTheme="minorEastAsia" w:cstheme="minorEastAsia"/>
          <w:sz w:val="24"/>
          <w:u w:val="single"/>
        </w:rPr>
        <w:t>桂林市人民医院（</w:t>
      </w:r>
      <w:r>
        <w:rPr>
          <w:rFonts w:hint="eastAsia" w:asciiTheme="minorEastAsia" w:hAnsiTheme="minorEastAsia" w:eastAsiaTheme="minorEastAsia" w:cstheme="minorEastAsia"/>
          <w:sz w:val="24"/>
        </w:rPr>
        <w:t>采购人）</w:t>
      </w:r>
    </w:p>
    <w:p w14:paraId="3E8CBE6B">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乙方：</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（中标供应商）</w:t>
      </w:r>
    </w:p>
    <w:p w14:paraId="5B1F491C">
      <w:pPr>
        <w:pStyle w:val="26"/>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根据《中华人民共和国民法典》等法律、法规规定，按照采购文件规定条款和中标供应商承诺，甲乙双方签订本合同。</w:t>
      </w:r>
    </w:p>
    <w:p w14:paraId="0BA95F57">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第一条 合同标的</w:t>
      </w:r>
    </w:p>
    <w:p w14:paraId="7FC8FB86">
      <w:pPr>
        <w:pStyle w:val="21"/>
        <w:pageBreakBefore w:val="0"/>
        <w:numPr>
          <w:ilvl w:val="0"/>
          <w:numId w:val="3"/>
        </w:numPr>
        <w:kinsoku/>
        <w:wordWrap/>
        <w:overflowPunct/>
        <w:topLinePunct w:val="0"/>
        <w:autoSpaceDE/>
        <w:autoSpaceDN/>
        <w:bidi w:val="0"/>
        <w:snapToGrid w:val="0"/>
        <w:spacing w:line="400" w:lineRule="exact"/>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供货一览表</w:t>
      </w:r>
    </w:p>
    <w:tbl>
      <w:tblPr>
        <w:tblStyle w:val="15"/>
        <w:tblW w:w="9796" w:type="dxa"/>
        <w:tblInd w:w="-72" w:type="dxa"/>
        <w:tblLayout w:type="fixed"/>
        <w:tblCellMar>
          <w:top w:w="0" w:type="dxa"/>
          <w:left w:w="108" w:type="dxa"/>
          <w:bottom w:w="0" w:type="dxa"/>
          <w:right w:w="108" w:type="dxa"/>
        </w:tblCellMar>
      </w:tblPr>
      <w:tblGrid>
        <w:gridCol w:w="711"/>
        <w:gridCol w:w="1184"/>
        <w:gridCol w:w="872"/>
        <w:gridCol w:w="912"/>
        <w:gridCol w:w="1562"/>
        <w:gridCol w:w="1952"/>
        <w:gridCol w:w="1301"/>
        <w:gridCol w:w="1302"/>
      </w:tblGrid>
      <w:tr w14:paraId="15D386DB">
        <w:tblPrEx>
          <w:tblCellMar>
            <w:top w:w="0" w:type="dxa"/>
            <w:left w:w="108" w:type="dxa"/>
            <w:bottom w:w="0" w:type="dxa"/>
            <w:right w:w="108" w:type="dxa"/>
          </w:tblCellMar>
        </w:tblPrEx>
        <w:trPr>
          <w:cantSplit/>
          <w:trHeight w:val="1222" w:hRule="atLeast"/>
        </w:trPr>
        <w:tc>
          <w:tcPr>
            <w:tcW w:w="711" w:type="dxa"/>
            <w:tcBorders>
              <w:top w:val="single" w:color="auto" w:sz="4" w:space="0"/>
              <w:left w:val="single" w:color="auto" w:sz="4" w:space="0"/>
              <w:bottom w:val="single" w:color="auto" w:sz="4" w:space="0"/>
              <w:right w:val="single" w:color="auto" w:sz="4" w:space="0"/>
            </w:tcBorders>
            <w:vAlign w:val="center"/>
          </w:tcPr>
          <w:p w14:paraId="44161912">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项号</w:t>
            </w:r>
          </w:p>
        </w:tc>
        <w:tc>
          <w:tcPr>
            <w:tcW w:w="1184" w:type="dxa"/>
            <w:tcBorders>
              <w:top w:val="single" w:color="auto" w:sz="4" w:space="0"/>
              <w:left w:val="nil"/>
              <w:bottom w:val="single" w:color="auto" w:sz="4" w:space="0"/>
              <w:right w:val="single" w:color="auto" w:sz="4" w:space="0"/>
            </w:tcBorders>
            <w:vAlign w:val="center"/>
          </w:tcPr>
          <w:p w14:paraId="784C6F43">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货物名称</w:t>
            </w:r>
          </w:p>
        </w:tc>
        <w:tc>
          <w:tcPr>
            <w:tcW w:w="872" w:type="dxa"/>
            <w:tcBorders>
              <w:top w:val="single" w:color="auto" w:sz="4" w:space="0"/>
              <w:left w:val="nil"/>
              <w:bottom w:val="single" w:color="auto" w:sz="4" w:space="0"/>
              <w:right w:val="single" w:color="auto" w:sz="4" w:space="0"/>
            </w:tcBorders>
            <w:vAlign w:val="center"/>
          </w:tcPr>
          <w:p w14:paraId="40979D5E">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数量及单位</w:t>
            </w:r>
          </w:p>
          <w:p w14:paraId="4335EAE1">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①</w:t>
            </w:r>
          </w:p>
        </w:tc>
        <w:tc>
          <w:tcPr>
            <w:tcW w:w="912" w:type="dxa"/>
            <w:tcBorders>
              <w:top w:val="single" w:color="auto" w:sz="4" w:space="0"/>
              <w:left w:val="nil"/>
              <w:bottom w:val="single" w:color="auto" w:sz="4" w:space="0"/>
              <w:right w:val="single" w:color="auto" w:sz="4" w:space="0"/>
            </w:tcBorders>
            <w:vAlign w:val="center"/>
          </w:tcPr>
          <w:p w14:paraId="0103603C">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品牌</w:t>
            </w:r>
          </w:p>
        </w:tc>
        <w:tc>
          <w:tcPr>
            <w:tcW w:w="1562" w:type="dxa"/>
            <w:tcBorders>
              <w:top w:val="single" w:color="auto" w:sz="4" w:space="0"/>
              <w:left w:val="nil"/>
              <w:bottom w:val="single" w:color="auto" w:sz="4" w:space="0"/>
              <w:right w:val="single" w:color="auto" w:sz="4" w:space="0"/>
            </w:tcBorders>
            <w:vAlign w:val="center"/>
          </w:tcPr>
          <w:p w14:paraId="6256005C">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规格</w:t>
            </w:r>
          </w:p>
          <w:p w14:paraId="78849824">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型号</w:t>
            </w:r>
          </w:p>
        </w:tc>
        <w:tc>
          <w:tcPr>
            <w:tcW w:w="1952" w:type="dxa"/>
            <w:tcBorders>
              <w:top w:val="single" w:color="auto" w:sz="4" w:space="0"/>
              <w:left w:val="nil"/>
              <w:bottom w:val="single" w:color="auto" w:sz="4" w:space="0"/>
              <w:right w:val="single" w:color="auto" w:sz="4" w:space="0"/>
            </w:tcBorders>
            <w:vAlign w:val="center"/>
          </w:tcPr>
          <w:p w14:paraId="04D7F658">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制造商</w:t>
            </w:r>
          </w:p>
        </w:tc>
        <w:tc>
          <w:tcPr>
            <w:tcW w:w="1301" w:type="dxa"/>
            <w:tcBorders>
              <w:top w:val="single" w:color="auto" w:sz="4" w:space="0"/>
              <w:left w:val="nil"/>
              <w:bottom w:val="single" w:color="auto" w:sz="4" w:space="0"/>
              <w:right w:val="single" w:color="auto" w:sz="4" w:space="0"/>
            </w:tcBorders>
            <w:vAlign w:val="center"/>
          </w:tcPr>
          <w:p w14:paraId="0D923B52">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p w14:paraId="35D8E24C">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②</w:t>
            </w:r>
          </w:p>
        </w:tc>
        <w:tc>
          <w:tcPr>
            <w:tcW w:w="1302" w:type="dxa"/>
            <w:tcBorders>
              <w:top w:val="single" w:color="auto" w:sz="4" w:space="0"/>
              <w:left w:val="nil"/>
              <w:bottom w:val="single" w:color="auto" w:sz="4" w:space="0"/>
              <w:right w:val="single" w:color="auto" w:sz="4" w:space="0"/>
            </w:tcBorders>
            <w:vAlign w:val="center"/>
          </w:tcPr>
          <w:p w14:paraId="03ED8CD2">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小计</w:t>
            </w:r>
          </w:p>
          <w:p w14:paraId="764CC3D8">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③=①×②</w:t>
            </w:r>
          </w:p>
        </w:tc>
      </w:tr>
      <w:tr w14:paraId="5F313041">
        <w:tblPrEx>
          <w:tblCellMar>
            <w:top w:w="0" w:type="dxa"/>
            <w:left w:w="108" w:type="dxa"/>
            <w:bottom w:w="0" w:type="dxa"/>
            <w:right w:w="108" w:type="dxa"/>
          </w:tblCellMar>
        </w:tblPrEx>
        <w:trPr>
          <w:cantSplit/>
          <w:trHeight w:val="821" w:hRule="atLeast"/>
        </w:trPr>
        <w:tc>
          <w:tcPr>
            <w:tcW w:w="711" w:type="dxa"/>
            <w:tcBorders>
              <w:top w:val="single" w:color="auto" w:sz="4" w:space="0"/>
              <w:left w:val="single" w:color="auto" w:sz="4" w:space="0"/>
              <w:bottom w:val="single" w:color="auto" w:sz="4" w:space="0"/>
              <w:right w:val="single" w:color="auto" w:sz="4" w:space="0"/>
            </w:tcBorders>
            <w:vAlign w:val="center"/>
          </w:tcPr>
          <w:p w14:paraId="18A9B954">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1184" w:type="dxa"/>
            <w:tcBorders>
              <w:top w:val="single" w:color="auto" w:sz="4" w:space="0"/>
              <w:left w:val="nil"/>
              <w:bottom w:val="single" w:color="auto" w:sz="4" w:space="0"/>
              <w:right w:val="single" w:color="auto" w:sz="4" w:space="0"/>
            </w:tcBorders>
            <w:vAlign w:val="center"/>
          </w:tcPr>
          <w:p w14:paraId="5C4181B2">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872" w:type="dxa"/>
            <w:tcBorders>
              <w:top w:val="single" w:color="auto" w:sz="4" w:space="0"/>
              <w:left w:val="nil"/>
              <w:bottom w:val="single" w:color="auto" w:sz="4" w:space="0"/>
              <w:right w:val="single" w:color="auto" w:sz="4" w:space="0"/>
            </w:tcBorders>
            <w:vAlign w:val="center"/>
          </w:tcPr>
          <w:p w14:paraId="74E33F59">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912" w:type="dxa"/>
            <w:tcBorders>
              <w:top w:val="single" w:color="auto" w:sz="4" w:space="0"/>
              <w:left w:val="nil"/>
              <w:bottom w:val="single" w:color="auto" w:sz="4" w:space="0"/>
              <w:right w:val="single" w:color="auto" w:sz="4" w:space="0"/>
            </w:tcBorders>
            <w:vAlign w:val="center"/>
          </w:tcPr>
          <w:p w14:paraId="483A31DC">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1562" w:type="dxa"/>
            <w:tcBorders>
              <w:top w:val="single" w:color="auto" w:sz="4" w:space="0"/>
              <w:left w:val="nil"/>
              <w:bottom w:val="single" w:color="auto" w:sz="4" w:space="0"/>
              <w:right w:val="single" w:color="auto" w:sz="4" w:space="0"/>
            </w:tcBorders>
            <w:vAlign w:val="center"/>
          </w:tcPr>
          <w:p w14:paraId="345515DD">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1952" w:type="dxa"/>
            <w:tcBorders>
              <w:top w:val="single" w:color="auto" w:sz="4" w:space="0"/>
              <w:left w:val="nil"/>
              <w:bottom w:val="single" w:color="auto" w:sz="4" w:space="0"/>
              <w:right w:val="single" w:color="auto" w:sz="4" w:space="0"/>
            </w:tcBorders>
            <w:vAlign w:val="center"/>
          </w:tcPr>
          <w:p w14:paraId="21A07611">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1301" w:type="dxa"/>
            <w:tcBorders>
              <w:top w:val="single" w:color="auto" w:sz="4" w:space="0"/>
              <w:left w:val="nil"/>
              <w:bottom w:val="single" w:color="auto" w:sz="4" w:space="0"/>
              <w:right w:val="single" w:color="auto" w:sz="4" w:space="0"/>
            </w:tcBorders>
            <w:vAlign w:val="center"/>
          </w:tcPr>
          <w:p w14:paraId="474B40FE">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c>
          <w:tcPr>
            <w:tcW w:w="1302" w:type="dxa"/>
            <w:tcBorders>
              <w:top w:val="single" w:color="auto" w:sz="4" w:space="0"/>
              <w:left w:val="nil"/>
              <w:bottom w:val="single" w:color="auto" w:sz="4" w:space="0"/>
              <w:right w:val="single" w:color="auto" w:sz="4" w:space="0"/>
            </w:tcBorders>
            <w:vAlign w:val="center"/>
          </w:tcPr>
          <w:p w14:paraId="4430B254">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r>
      <w:tr w14:paraId="705756E8">
        <w:tblPrEx>
          <w:tblCellMar>
            <w:top w:w="0" w:type="dxa"/>
            <w:left w:w="108" w:type="dxa"/>
            <w:bottom w:w="0" w:type="dxa"/>
            <w:right w:w="108" w:type="dxa"/>
          </w:tblCellMar>
        </w:tblPrEx>
        <w:trPr>
          <w:cantSplit/>
          <w:trHeight w:val="626" w:hRule="atLeast"/>
        </w:trPr>
        <w:tc>
          <w:tcPr>
            <w:tcW w:w="8494" w:type="dxa"/>
            <w:gridSpan w:val="7"/>
            <w:tcBorders>
              <w:top w:val="single" w:color="auto" w:sz="4" w:space="0"/>
              <w:left w:val="single" w:color="auto" w:sz="4" w:space="0"/>
              <w:bottom w:val="single" w:color="auto" w:sz="4" w:space="0"/>
              <w:right w:val="single" w:color="auto" w:sz="4" w:space="0"/>
            </w:tcBorders>
            <w:vAlign w:val="center"/>
          </w:tcPr>
          <w:p w14:paraId="098C0477">
            <w:pPr>
              <w:pageBreakBefore w:val="0"/>
              <w:kinsoku/>
              <w:wordWrap/>
              <w:overflowPunct/>
              <w:topLinePunct w:val="0"/>
              <w:autoSpaceDE/>
              <w:autoSpaceDN/>
              <w:bidi w:val="0"/>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合计金额大写：人民币</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tc>
        <w:tc>
          <w:tcPr>
            <w:tcW w:w="1302" w:type="dxa"/>
            <w:tcBorders>
              <w:top w:val="single" w:color="auto" w:sz="4" w:space="0"/>
              <w:left w:val="nil"/>
              <w:bottom w:val="single" w:color="auto" w:sz="4" w:space="0"/>
              <w:right w:val="single" w:color="auto" w:sz="4" w:space="0"/>
            </w:tcBorders>
            <w:vAlign w:val="center"/>
          </w:tcPr>
          <w:p w14:paraId="513C7BC9">
            <w:pPr>
              <w:pageBreakBefore w:val="0"/>
              <w:kinsoku/>
              <w:wordWrap/>
              <w:overflowPunct/>
              <w:topLinePunct w:val="0"/>
              <w:autoSpaceDE/>
              <w:autoSpaceDN/>
              <w:bidi w:val="0"/>
              <w:snapToGrid w:val="0"/>
              <w:spacing w:line="400" w:lineRule="exact"/>
              <w:jc w:val="center"/>
              <w:rPr>
                <w:rFonts w:asciiTheme="minorEastAsia" w:hAnsiTheme="minorEastAsia" w:eastAsiaTheme="minorEastAsia" w:cstheme="minorEastAsia"/>
                <w:sz w:val="24"/>
              </w:rPr>
            </w:pPr>
          </w:p>
        </w:tc>
      </w:tr>
    </w:tbl>
    <w:p w14:paraId="631E83CD">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p>
    <w:p w14:paraId="66C8178A">
      <w:pPr>
        <w:pageBreakBefore w:val="0"/>
        <w:numPr>
          <w:ilvl w:val="0"/>
          <w:numId w:val="3"/>
        </w:numPr>
        <w:kinsoku/>
        <w:wordWrap/>
        <w:overflowPunct/>
        <w:topLinePunct w:val="0"/>
        <w:autoSpaceDE/>
        <w:autoSpaceDN/>
        <w:bidi w:val="0"/>
        <w:snapToGrid w:val="0"/>
        <w:spacing w:line="400" w:lineRule="exac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合同合计金</w:t>
      </w:r>
      <w:r>
        <w:rPr>
          <w:rFonts w:hint="eastAsia" w:asciiTheme="minorEastAsia" w:hAnsiTheme="minorEastAsia" w:eastAsiaTheme="minorEastAsia" w:cstheme="minorEastAsia"/>
          <w:sz w:val="24"/>
          <w:u w:val="single"/>
        </w:rPr>
        <w:t>额包括投标货物（包括备品备件、专用工具等）的价格，投标货物运输（含保险）、安装、调试、检验、技术服务、培训、总包服务费和招标文件要求提供的所有伴随服务、工程等费用和税费。</w:t>
      </w:r>
    </w:p>
    <w:p w14:paraId="0B091562">
      <w:pPr>
        <w:pStyle w:val="6"/>
        <w:pageBreakBefore w:val="0"/>
        <w:numPr>
          <w:ilvl w:val="0"/>
          <w:numId w:val="3"/>
        </w:numPr>
        <w:kinsoku/>
        <w:wordWrap/>
        <w:overflowPunct/>
        <w:topLinePunct w:val="0"/>
        <w:autoSpaceDE/>
        <w:autoSpaceDN/>
        <w:bidi w:val="0"/>
        <w:spacing w:line="40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结算资金来源：自有资金</w:t>
      </w:r>
    </w:p>
    <w:p w14:paraId="03E3660A">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第二条 质量要求</w:t>
      </w:r>
    </w:p>
    <w:p w14:paraId="1FE92D99">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1.乙方所提供的产品名称、商标品牌、生产厂家、规格型号、技术参数等质量必须与招标文件规定及投标文件承诺相一致。乙方提供的节能和环保产品必须是列入政府采购品目清单的产品。</w:t>
      </w:r>
    </w:p>
    <w:p w14:paraId="13766FD2">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2.乙方所提供的货物必须是全新、未使用的原装产品，且在正常安装、使用和保养条件下，其使用寿命期内各项指标均达到招标文件规定或者投标文件承诺的质量要求。</w:t>
      </w:r>
    </w:p>
    <w:p w14:paraId="1D72CD3A">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第三条 权利保证</w:t>
      </w:r>
    </w:p>
    <w:p w14:paraId="67CB9626">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1.乙方应保证所提供货物在使用时不会侵犯任何第三方的专利权、商标权、工业设计权或者其他权利，否则所产生的法律责任皆由乙方承担，如果因此给甲方造成损失的，乙方也应承担赔偿责任。</w:t>
      </w:r>
    </w:p>
    <w:p w14:paraId="10D6E72F">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2.乙方应按招标文件规定或者投标文件承诺的时间向甲方提供使用货物的有关技术资料。</w:t>
      </w:r>
    </w:p>
    <w:p w14:paraId="111C0DBB">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没有甲方事先书面同意，乙方不得将由甲方提供的有关合同或者任何合同条文、规格、计划、图纸、样品或者资料提供给与履行本合同无关的任何其他人，否则应赔偿因此给甲方造成的所有损失。即使向履行本合同有关的人员提供，也应注意保密并限于履行合同的必需范围。</w:t>
      </w:r>
    </w:p>
    <w:p w14:paraId="3F03F462">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4.乙方保证将要交付的货物的所有权完全属于乙方且无任何抵押、质押、查封等产权瑕疵，否则甲方有权解除合同，乙方须全额退还甲方已支付的所有款项，并向乙方支付相当于合同总价款30%的违约金。</w:t>
      </w:r>
    </w:p>
    <w:p w14:paraId="43A29B5D">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包装和运输</w:t>
      </w:r>
    </w:p>
    <w:p w14:paraId="23662AE2">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1.乙方提供的货物均应按招标文件规定或者投标文件承诺的要求的包装材料、包装标准、包装方式进行包装，每一包装单元内应附详细的装箱单和质量合格证。</w:t>
      </w:r>
    </w:p>
    <w:p w14:paraId="67919A27">
      <w:pPr>
        <w:pageBreakBefore w:val="0"/>
        <w:kinsoku/>
        <w:wordWrap/>
        <w:overflowPunct/>
        <w:topLinePunct w:val="0"/>
        <w:autoSpaceDE/>
        <w:autoSpaceDN/>
        <w:bidi w:val="0"/>
        <w:snapToGrid w:val="0"/>
        <w:spacing w:line="400" w:lineRule="exact"/>
        <w:ind w:firstLine="480" w:firstLineChars="200"/>
        <w:outlineLvl w:val="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2.货物的运输方式：</w:t>
      </w:r>
      <w:r>
        <w:rPr>
          <w:rFonts w:hint="eastAsia" w:asciiTheme="minorEastAsia" w:hAnsiTheme="minorEastAsia" w:eastAsiaTheme="minorEastAsia" w:cstheme="minorEastAsia"/>
          <w:sz w:val="24"/>
          <w:u w:val="single"/>
        </w:rPr>
        <w:t xml:space="preserve">乙方送货上门  </w:t>
      </w:r>
      <w:r>
        <w:rPr>
          <w:rFonts w:hint="eastAsia" w:asciiTheme="minorEastAsia" w:hAnsiTheme="minorEastAsia" w:eastAsiaTheme="minorEastAsia" w:cstheme="minorEastAsia"/>
          <w:sz w:val="24"/>
        </w:rPr>
        <w:t>。</w:t>
      </w:r>
    </w:p>
    <w:p w14:paraId="6A0646ED">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3.乙方负责货物运输，货物运输合理损耗及计算方法：</w:t>
      </w:r>
      <w:r>
        <w:rPr>
          <w:rFonts w:hint="eastAsia" w:asciiTheme="minorEastAsia" w:hAnsiTheme="minorEastAsia" w:eastAsiaTheme="minorEastAsia" w:cstheme="minorEastAsia"/>
          <w:sz w:val="24"/>
          <w:u w:val="single"/>
        </w:rPr>
        <w:t xml:space="preserve"> 乙方自行承担  </w:t>
      </w:r>
      <w:r>
        <w:rPr>
          <w:rFonts w:hint="eastAsia" w:asciiTheme="minorEastAsia" w:hAnsiTheme="minorEastAsia" w:eastAsiaTheme="minorEastAsia" w:cstheme="minorEastAsia"/>
          <w:sz w:val="24"/>
        </w:rPr>
        <w:t>。</w:t>
      </w:r>
    </w:p>
    <w:p w14:paraId="0E99D237">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第五条 交付和验收</w:t>
      </w:r>
    </w:p>
    <w:p w14:paraId="72722D21">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1.交付时间：</w:t>
      </w:r>
      <w:r>
        <w:rPr>
          <w:rFonts w:hint="eastAsia" w:asciiTheme="minorEastAsia" w:hAnsiTheme="minorEastAsia" w:eastAsiaTheme="minorEastAsia" w:cstheme="minorEastAsia"/>
          <w:sz w:val="24"/>
          <w:u w:val="single"/>
        </w:rPr>
        <w:t xml:space="preserve"> 自签订合同之日起15日内  </w:t>
      </w:r>
      <w:r>
        <w:rPr>
          <w:rFonts w:hint="eastAsia" w:asciiTheme="minorEastAsia" w:hAnsiTheme="minorEastAsia" w:eastAsiaTheme="minorEastAsia" w:cstheme="minorEastAsia"/>
          <w:sz w:val="24"/>
        </w:rPr>
        <w:t>；交付地点：</w:t>
      </w:r>
      <w:r>
        <w:rPr>
          <w:rFonts w:hint="eastAsia" w:asciiTheme="minorEastAsia" w:hAnsiTheme="minorEastAsia" w:eastAsiaTheme="minorEastAsia" w:cstheme="minorEastAsia"/>
          <w:sz w:val="24"/>
          <w:u w:val="single"/>
        </w:rPr>
        <w:t xml:space="preserve">  广西桂林市采购人指定地点  </w:t>
      </w:r>
      <w:r>
        <w:rPr>
          <w:rFonts w:hint="eastAsia" w:asciiTheme="minorEastAsia" w:hAnsiTheme="minorEastAsia" w:eastAsiaTheme="minorEastAsia" w:cstheme="minorEastAsia"/>
          <w:sz w:val="24"/>
        </w:rPr>
        <w:t>。</w:t>
      </w:r>
    </w:p>
    <w:p w14:paraId="4712FB49">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2.乙方提供不符合招标文件规定或者投标文件承诺的和本合同规定的货物，甲方有权拒绝接受，如果因此导致乙方逾期交货的，乙方应承担逾期交货的违约责任。</w:t>
      </w:r>
    </w:p>
    <w:p w14:paraId="643342BF">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23FB0950">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4.甲方应当在到货（安装、调试完）后七个工作日内进行验收，逾期不验收的，乙方可视同验收合格。验收合格后由甲乙双方签署货物验收单并加盖甲方公章，甲乙双方各执一份。</w:t>
      </w:r>
    </w:p>
    <w:p w14:paraId="6B3829D8">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68DDF42D">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6.甲方对验收有异议的，在验收后五个工作日内以书面形式向乙方提出，乙方应自收到甲方书面异议后</w:t>
      </w:r>
      <w:r>
        <w:rPr>
          <w:rFonts w:hint="eastAsia" w:asciiTheme="minorEastAsia" w:hAnsiTheme="minorEastAsia" w:eastAsiaTheme="minorEastAsia" w:cstheme="minorEastAsia"/>
          <w:sz w:val="24"/>
          <w:u w:val="single"/>
        </w:rPr>
        <w:t xml:space="preserve"> 3 </w:t>
      </w:r>
      <w:r>
        <w:rPr>
          <w:rFonts w:hint="eastAsia" w:asciiTheme="minorEastAsia" w:hAnsiTheme="minorEastAsia" w:eastAsiaTheme="minorEastAsia" w:cstheme="minorEastAsia"/>
          <w:sz w:val="24"/>
        </w:rPr>
        <w:t>日内及时予以解决。</w:t>
      </w:r>
    </w:p>
    <w:p w14:paraId="02285C1D">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第六条 安装和培训</w:t>
      </w:r>
    </w:p>
    <w:p w14:paraId="7097AA1B">
      <w:pPr>
        <w:pageBreakBefore w:val="0"/>
        <w:kinsoku/>
        <w:wordWrap/>
        <w:overflowPunct/>
        <w:topLinePunct w:val="0"/>
        <w:autoSpaceDE/>
        <w:autoSpaceDN/>
        <w:bidi w:val="0"/>
        <w:snapToGrid w:val="0"/>
        <w:spacing w:line="400" w:lineRule="exact"/>
        <w:ind w:firstLine="480" w:firstLineChars="200"/>
        <w:outlineLvl w:val="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1.甲方应提供必要安装条件（如场地、电源、水源等）。</w:t>
      </w:r>
    </w:p>
    <w:p w14:paraId="01DB5DC8">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2.乙方投标文件承诺负责甲方有关人员的培训。培训时间、地点：</w:t>
      </w:r>
      <w:r>
        <w:rPr>
          <w:rFonts w:hint="eastAsia" w:asciiTheme="minorEastAsia" w:hAnsiTheme="minorEastAsia" w:eastAsiaTheme="minorEastAsia" w:cstheme="minorEastAsia"/>
          <w:sz w:val="24"/>
          <w:u w:val="single"/>
        </w:rPr>
        <w:t>广西桂林市采购人指定时间和地点</w:t>
      </w:r>
      <w:r>
        <w:rPr>
          <w:rFonts w:hint="eastAsia" w:asciiTheme="minorEastAsia" w:hAnsiTheme="minorEastAsia" w:eastAsiaTheme="minorEastAsia" w:cstheme="minorEastAsia"/>
          <w:sz w:val="24"/>
        </w:rPr>
        <w:t>。</w:t>
      </w:r>
    </w:p>
    <w:p w14:paraId="2D9BC0A0">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第七条  售后服务、质保期</w:t>
      </w:r>
    </w:p>
    <w:p w14:paraId="5D8ABB35">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1.乙方应按照国家有关法律法规和“三包”规定以及本合同所附的《服务承诺》，为甲方提供售后服务。</w:t>
      </w:r>
    </w:p>
    <w:p w14:paraId="5A798B9D">
      <w:pPr>
        <w:pageBreakBefore w:val="0"/>
        <w:kinsoku/>
        <w:wordWrap/>
        <w:overflowPunct/>
        <w:topLinePunct w:val="0"/>
        <w:autoSpaceDE/>
        <w:autoSpaceDN/>
        <w:bidi w:val="0"/>
        <w:snapToGrid w:val="0"/>
        <w:spacing w:line="400" w:lineRule="exact"/>
        <w:ind w:firstLine="480" w:firstLineChars="200"/>
        <w:outlineLvl w:val="2"/>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2.货物质保期：</w:t>
      </w:r>
      <w:r>
        <w:rPr>
          <w:rFonts w:hint="eastAsia" w:asciiTheme="minorEastAsia" w:hAnsiTheme="minorEastAsia" w:eastAsiaTheme="minorEastAsia" w:cstheme="minorEastAsia"/>
          <w:sz w:val="24"/>
          <w:u w:val="single"/>
        </w:rPr>
        <w:t xml:space="preserve">  按国家有关产品“三包”规定执行“三包”，提供壹年的质保期，提供终身维护服务</w:t>
      </w:r>
      <w:r>
        <w:rPr>
          <w:rFonts w:hint="eastAsia" w:asciiTheme="minorEastAsia" w:hAnsiTheme="minorEastAsia" w:eastAsiaTheme="minorEastAsia" w:cstheme="minorEastAsia"/>
          <w:sz w:val="24"/>
        </w:rPr>
        <w:t>。</w:t>
      </w:r>
    </w:p>
    <w:p w14:paraId="5BD7EAF5">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3.乙方提供的服务承诺和售后服务及保修期责任等其它具体约定事项。（见合同附件）</w:t>
      </w:r>
    </w:p>
    <w:p w14:paraId="77500E17">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第八条 付款方式</w:t>
      </w:r>
    </w:p>
    <w:p w14:paraId="413AE10D">
      <w:pPr>
        <w:pageBreakBefore w:val="0"/>
        <w:kinsoku/>
        <w:wordWrap/>
        <w:overflowPunct/>
        <w:topLinePunct w:val="0"/>
        <w:autoSpaceDE/>
        <w:autoSpaceDN/>
        <w:bidi w:val="0"/>
        <w:snapToGrid w:val="0"/>
        <w:spacing w:line="400" w:lineRule="exact"/>
        <w:ind w:firstLine="480" w:firstLineChars="200"/>
        <w:outlineLvl w:val="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合同签订后，乙方将尽快安排入场安装，自验收合格（培训指导完成、设备、软件正式使用）收到正规等额、有效发票之日起60个工作日后支付自有资金的95%，自有资金的的5%作为履约保证金，质保期满30个工作日后付清（无息）。</w:t>
      </w:r>
    </w:p>
    <w:p w14:paraId="7F52BAC8">
      <w:pPr>
        <w:pageBreakBefore w:val="0"/>
        <w:kinsoku/>
        <w:wordWrap/>
        <w:overflowPunct/>
        <w:topLinePunct w:val="0"/>
        <w:autoSpaceDE/>
        <w:autoSpaceDN/>
        <w:bidi w:val="0"/>
        <w:snapToGrid w:val="0"/>
        <w:spacing w:line="400" w:lineRule="exact"/>
        <w:ind w:left="-61" w:firstLine="514"/>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第九条  税费</w:t>
      </w:r>
    </w:p>
    <w:p w14:paraId="39F42702">
      <w:pPr>
        <w:pageBreakBefore w:val="0"/>
        <w:kinsoku/>
        <w:wordWrap/>
        <w:overflowPunct/>
        <w:topLinePunct w:val="0"/>
        <w:autoSpaceDE/>
        <w:autoSpaceDN/>
        <w:bidi w:val="0"/>
        <w:snapToGrid w:val="0"/>
        <w:spacing w:line="400" w:lineRule="exact"/>
        <w:ind w:left="-61"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本合同执行中相关的一切税费均由乙方负担，合同另有约定的除外。</w:t>
      </w:r>
    </w:p>
    <w:p w14:paraId="2B9F6CF0">
      <w:pPr>
        <w:pageBreakBefore w:val="0"/>
        <w:kinsoku/>
        <w:wordWrap/>
        <w:overflowPunct/>
        <w:topLinePunct w:val="0"/>
        <w:autoSpaceDE/>
        <w:autoSpaceDN/>
        <w:bidi w:val="0"/>
        <w:snapToGrid w:val="0"/>
        <w:spacing w:line="400" w:lineRule="exact"/>
        <w:ind w:left="-61" w:firstLine="514"/>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第十条  质量保证及售后服务</w:t>
      </w:r>
    </w:p>
    <w:p w14:paraId="63F189C4">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1.乙方应按招标文件规定的产品名称、商标品牌、生产厂家、规格型号、技术参数、质量标准向甲方提供未经使用的全新产品。不符合要求的，根据实际情况，经双方协商，可按以下办法处理：</w:t>
      </w:r>
    </w:p>
    <w:p w14:paraId="212F90DC">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⑴更换：由乙方承担所发生的全部费用。</w:t>
      </w:r>
    </w:p>
    <w:p w14:paraId="2390F61E">
      <w:pPr>
        <w:pStyle w:val="9"/>
        <w:pageBreakBefore w:val="0"/>
        <w:kinsoku/>
        <w:wordWrap/>
        <w:overflowPunct/>
        <w:topLinePunct w:val="0"/>
        <w:autoSpaceDE/>
        <w:autoSpaceDN/>
        <w:bidi w:val="0"/>
        <w:snapToGrid w:val="0"/>
        <w:spacing w:line="40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⑵贬值处理：由甲乙双方合议定价。</w:t>
      </w:r>
    </w:p>
    <w:p w14:paraId="2727A12F">
      <w:pPr>
        <w:pStyle w:val="9"/>
        <w:pageBreakBefore w:val="0"/>
        <w:kinsoku/>
        <w:wordWrap/>
        <w:overflowPunct/>
        <w:topLinePunct w:val="0"/>
        <w:autoSpaceDE/>
        <w:autoSpaceDN/>
        <w:bidi w:val="0"/>
        <w:snapToGrid w:val="0"/>
        <w:spacing w:line="400" w:lineRule="exact"/>
        <w:ind w:firstLine="42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⑶退货处理：乙方应退还甲方支付的合同款，同时应承担该货物的直接费用（运输、保险、检验、货款利息及银行手续费等）。</w:t>
      </w:r>
    </w:p>
    <w:p w14:paraId="7EB79670">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2.如在使用过程中发生质量问题，乙方在接到甲方通知后到达甲方现场处理的时间： 10分钟内响应，1小时内到位。在规定时间内不能解决问题的产品应在24小时内提供等同档次产品给采购人使用。</w:t>
      </w:r>
    </w:p>
    <w:p w14:paraId="03428F21">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3.在质保期内，乙方应对货物出现的质量及安全问题负责处理解决并承担一切费用。</w:t>
      </w:r>
    </w:p>
    <w:p w14:paraId="1AE50A8C">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4.上述的货物质保期为</w:t>
      </w:r>
      <w:r>
        <w:rPr>
          <w:rFonts w:hint="eastAsia" w:asciiTheme="minorEastAsia" w:hAnsiTheme="minorEastAsia" w:eastAsiaTheme="minorEastAsia" w:cstheme="minorEastAsia"/>
          <w:sz w:val="24"/>
          <w:u w:val="single"/>
        </w:rPr>
        <w:t xml:space="preserve"> 壹 </w:t>
      </w:r>
      <w:r>
        <w:rPr>
          <w:rFonts w:hint="eastAsia" w:asciiTheme="minorEastAsia" w:hAnsiTheme="minorEastAsia" w:eastAsiaTheme="minorEastAsia" w:cstheme="minorEastAsia"/>
          <w:sz w:val="24"/>
        </w:rPr>
        <w:t>年，因人为因素出现的故障不在免费保修范围内。超过保修期的机器设备，终生维修，维修时只收部件成本费。</w:t>
      </w:r>
    </w:p>
    <w:p w14:paraId="661FA57D">
      <w:pPr>
        <w:pageBreakBefore w:val="0"/>
        <w:kinsoku/>
        <w:wordWrap/>
        <w:overflowPunct/>
        <w:topLinePunct w:val="0"/>
        <w:autoSpaceDE/>
        <w:autoSpaceDN/>
        <w:bidi w:val="0"/>
        <w:snapToGrid w:val="0"/>
        <w:spacing w:line="400" w:lineRule="exact"/>
        <w:ind w:left="-61"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第十一条  调试和验收</w:t>
      </w:r>
    </w:p>
    <w:p w14:paraId="1EB56A0F">
      <w:pPr>
        <w:pStyle w:val="9"/>
        <w:pageBreakBefore w:val="0"/>
        <w:kinsoku/>
        <w:wordWrap/>
        <w:overflowPunct/>
        <w:topLinePunct w:val="0"/>
        <w:autoSpaceDE/>
        <w:autoSpaceDN/>
        <w:bidi w:val="0"/>
        <w:snapToGrid w:val="0"/>
        <w:spacing w:line="400" w:lineRule="exact"/>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63F07E1F">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2.乙方交货前应对产品作出全面检查和对验收文件进行整理，并列出清单，作为甲方收货验收和使用的技术条件依据，检验的结果应随货物交甲方。</w:t>
      </w:r>
    </w:p>
    <w:p w14:paraId="6260DA84">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3.甲方对乙方提供的货物在使用前进行调试时，乙方需负责安装并培训甲方的使用操作人员，并协助甲方一起调试，直到符合技术要求，甲方才做最终验收。</w:t>
      </w:r>
    </w:p>
    <w:p w14:paraId="60D5117B">
      <w:pPr>
        <w:pageBreakBefore w:val="0"/>
        <w:kinsoku/>
        <w:wordWrap/>
        <w:overflowPunct/>
        <w:topLinePunct w:val="0"/>
        <w:autoSpaceDE/>
        <w:autoSpaceDN/>
        <w:bidi w:val="0"/>
        <w:snapToGrid w:val="0"/>
        <w:spacing w:line="400" w:lineRule="exact"/>
        <w:ind w:left="-61" w:firstLine="514"/>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4.验收时乙方必须在现场，验收完毕后作出验收结果报告；验收费用按招标文件约定承担方负责。</w:t>
      </w:r>
    </w:p>
    <w:p w14:paraId="716D5FB1">
      <w:pPr>
        <w:pStyle w:val="9"/>
        <w:pageBreakBefore w:val="0"/>
        <w:kinsoku/>
        <w:wordWrap/>
        <w:overflowPunct/>
        <w:topLinePunct w:val="0"/>
        <w:autoSpaceDE/>
        <w:autoSpaceDN/>
        <w:bidi w:val="0"/>
        <w:snapToGrid w:val="0"/>
        <w:spacing w:line="400" w:lineRule="exact"/>
        <w:ind w:firstLine="472" w:firstLineChars="196"/>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货物包装、发运及运输</w:t>
      </w:r>
    </w:p>
    <w:p w14:paraId="6FCCF238">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1.乙方应在货物发运前对其进行满足运输距离、防潮、防震、防锈和防破损装卸等要求包装，以保证货物安全运达甲方指定地点。</w:t>
      </w:r>
    </w:p>
    <w:p w14:paraId="023A8EE1">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2.使用说明书（货物属于进口产品的，供货时应同时附上中文使用说明书）、质量检验证明书、随配附件和工具以及清单一并附于货物内，属于验收条件，如不齐全的，乙方有权不予验收。</w:t>
      </w:r>
    </w:p>
    <w:p w14:paraId="6C8C6465">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3.乙方在货物发运手续办理完毕后二十四小时内或者货到甲方四十八小时前通知甲方，以准备接货。</w:t>
      </w:r>
    </w:p>
    <w:p w14:paraId="7DA0FA4B">
      <w:pPr>
        <w:pStyle w:val="9"/>
        <w:pageBreakBefore w:val="0"/>
        <w:kinsoku/>
        <w:wordWrap/>
        <w:overflowPunct/>
        <w:topLinePunct w:val="0"/>
        <w:autoSpaceDE/>
        <w:autoSpaceDN/>
        <w:bidi w:val="0"/>
        <w:snapToGrid w:val="0"/>
        <w:spacing w:line="400" w:lineRule="exact"/>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4.货物在交付甲方前发生的风险均由乙方负责。</w:t>
      </w:r>
    </w:p>
    <w:p w14:paraId="6729B883">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5.货物在规定的交付期限内由乙方送达甲方指定的地点视为交付，乙方同时需通知甲方货物已送达。</w:t>
      </w:r>
    </w:p>
    <w:p w14:paraId="54952DEA">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第十三条 违约责任</w:t>
      </w:r>
    </w:p>
    <w:p w14:paraId="0F128AB7">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所提供的产品名称、商标品牌、生产厂家、规格型号、技术参数等质量不合格的，应及时更换，因此导致逾期交货的，应承担逾期交货的违约责任；因质量问题甲方不同意接收的或者特殊情况甲方同意接收的，乙方应向甲方支付违约货款额 5%违约金并赔偿甲方经济损失。</w:t>
      </w:r>
    </w:p>
    <w:p w14:paraId="3C39CB1E">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2.乙方提供的货物如侵犯了第三方合法权益而引发的任何纠纷或者诉讼，均由乙方负责交涉并承担全部责任，甲方有权解除合同，乙方须全额退还甲方已支付的所有费用并承担相当于合同总价款30%的违约金。</w:t>
      </w:r>
    </w:p>
    <w:p w14:paraId="706220A3">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3.因包装、运输引起的货物损坏，按质量不合格处罚。</w:t>
      </w:r>
    </w:p>
    <w:p w14:paraId="3E8BEC4E">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4.甲方无故延期接收货物、乙方逾期交货的，每天向对方偿付违约货款额3‰违约金，但违约金累计不得超过违约货款额5%，超过</w:t>
      </w:r>
      <w:r>
        <w:rPr>
          <w:rFonts w:hint="eastAsia" w:asciiTheme="minorEastAsia" w:hAnsiTheme="minorEastAsia" w:eastAsiaTheme="minorEastAsia" w:cstheme="minorEastAsia"/>
          <w:sz w:val="24"/>
          <w:szCs w:val="24"/>
          <w:u w:val="single"/>
        </w:rPr>
        <w:t xml:space="preserve">  15 </w:t>
      </w:r>
      <w:r>
        <w:rPr>
          <w:rFonts w:hint="eastAsia" w:asciiTheme="minorEastAsia" w:hAnsiTheme="minorEastAsia" w:eastAsiaTheme="minorEastAsia" w:cstheme="minorEastAsia"/>
          <w:sz w:val="24"/>
          <w:szCs w:val="24"/>
        </w:rPr>
        <w:t>天对方有权解除合同，违约方承担因此给对方造成经济损失；甲方延期付货款的，每天向乙方偿付延期货款额3‰滞纳金，但滞纳金累计不得超过延期货款额5%。甲方无故延期退付履约保证金的，每天向对方偿付未退付履约保证金3‰的违约金。</w:t>
      </w:r>
    </w:p>
    <w:p w14:paraId="36812852">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5.乙方未按本合同和投标文件中规定的服务承诺提供售后服务的，每次乙方应按本合同合计金额 5%向甲方支付违约金。</w:t>
      </w:r>
    </w:p>
    <w:p w14:paraId="74C57CB5">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6.乙方提供的货物在质量保证期内，因设计、工艺或者材料的缺陷和其它质量原因造成的问题，由乙方负责，费用从余款或者履约保证金中扣除，不足另补。</w:t>
      </w:r>
    </w:p>
    <w:p w14:paraId="723A1E4C">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7.甲乙双方有其它违约行为的，由违约方向对方支付违约内容涉及货款额的5%，违约内容涉及货款额的5%不足以赔偿经济损失的按实际赔偿。</w:t>
      </w:r>
    </w:p>
    <w:p w14:paraId="75BC6CCB">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于投标文件中必须对所有产品的技术参数要求作出真实、有效的响应和承诺。所提供的产品必须为原装正品的、全新的、符合国家有关质量标准的产品。验收前，甲方现场根据竞争性谈判文件要求及投标文件承诺对各项参数逐条对应进行核验，核验或检测数据不符合甲方要求及投标文件承诺的指标的，甲方有权终止合同执行并全部退货，由此造成甲方经济损失的由成交供应商负责承担全部赔偿责任并向甲方支付合同金额的30%违约赔偿金。如有异议，将交由国家认可并具有检验检测资质的第三方机构进行检验，若核验结果的各项参数指标不满足甲方要求及投标文件承诺的指标要求，所有产生的费用由成交供应商承担，并承担政府采购虚假竞标的相关法律责任。</w:t>
      </w:r>
    </w:p>
    <w:p w14:paraId="3DF969D7">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 如乙方（厂商）存在配合相关部门调查商业贿赂等违法行为的情况，甲方（医院）可暂缓付款，一经查实乙方存在对甲方员工进行商业贿赂等违法行为的，乙方须向甲方支付合同总价款40%的违约金作为处罚，甲方有权从应支付给乙方的款项中予以直接扣减。</w:t>
      </w:r>
    </w:p>
    <w:p w14:paraId="1900ED0F">
      <w:pPr>
        <w:pStyle w:val="9"/>
        <w:pageBreakBefore w:val="0"/>
        <w:kinsoku/>
        <w:wordWrap/>
        <w:overflowPunct/>
        <w:topLinePunct w:val="0"/>
        <w:autoSpaceDE/>
        <w:autoSpaceDN/>
        <w:bidi w:val="0"/>
        <w:snapToGrid w:val="0"/>
        <w:spacing w:line="400" w:lineRule="exact"/>
        <w:ind w:firstLine="472" w:firstLineChars="196"/>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第十四条  不可抗力事件处理</w:t>
      </w:r>
    </w:p>
    <w:p w14:paraId="32A31983">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1.在合同有效期内，任何一方因不可抗力事件导致不能履行合同，则合同履行期可延长，其延长期与不可抗力影响期相同。</w:t>
      </w:r>
    </w:p>
    <w:p w14:paraId="561BA236">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2.不可抗力事件发生后，应立即通知对方，并寄送有关权威机构出具的证明。</w:t>
      </w:r>
    </w:p>
    <w:p w14:paraId="2E5EA955">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3.不可抗力事件延续一百二十天以上，双方应通过友好协商，确定是否继续履行合同。</w:t>
      </w:r>
    </w:p>
    <w:p w14:paraId="3AED9822">
      <w:pPr>
        <w:pageBreakBefore w:val="0"/>
        <w:kinsoku/>
        <w:wordWrap/>
        <w:overflowPunct/>
        <w:topLinePunct w:val="0"/>
        <w:autoSpaceDE/>
        <w:autoSpaceDN/>
        <w:bidi w:val="0"/>
        <w:snapToGrid w:val="0"/>
        <w:spacing w:line="400" w:lineRule="exact"/>
        <w:ind w:firstLine="482" w:firstLineChars="200"/>
        <w:outlineLvl w:val="1"/>
        <w:rPr>
          <w:rFonts w:asciiTheme="minorEastAsia" w:hAnsiTheme="minorEastAsia" w:eastAsiaTheme="minorEastAsia" w:cstheme="minorEastAsia"/>
          <w:sz w:val="24"/>
        </w:rPr>
      </w:pPr>
      <w:r>
        <w:rPr>
          <w:rFonts w:hint="eastAsia" w:asciiTheme="minorEastAsia" w:hAnsiTheme="minorEastAsia" w:eastAsiaTheme="minorEastAsia" w:cstheme="minorEastAsia"/>
          <w:b/>
          <w:bCs/>
          <w:sz w:val="24"/>
        </w:rPr>
        <w:t>第十五条  合同争议解决</w:t>
      </w:r>
    </w:p>
    <w:p w14:paraId="6EAFF53F">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1.因货物质量问题发生争议的，应邀请国家认可的质量检测机构对货物质量进行鉴定。货物符合标准的，鉴定费由甲方承担；货物不符合标准的，鉴定费由乙方承担。</w:t>
      </w:r>
    </w:p>
    <w:p w14:paraId="56C23C8D">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2.因履行本合同引起的或者与本合同有关的争议，甲乙双方应首先通过友好协商解决，如果协商不能解决，</w:t>
      </w:r>
      <w:r>
        <w:rPr>
          <w:rFonts w:hint="eastAsia" w:asciiTheme="minorEastAsia" w:hAnsiTheme="minorEastAsia" w:eastAsiaTheme="minorEastAsia" w:cstheme="minorEastAsia"/>
          <w:bCs/>
          <w:sz w:val="24"/>
        </w:rPr>
        <w:t>任何一方均可</w:t>
      </w:r>
      <w:r>
        <w:rPr>
          <w:rFonts w:hint="eastAsia" w:asciiTheme="minorEastAsia" w:hAnsiTheme="minorEastAsia" w:eastAsiaTheme="minorEastAsia" w:cstheme="minorEastAsia"/>
          <w:sz w:val="24"/>
        </w:rPr>
        <w:t>向甲方所在地人民法院提起诉讼。</w:t>
      </w:r>
    </w:p>
    <w:p w14:paraId="7196BF89">
      <w:pPr>
        <w:pageBreakBefore w:val="0"/>
        <w:kinsoku/>
        <w:wordWrap/>
        <w:overflowPunct/>
        <w:topLinePunct w:val="0"/>
        <w:autoSpaceDE/>
        <w:autoSpaceDN/>
        <w:bidi w:val="0"/>
        <w:snapToGrid w:val="0"/>
        <w:spacing w:line="400" w:lineRule="exact"/>
        <w:ind w:left="-61" w:firstLine="514"/>
        <w:outlineLvl w:val="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3.诉讼期间，本合同继续履行。</w:t>
      </w:r>
    </w:p>
    <w:p w14:paraId="36AEA464">
      <w:pPr>
        <w:pStyle w:val="6"/>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甲、乙双方确定本合同所载地址为联系相对方、送达相关文件的唯一固定通讯地址，一方向另一方送达法律文书，出现地址不详、地址错误、查无此人、查无此地址、另一方拒签收、他人代收、其他无法送达的情形均视为相关文件从邮寄之日已经送达另一方。若一方通讯地址发生变化，应在发生变化当日内书面告知另一方，否则，造成的一切责任由违约方负责。</w:t>
      </w:r>
    </w:p>
    <w:p w14:paraId="5CBC7A7B">
      <w:pPr>
        <w:pStyle w:val="9"/>
        <w:pageBreakBefore w:val="0"/>
        <w:kinsoku/>
        <w:wordWrap/>
        <w:overflowPunct/>
        <w:topLinePunct w:val="0"/>
        <w:autoSpaceDE/>
        <w:autoSpaceDN/>
        <w:bidi w:val="0"/>
        <w:snapToGrid w:val="0"/>
        <w:spacing w:line="400" w:lineRule="exact"/>
        <w:ind w:firstLine="472" w:firstLineChars="196"/>
        <w:outlineLvl w:val="1"/>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第十六条  合同生效及其它</w:t>
      </w:r>
    </w:p>
    <w:p w14:paraId="553DF7FB">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合同经双方法定代表人或者委托代理人签字并加盖单位公章后生效。</w:t>
      </w:r>
    </w:p>
    <w:p w14:paraId="7026408E">
      <w:pPr>
        <w:pStyle w:val="9"/>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2.合同执行中涉及采购资金和采购内容修改或者补充的，须签书面补充协议，方可作为主合同不可分割的一部分。</w:t>
      </w:r>
    </w:p>
    <w:p w14:paraId="4E47A0D9">
      <w:pPr>
        <w:pStyle w:val="9"/>
        <w:pageBreakBefore w:val="0"/>
        <w:kinsoku/>
        <w:wordWrap/>
        <w:overflowPunct/>
        <w:topLinePunct w:val="0"/>
        <w:autoSpaceDE/>
        <w:autoSpaceDN/>
        <w:bidi w:val="0"/>
        <w:snapToGrid w:val="0"/>
        <w:spacing w:line="400" w:lineRule="exact"/>
        <w:ind w:left="283" w:leftChars="135" w:firstLine="14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3.本合同未尽事宜，遵照《中华人民共和国民法典》有关条文执行。</w:t>
      </w:r>
    </w:p>
    <w:p w14:paraId="53CB439F">
      <w:pPr>
        <w:pageBreakBefore w:val="0"/>
        <w:kinsoku/>
        <w:wordWrap/>
        <w:overflowPunct/>
        <w:topLinePunct w:val="0"/>
        <w:autoSpaceDE/>
        <w:autoSpaceDN/>
        <w:bidi w:val="0"/>
        <w:snapToGrid w:val="0"/>
        <w:spacing w:line="40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 xml:space="preserve">第十七条 </w:t>
      </w:r>
    </w:p>
    <w:p w14:paraId="63595F93">
      <w:pPr>
        <w:pageBreakBefore w:val="0"/>
        <w:kinsoku/>
        <w:wordWrap/>
        <w:overflowPunct/>
        <w:topLinePunct w:val="0"/>
        <w:autoSpaceDE/>
        <w:autoSpaceDN/>
        <w:bidi w:val="0"/>
        <w:snapToGrid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本合同一式伍份，具有同等法律效力，甲方持叁份，乙方持贰份。</w:t>
      </w:r>
    </w:p>
    <w:p w14:paraId="1E5F8691">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甲方： 桂林市人民医院                        乙方 ： </w:t>
      </w:r>
    </w:p>
    <w:p w14:paraId="5B7CA6DF">
      <w:pPr>
        <w:pageBreakBefore w:val="0"/>
        <w:kinsoku/>
        <w:wordWrap/>
        <w:overflowPunct/>
        <w:topLinePunct w:val="0"/>
        <w:autoSpaceDE/>
        <w:autoSpaceDN/>
        <w:bidi w:val="0"/>
        <w:spacing w:line="400" w:lineRule="exact"/>
        <w:ind w:right="-512" w:rightChars="-244"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统一社会信用代码：12450300498668197M         统一社会信用代码： </w:t>
      </w:r>
    </w:p>
    <w:p w14:paraId="27174AC2">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                                 法定代表人：</w:t>
      </w:r>
    </w:p>
    <w:p w14:paraId="4E6DE98E">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委托代理人：                                 委托代理人：</w:t>
      </w:r>
    </w:p>
    <w:p w14:paraId="2E358595">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通讯地址： 桂林市文明路6号                  通讯地址：  </w:t>
      </w:r>
    </w:p>
    <w:p w14:paraId="5FE89451">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电  话：0773-2826013                         电   话： </w:t>
      </w:r>
    </w:p>
    <w:p w14:paraId="58D50AD3">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联系人：                                     联系人：</w:t>
      </w:r>
    </w:p>
    <w:p w14:paraId="391346F0">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 桂林市人民医院                    开户名称：</w:t>
      </w:r>
    </w:p>
    <w:p w14:paraId="21B54B13">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开户银行：  桂林银行文明路支行               开户银行： </w:t>
      </w:r>
    </w:p>
    <w:p w14:paraId="5224B67F">
      <w:pPr>
        <w:pageBreakBefore w:val="0"/>
        <w:kinsoku/>
        <w:wordWrap/>
        <w:overflowPunct/>
        <w:topLinePunct w:val="0"/>
        <w:autoSpaceDE/>
        <w:autoSpaceDN/>
        <w:bidi w:val="0"/>
        <w:spacing w:line="400" w:lineRule="exact"/>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银行账号：  660012017474300020               银行账号：</w:t>
      </w:r>
    </w:p>
    <w:p w14:paraId="29B03449">
      <w:pPr>
        <w:pageBreakBefore w:val="0"/>
        <w:kinsoku/>
        <w:wordWrap/>
        <w:overflowPunct/>
        <w:topLinePunct w:val="0"/>
        <w:autoSpaceDE/>
        <w:autoSpaceDN/>
        <w:bidi w:val="0"/>
        <w:spacing w:line="400" w:lineRule="exact"/>
        <w:ind w:firstLine="480" w:firstLineChars="200"/>
        <w:rPr>
          <w:rFonts w:ascii="宋体" w:hAnsi="宋体"/>
          <w:b/>
          <w:sz w:val="24"/>
        </w:rPr>
      </w:pPr>
      <w:r>
        <w:rPr>
          <w:rFonts w:hint="eastAsia" w:ascii="宋体" w:hAnsi="宋体"/>
          <w:sz w:val="24"/>
        </w:rPr>
        <w:t>签字日期：2025年    月    日              签字日期：2025年     月     日</w:t>
      </w:r>
    </w:p>
    <w:p w14:paraId="47A54D7F">
      <w:pPr>
        <w:pStyle w:val="2"/>
        <w:pageBreakBefore w:val="0"/>
        <w:kinsoku/>
        <w:wordWrap/>
        <w:overflowPunct/>
        <w:topLinePunct w:val="0"/>
        <w:autoSpaceDE/>
        <w:autoSpaceDN/>
        <w:bidi w:val="0"/>
        <w:spacing w:line="400" w:lineRule="exact"/>
        <w:ind w:left="0" w:firstLine="3148" w:firstLineChars="1100"/>
        <w:rPr>
          <w:w w:val="95"/>
          <w:sz w:val="30"/>
          <w:szCs w:val="30"/>
        </w:rPr>
      </w:pPr>
    </w:p>
    <w:p w14:paraId="4696E0F7">
      <w:pPr>
        <w:pStyle w:val="2"/>
        <w:pageBreakBefore w:val="0"/>
        <w:kinsoku/>
        <w:wordWrap/>
        <w:overflowPunct/>
        <w:topLinePunct w:val="0"/>
        <w:autoSpaceDE/>
        <w:autoSpaceDN/>
        <w:bidi w:val="0"/>
        <w:spacing w:line="400" w:lineRule="exact"/>
        <w:ind w:left="0" w:firstLine="3148" w:firstLineChars="1100"/>
      </w:pPr>
      <w:r>
        <w:rPr>
          <w:rFonts w:hint="eastAsia"/>
          <w:w w:val="95"/>
          <w:sz w:val="30"/>
          <w:szCs w:val="30"/>
        </w:rPr>
        <w:t>第三章  评标办法</w:t>
      </w:r>
    </w:p>
    <w:p w14:paraId="0C45CE07">
      <w:pPr>
        <w:pageBreakBefore w:val="0"/>
        <w:kinsoku/>
        <w:wordWrap/>
        <w:overflowPunct/>
        <w:topLinePunct w:val="0"/>
        <w:autoSpaceDE/>
        <w:autoSpaceDN/>
        <w:bidi w:val="0"/>
        <w:spacing w:line="400" w:lineRule="exact"/>
        <w:rPr>
          <w:rFonts w:asciiTheme="minorEastAsia" w:hAnsiTheme="minorEastAsia" w:eastAsiaTheme="minorEastAsia" w:cstheme="minorEastAsia"/>
          <w:b/>
          <w:bCs/>
          <w:color w:val="000000"/>
          <w:kern w:val="21"/>
          <w:szCs w:val="21"/>
        </w:rPr>
      </w:pPr>
      <w:r>
        <w:rPr>
          <w:rFonts w:hint="eastAsia" w:asciiTheme="minorEastAsia" w:hAnsiTheme="minorEastAsia" w:eastAsiaTheme="minorEastAsia" w:cstheme="minorEastAsia"/>
          <w:b/>
          <w:bCs/>
          <w:color w:val="000000"/>
          <w:kern w:val="21"/>
          <w:szCs w:val="21"/>
        </w:rPr>
        <w:t>1.价格分………………………………………………………</w:t>
      </w:r>
      <w:r>
        <w:rPr>
          <w:rFonts w:hint="eastAsia" w:asciiTheme="minorEastAsia" w:hAnsiTheme="minorEastAsia" w:eastAsiaTheme="minorEastAsia" w:cstheme="minorEastAsia"/>
          <w:b/>
          <w:bCs/>
          <w:color w:val="000000"/>
          <w:szCs w:val="21"/>
        </w:rPr>
        <w:t>……</w:t>
      </w:r>
      <w:r>
        <w:rPr>
          <w:rFonts w:hint="eastAsia" w:asciiTheme="minorEastAsia" w:hAnsiTheme="minorEastAsia" w:eastAsiaTheme="minorEastAsia" w:cstheme="minorEastAsia"/>
          <w:b/>
          <w:bCs/>
          <w:color w:val="000000"/>
          <w:kern w:val="21"/>
          <w:szCs w:val="21"/>
        </w:rPr>
        <w:t>…………………</w:t>
      </w:r>
      <w:r>
        <w:rPr>
          <w:rFonts w:hint="eastAsia" w:asciiTheme="minorEastAsia" w:hAnsiTheme="minorEastAsia" w:eastAsiaTheme="minorEastAsia" w:cstheme="minorEastAsia"/>
          <w:b/>
          <w:color w:val="000000"/>
          <w:szCs w:val="21"/>
        </w:rPr>
        <w:t>满分</w:t>
      </w:r>
      <w:r>
        <w:rPr>
          <w:rFonts w:hint="eastAsia" w:asciiTheme="minorEastAsia" w:hAnsiTheme="minorEastAsia" w:eastAsiaTheme="minorEastAsia" w:cstheme="minorEastAsia"/>
          <w:b/>
          <w:bCs/>
          <w:color w:val="000000"/>
          <w:kern w:val="21"/>
          <w:szCs w:val="21"/>
        </w:rPr>
        <w:t>50分</w:t>
      </w:r>
    </w:p>
    <w:p w14:paraId="397F3A51">
      <w:pPr>
        <w:pageBreakBefore w:val="0"/>
        <w:widowControl/>
        <w:kinsoku/>
        <w:wordWrap/>
        <w:overflowPunct/>
        <w:topLinePunct w:val="0"/>
        <w:autoSpaceDE/>
        <w:autoSpaceDN/>
        <w:bidi w:val="0"/>
        <w:spacing w:line="400" w:lineRule="exact"/>
        <w:jc w:val="left"/>
        <w:rPr>
          <w:rFonts w:asciiTheme="minorEastAsia" w:hAnsiTheme="minorEastAsia" w:eastAsiaTheme="minorEastAsia" w:cstheme="minorEastAsia"/>
          <w:color w:val="000000"/>
          <w:szCs w:val="21"/>
          <w:lang w:bidi="ar"/>
        </w:rPr>
      </w:pPr>
      <w:bookmarkStart w:id="1" w:name="_Toc27783"/>
      <w:r>
        <w:rPr>
          <w:rFonts w:hint="eastAsia" w:asciiTheme="minorEastAsia" w:hAnsiTheme="minorEastAsia" w:eastAsiaTheme="minorEastAsia" w:cstheme="minorEastAsia"/>
          <w:color w:val="000000"/>
          <w:szCs w:val="21"/>
          <w:lang w:bidi="ar"/>
        </w:rPr>
        <w:t>满足招标文件全部技术要求且投标报价最低的投标报价为评标基准价，其价格分为满分。其他投标人的价格分统一按照下列公式计算：</w:t>
      </w:r>
    </w:p>
    <w:p w14:paraId="327AF4CB">
      <w:pPr>
        <w:pageBreakBefore w:val="0"/>
        <w:widowControl/>
        <w:kinsoku/>
        <w:wordWrap/>
        <w:overflowPunct/>
        <w:topLinePunct w:val="0"/>
        <w:autoSpaceDE/>
        <w:autoSpaceDN/>
        <w:bidi w:val="0"/>
        <w:spacing w:line="400" w:lineRule="exact"/>
        <w:jc w:val="left"/>
        <w:rPr>
          <w:rFonts w:asciiTheme="minorEastAsia" w:hAnsiTheme="minorEastAsia" w:eastAsiaTheme="minorEastAsia" w:cstheme="minorEastAsia"/>
          <w:color w:val="000000"/>
          <w:szCs w:val="21"/>
          <w:lang w:bidi="ar"/>
        </w:rPr>
      </w:pPr>
      <w:r>
        <w:rPr>
          <w:rFonts w:hint="eastAsia" w:asciiTheme="minorEastAsia" w:hAnsiTheme="minorEastAsia" w:eastAsiaTheme="minorEastAsia" w:cstheme="minorEastAsia"/>
          <w:color w:val="000000"/>
          <w:szCs w:val="21"/>
          <w:lang w:bidi="ar"/>
        </w:rPr>
        <w:t>投标报价得分=（评标基准价/投标报价）×50分。</w:t>
      </w:r>
    </w:p>
    <w:p w14:paraId="78752954">
      <w:pPr>
        <w:pageBreakBefore w:val="0"/>
        <w:kinsoku/>
        <w:wordWrap/>
        <w:overflowPunct/>
        <w:topLinePunct w:val="0"/>
        <w:autoSpaceDE/>
        <w:autoSpaceDN/>
        <w:bidi w:val="0"/>
        <w:spacing w:line="400" w:lineRule="exact"/>
        <w:outlineLvl w:val="2"/>
        <w:rPr>
          <w:rFonts w:asciiTheme="minorEastAsia" w:hAnsiTheme="minorEastAsia" w:eastAsiaTheme="minorEastAsia" w:cstheme="minorEastAsia"/>
          <w:color w:val="000000"/>
          <w:szCs w:val="21"/>
          <w:lang w:bidi="ar"/>
        </w:rPr>
      </w:pPr>
      <w:r>
        <w:rPr>
          <w:rFonts w:hint="eastAsia" w:asciiTheme="minorEastAsia" w:hAnsiTheme="minorEastAsia" w:eastAsiaTheme="minorEastAsia" w:cstheme="minorEastAsia"/>
          <w:color w:val="000000"/>
          <w:szCs w:val="21"/>
          <w:lang w:bidi="ar"/>
        </w:rPr>
        <w:t>备注：本项目满足应用需求为主不保证低价中标。</w:t>
      </w:r>
    </w:p>
    <w:bookmarkEnd w:id="1"/>
    <w:p w14:paraId="6B14A89A">
      <w:pPr>
        <w:pageBreakBefore w:val="0"/>
        <w:kinsoku/>
        <w:wordWrap/>
        <w:overflowPunct/>
        <w:topLinePunct w:val="0"/>
        <w:autoSpaceDE/>
        <w:autoSpaceDN/>
        <w:bidi w:val="0"/>
        <w:spacing w:line="400" w:lineRule="exact"/>
        <w:outlineLvl w:val="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2、项目实施分………………………………………………………………………………满分18分</w:t>
      </w:r>
    </w:p>
    <w:p w14:paraId="31D12D21">
      <w:pPr>
        <w:pageBreakBefore w:val="0"/>
        <w:kinsoku/>
        <w:wordWrap/>
        <w:overflowPunct/>
        <w:topLinePunct w:val="0"/>
        <w:autoSpaceDE/>
        <w:autoSpaceDN/>
        <w:bidi w:val="0"/>
        <w:spacing w:before="76" w:line="400" w:lineRule="exact"/>
        <w:ind w:left="6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（1）存储扩容实施方案分（满分6分）</w:t>
      </w:r>
      <w:r>
        <w:rPr>
          <w:rFonts w:hint="eastAsia" w:asciiTheme="minorEastAsia" w:hAnsiTheme="minorEastAsia" w:eastAsiaTheme="minorEastAsia" w:cstheme="minorEastAsia"/>
          <w:b/>
          <w:w w:val="99"/>
          <w:szCs w:val="21"/>
        </w:rPr>
        <w:t xml:space="preserve"> </w:t>
      </w:r>
    </w:p>
    <w:p w14:paraId="14BA2BA4">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根据供应商提供存储扩容项目实施方案（包括需求分析、存储扩容技术实施流程、服务支持、服务提供、突发事件处理、应急处理等）进行评价和对比。</w:t>
      </w:r>
    </w:p>
    <w:p w14:paraId="6346C93F">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一档（0分）：未提供存储扩容项目实施方案或提供的技术实施方案缺项；</w:t>
      </w:r>
    </w:p>
    <w:p w14:paraId="1C5E15E2">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二档（3分）：提供的存储扩容项目实施方案内容齐全不缺项的得3分；</w:t>
      </w:r>
    </w:p>
    <w:p w14:paraId="5E64EA49">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三档（6分）：提供的存储扩容项目实施方案内容齐全，描述比较详细得6分；</w:t>
      </w:r>
    </w:p>
    <w:p w14:paraId="05C33ECA">
      <w:pPr>
        <w:pageBreakBefore w:val="0"/>
        <w:kinsoku/>
        <w:wordWrap/>
        <w:overflowPunct/>
        <w:topLinePunct w:val="0"/>
        <w:autoSpaceDE/>
        <w:autoSpaceDN/>
        <w:bidi w:val="0"/>
        <w:spacing w:line="400" w:lineRule="exact"/>
        <w:ind w:left="647"/>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
          <w:bCs/>
          <w:szCs w:val="21"/>
        </w:rPr>
        <w:t>存储扩容项目</w:t>
      </w:r>
      <w:r>
        <w:rPr>
          <w:rFonts w:hint="eastAsia" w:asciiTheme="minorEastAsia" w:hAnsiTheme="minorEastAsia" w:eastAsiaTheme="minorEastAsia" w:cstheme="minorEastAsia"/>
          <w:b/>
          <w:szCs w:val="21"/>
        </w:rPr>
        <w:t xml:space="preserve">技术人员配备方案（满分 12分） </w:t>
      </w:r>
    </w:p>
    <w:p w14:paraId="7A12A732">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根据供应商提供项目存储扩容项目技术人员配备方案进行评价和对比。</w:t>
      </w:r>
    </w:p>
    <w:p w14:paraId="2009BBF6">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一档（0分）：未提供存储扩容项目技术人员方案缺项；</w:t>
      </w:r>
    </w:p>
    <w:p w14:paraId="0F6B33FD">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档（3分）：提供的存储扩容项目技术人员方案内容齐全不缺项的、拟投入本项目的技术服务人员≤4人（且提供供应商截止投标之日起半年内1个月的社保证明为准），且具有计算机相关专业专科及以上学历人得3分；</w:t>
      </w:r>
    </w:p>
    <w:p w14:paraId="4B6057B7">
      <w:pPr>
        <w:pStyle w:val="5"/>
        <w:pageBreakBefore w:val="0"/>
        <w:kinsoku/>
        <w:wordWrap/>
        <w:overflowPunct/>
        <w:topLinePunct w:val="0"/>
        <w:autoSpaceDE/>
        <w:autoSpaceDN/>
        <w:bidi w:val="0"/>
        <w:spacing w:line="400" w:lineRule="exac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三档（7分）：提供的存储扩容项目技术人员方案内容齐全，拟投入本项目的技术服务人员</w:t>
      </w:r>
      <w:r>
        <w:rPr>
          <w:rFonts w:hint="eastAsia"/>
        </w:rPr>
        <w:t>＞4人且≤1</w:t>
      </w:r>
      <w:r>
        <w:t>2</w:t>
      </w:r>
      <w:r>
        <w:rPr>
          <w:rFonts w:hint="eastAsia"/>
        </w:rPr>
        <w:t>人</w:t>
      </w:r>
      <w:r>
        <w:rPr>
          <w:rFonts w:hint="eastAsia" w:asciiTheme="minorEastAsia" w:hAnsiTheme="minorEastAsia" w:eastAsiaTheme="minorEastAsia" w:cstheme="minorEastAsia"/>
          <w:sz w:val="21"/>
          <w:szCs w:val="21"/>
        </w:rPr>
        <w:t>（且提供供应商截止投标之日起半年内1个月的社保证明为准），</w:t>
      </w:r>
      <w:bookmarkStart w:id="2" w:name="OLE_LINK2"/>
      <w:r>
        <w:rPr>
          <w:rFonts w:hint="eastAsia" w:asciiTheme="minorEastAsia" w:hAnsiTheme="minorEastAsia" w:eastAsiaTheme="minorEastAsia" w:cstheme="minorEastAsia"/>
          <w:sz w:val="21"/>
          <w:szCs w:val="21"/>
        </w:rPr>
        <w:t>且具有存储扩容相关</w:t>
      </w:r>
      <w:r>
        <w:rPr>
          <w:rFonts w:hint="eastAsia" w:asciiTheme="minorEastAsia" w:hAnsiTheme="minorEastAsia" w:eastAsiaTheme="minorEastAsia" w:cstheme="minorEastAsia"/>
          <w:sz w:val="21"/>
          <w:szCs w:val="21"/>
          <w:lang w:val="en-US" w:eastAsia="zh-CN"/>
        </w:rPr>
        <w:t>厂商（不限厂商）的</w:t>
      </w:r>
      <w:bookmarkEnd w:id="2"/>
      <w:r>
        <w:rPr>
          <w:rFonts w:hint="eastAsia" w:asciiTheme="minorEastAsia" w:hAnsiTheme="minorEastAsia" w:eastAsiaTheme="minorEastAsia" w:cstheme="minorEastAsia"/>
          <w:sz w:val="21"/>
          <w:szCs w:val="21"/>
        </w:rPr>
        <w:t>存储、交换机等产品的HCIP、HCIA、HCIE、安全服务T1工程师不少于4人认证的得7分；</w:t>
      </w:r>
    </w:p>
    <w:p w14:paraId="55EEA4F0">
      <w:pPr>
        <w:pStyle w:val="9"/>
        <w:pageBreakBefore w:val="0"/>
        <w:kinsoku/>
        <w:wordWrap/>
        <w:overflowPunct/>
        <w:topLinePunct w:val="0"/>
        <w:autoSpaceDE/>
        <w:autoSpaceDN/>
        <w:bidi w:val="0"/>
        <w:adjustRightInd w:val="0"/>
        <w:spacing w:line="400" w:lineRule="exact"/>
        <w:ind w:firstLine="420" w:firstLineChars="200"/>
        <w:contextualSpacing/>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四档（12分）：提供的存储扩容项目技术人员方案内容齐全，描述详细的，拟投入本项目的技术服务人员</w:t>
      </w:r>
      <w:r>
        <w:rPr>
          <w:rFonts w:hint="eastAsia"/>
        </w:rPr>
        <w:t>＞</w:t>
      </w:r>
      <w:r>
        <w:rPr>
          <w:rFonts w:hint="eastAsia"/>
          <w:lang w:val="en-US" w:eastAsia="zh-CN"/>
        </w:rPr>
        <w:t>12</w:t>
      </w:r>
      <w:r>
        <w:rPr>
          <w:rFonts w:hint="eastAsia"/>
        </w:rPr>
        <w:t>人</w:t>
      </w:r>
      <w:r>
        <w:rPr>
          <w:rFonts w:hint="eastAsia"/>
          <w:lang w:val="en-US" w:eastAsia="zh-CN"/>
        </w:rPr>
        <w:t>以上</w:t>
      </w:r>
      <w:r>
        <w:rPr>
          <w:rFonts w:hint="eastAsia" w:asciiTheme="minorEastAsia" w:hAnsiTheme="minorEastAsia" w:eastAsiaTheme="minorEastAsia" w:cstheme="minorEastAsia"/>
          <w:sz w:val="21"/>
          <w:szCs w:val="21"/>
        </w:rPr>
        <w:t>（且提供供应商截止投标之日起半年内1个月的社保证明为准），且具有存储扩容相关</w:t>
      </w:r>
      <w:r>
        <w:rPr>
          <w:rFonts w:hint="eastAsia" w:asciiTheme="minorEastAsia" w:hAnsiTheme="minorEastAsia" w:eastAsiaTheme="minorEastAsia" w:cstheme="minorEastAsia"/>
          <w:sz w:val="21"/>
          <w:szCs w:val="21"/>
          <w:lang w:val="en-US" w:eastAsia="zh-CN"/>
        </w:rPr>
        <w:t>厂商（不限厂商）的</w:t>
      </w:r>
      <w:r>
        <w:rPr>
          <w:rFonts w:hint="eastAsia" w:asciiTheme="minorEastAsia" w:hAnsiTheme="minorEastAsia" w:eastAsiaTheme="minorEastAsia" w:cstheme="minorEastAsia"/>
          <w:sz w:val="21"/>
          <w:szCs w:val="21"/>
        </w:rPr>
        <w:t>存储、交换机等产品的HCIP、HCIA、HCIE、安全服务T1工程师不少于6人认证的得12分。</w:t>
      </w:r>
    </w:p>
    <w:p w14:paraId="145D3711">
      <w:pPr>
        <w:pageBreakBefore w:val="0"/>
        <w:kinsoku/>
        <w:wordWrap/>
        <w:overflowPunct/>
        <w:topLinePunct w:val="0"/>
        <w:autoSpaceDE/>
        <w:autoSpaceDN/>
        <w:bidi w:val="0"/>
        <w:spacing w:line="400" w:lineRule="exact"/>
        <w:ind w:firstLine="413" w:firstLineChars="196"/>
        <w:outlineLvl w:val="2"/>
        <w:rPr>
          <w:rFonts w:asciiTheme="minorEastAsia" w:hAnsiTheme="minorEastAsia" w:eastAsiaTheme="minorEastAsia" w:cstheme="minorEastAsia"/>
          <w:b/>
          <w:szCs w:val="21"/>
        </w:rPr>
      </w:pPr>
      <w:bookmarkStart w:id="3" w:name="_Toc19145"/>
      <w:r>
        <w:rPr>
          <w:rFonts w:hint="eastAsia" w:asciiTheme="minorEastAsia" w:hAnsiTheme="minorEastAsia" w:eastAsiaTheme="minorEastAsia" w:cstheme="minorEastAsia"/>
          <w:b/>
          <w:szCs w:val="21"/>
        </w:rPr>
        <w:t>3、履约能力分………………………………………………………………………………28分</w:t>
      </w:r>
      <w:bookmarkEnd w:id="3"/>
    </w:p>
    <w:p w14:paraId="31D3DC1C">
      <w:pPr>
        <w:pageBreakBefore w:val="0"/>
        <w:kinsoku/>
        <w:wordWrap/>
        <w:overflowPunct/>
        <w:topLinePunct w:val="0"/>
        <w:autoSpaceDE/>
        <w:autoSpaceDN/>
        <w:bidi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①项目实施人员中具有“信息系统运行维护工程师”资格证书的，每有1人得2分，满分8分；以提供培训成绩合格证书复印件且提供供应商截止投标之日起半年内1个月的社保证明为准；</w:t>
      </w:r>
    </w:p>
    <w:p w14:paraId="0040C5D2">
      <w:pPr>
        <w:pageBreakBefore w:val="0"/>
        <w:kinsoku/>
        <w:wordWrap/>
        <w:overflowPunct/>
        <w:topLinePunct w:val="0"/>
        <w:autoSpaceDE/>
        <w:autoSpaceDN/>
        <w:bidi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②项目实施人员中具有中级职称的（计算机存储类、网络工程类、信息安全、软件等计算机相关专业），每有1人得2分，满分6分；以提供的职称资格证书复印件且提供供应商截止投标之日起半年内1个月的社保证明为准；</w:t>
      </w:r>
    </w:p>
    <w:p w14:paraId="0EC56DB6">
      <w:pPr>
        <w:pageBreakBefore w:val="0"/>
        <w:kinsoku/>
        <w:wordWrap/>
        <w:overflowPunct/>
        <w:topLinePunct w:val="0"/>
        <w:autoSpaceDE/>
        <w:autoSpaceDN/>
        <w:bidi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③项目实施人员中具有高级职称的（计算机存储类、网络工程类、信息安全、软件等专业），每有1人得3分，满分6分；以提供的职称资格证书复印件且提供供应商截止投标之日起半年内1个月的社保证明为准；</w:t>
      </w:r>
    </w:p>
    <w:p w14:paraId="24254ABA">
      <w:pPr>
        <w:pageBreakBefore w:val="0"/>
        <w:kinsoku/>
        <w:wordWrap/>
        <w:overflowPunct/>
        <w:topLinePunct w:val="0"/>
        <w:autoSpaceDE/>
        <w:autoSpaceDN/>
        <w:bidi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④供应商</w:t>
      </w:r>
      <w:r>
        <w:rPr>
          <w:rFonts w:hint="eastAsia" w:asciiTheme="minorEastAsia" w:hAnsiTheme="minorEastAsia" w:eastAsiaTheme="minorEastAsia" w:cstheme="minorEastAsia"/>
          <w:szCs w:val="21"/>
          <w:lang w:val="zh-TW" w:eastAsia="zh-TW"/>
        </w:rPr>
        <w:t>具备</w:t>
      </w:r>
      <w:r>
        <w:rPr>
          <w:rFonts w:hint="eastAsia" w:asciiTheme="minorEastAsia" w:hAnsiTheme="minorEastAsia" w:eastAsiaTheme="minorEastAsia" w:cstheme="minorEastAsia"/>
          <w:szCs w:val="21"/>
        </w:rPr>
        <w:t>信息系统运行维护能力证书</w:t>
      </w:r>
      <w:r>
        <w:rPr>
          <w:rFonts w:hint="eastAsia" w:asciiTheme="minorEastAsia" w:hAnsiTheme="minorEastAsia" w:eastAsiaTheme="minorEastAsia" w:cstheme="minorEastAsia"/>
          <w:szCs w:val="21"/>
          <w:lang w:val="zh-TW" w:eastAsia="zh-TW"/>
        </w:rPr>
        <w:t>、</w:t>
      </w:r>
      <w:r>
        <w:rPr>
          <w:rFonts w:hint="eastAsia" w:asciiTheme="minorEastAsia" w:hAnsiTheme="minorEastAsia" w:eastAsiaTheme="minorEastAsia" w:cstheme="minorEastAsia"/>
          <w:szCs w:val="21"/>
        </w:rPr>
        <w:t>信息安全管理体系认证证书</w:t>
      </w:r>
      <w:r>
        <w:rPr>
          <w:rFonts w:hint="eastAsia" w:asciiTheme="minorEastAsia" w:hAnsiTheme="minorEastAsia" w:eastAsiaTheme="minorEastAsia" w:cstheme="minorEastAsia"/>
          <w:szCs w:val="21"/>
          <w:lang w:val="zh-TW" w:eastAsia="zh-TW"/>
        </w:rPr>
        <w:t>、</w:t>
      </w:r>
      <w:r>
        <w:rPr>
          <w:rFonts w:hint="eastAsia" w:asciiTheme="minorEastAsia" w:hAnsiTheme="minorEastAsia" w:eastAsiaTheme="minorEastAsia" w:cstheme="minorEastAsia"/>
          <w:szCs w:val="21"/>
        </w:rPr>
        <w:t>信息技术服务管理体系认证证书、高新技术企业证书的每有1项得2分，满分8分；以提供有效期内的认证证书复印件且加盖供应商供应商的公章为准；</w:t>
      </w:r>
    </w:p>
    <w:p w14:paraId="2698F188">
      <w:pPr>
        <w:pageBreakBefore w:val="0"/>
        <w:kinsoku/>
        <w:wordWrap/>
        <w:overflowPunct/>
        <w:topLinePunct w:val="0"/>
        <w:autoSpaceDE/>
        <w:autoSpaceDN/>
        <w:bidi w:val="0"/>
        <w:spacing w:line="400" w:lineRule="exact"/>
        <w:ind w:firstLine="211" w:firstLineChars="100"/>
        <w:jc w:val="left"/>
        <w:rPr>
          <w:rFonts w:asciiTheme="minorEastAsia" w:hAnsiTheme="minorEastAsia" w:eastAsiaTheme="minorEastAsia" w:cstheme="minorEastAsia"/>
          <w:b/>
          <w:color w:val="000000"/>
          <w:szCs w:val="21"/>
        </w:rPr>
      </w:pPr>
      <w:r>
        <w:rPr>
          <w:rFonts w:hint="eastAsia" w:asciiTheme="minorEastAsia" w:hAnsiTheme="minorEastAsia" w:eastAsiaTheme="minorEastAsia" w:cstheme="minorEastAsia"/>
          <w:b/>
          <w:color w:val="000000"/>
          <w:szCs w:val="21"/>
        </w:rPr>
        <w:t>4.业绩分</w:t>
      </w:r>
      <w:r>
        <w:rPr>
          <w:rFonts w:hint="eastAsia" w:asciiTheme="minorEastAsia" w:hAnsiTheme="minorEastAsia" w:eastAsiaTheme="minorEastAsia" w:cstheme="minorEastAsia"/>
          <w:b/>
          <w:bCs/>
          <w:color w:val="000000"/>
          <w:szCs w:val="21"/>
        </w:rPr>
        <w:t>………………………………………………………………………………</w:t>
      </w:r>
      <w:r>
        <w:rPr>
          <w:rFonts w:hint="eastAsia" w:asciiTheme="minorEastAsia" w:hAnsiTheme="minorEastAsia" w:eastAsiaTheme="minorEastAsia" w:cstheme="minorEastAsia"/>
          <w:b/>
          <w:color w:val="000000"/>
          <w:szCs w:val="21"/>
        </w:rPr>
        <w:t>满分</w:t>
      </w:r>
      <w:r>
        <w:rPr>
          <w:rFonts w:hint="eastAsia" w:asciiTheme="minorEastAsia" w:hAnsiTheme="minorEastAsia" w:eastAsiaTheme="minorEastAsia" w:cstheme="minorEastAsia"/>
          <w:b/>
          <w:bCs/>
          <w:color w:val="000000"/>
          <w:szCs w:val="21"/>
        </w:rPr>
        <w:t>4分</w:t>
      </w:r>
    </w:p>
    <w:p w14:paraId="501578E0">
      <w:pPr>
        <w:pageBreakBefore w:val="0"/>
        <w:kinsoku/>
        <w:wordWrap/>
        <w:overflowPunct/>
        <w:topLinePunct w:val="0"/>
        <w:autoSpaceDE/>
        <w:autoSpaceDN/>
        <w:bidi w:val="0"/>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shd w:val="clear" w:color="auto" w:fill="FFFFFF"/>
        </w:rPr>
        <w:t>⑥</w:t>
      </w:r>
      <w:r>
        <w:rPr>
          <w:rFonts w:hint="eastAsia" w:asciiTheme="minorEastAsia" w:hAnsiTheme="minorEastAsia" w:eastAsiaTheme="minorEastAsia" w:cstheme="minorEastAsia"/>
          <w:szCs w:val="21"/>
        </w:rPr>
        <w:t>供应商2022年1月1日至响应文件提交截止时间前完成同类存储扩容项目业绩的，每提供1个业绩得2分，满分4分。（供应商无不良记录，业绩以合同复印件为准并加盖供应商公章，并能清晰反映项目的名称、采购内容、采购金额、采购时间，同一个编号的项目有两个或两个以上的分标中标（成交）的只算一个项目。）</w:t>
      </w:r>
    </w:p>
    <w:p w14:paraId="40FB9C81">
      <w:pPr>
        <w:pageBreakBefore w:val="0"/>
        <w:numPr>
          <w:ilvl w:val="0"/>
          <w:numId w:val="4"/>
        </w:numPr>
        <w:kinsoku/>
        <w:wordWrap/>
        <w:overflowPunct/>
        <w:topLinePunct w:val="0"/>
        <w:autoSpaceDE/>
        <w:autoSpaceDN/>
        <w:bidi w:val="0"/>
        <w:spacing w:line="400" w:lineRule="exact"/>
        <w:ind w:firstLine="211" w:firstLineChars="1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综合得分＝1+2+3+4</w:t>
      </w:r>
    </w:p>
    <w:p w14:paraId="7B129FE4">
      <w:pPr>
        <w:pageBreakBefore w:val="0"/>
        <w:kinsoku/>
        <w:wordWrap/>
        <w:overflowPunct/>
        <w:topLinePunct w:val="0"/>
        <w:autoSpaceDE/>
        <w:autoSpaceDN/>
        <w:bidi w:val="0"/>
        <w:spacing w:line="400" w:lineRule="exact"/>
        <w:rPr>
          <w:rFonts w:ascii="宋体" w:hAnsi="宋体" w:cs="宋体"/>
          <w:b/>
          <w:sz w:val="30"/>
          <w:szCs w:val="30"/>
        </w:rPr>
      </w:pPr>
    </w:p>
    <w:p w14:paraId="41763F78">
      <w:pPr>
        <w:pageBreakBefore w:val="0"/>
        <w:kinsoku/>
        <w:wordWrap/>
        <w:overflowPunct/>
        <w:topLinePunct w:val="0"/>
        <w:autoSpaceDE/>
        <w:autoSpaceDN/>
        <w:bidi w:val="0"/>
        <w:spacing w:line="400" w:lineRule="exact"/>
        <w:rPr>
          <w:rFonts w:ascii="宋体" w:hAnsi="宋体" w:cs="宋体"/>
          <w:b/>
          <w:sz w:val="30"/>
          <w:szCs w:val="30"/>
        </w:rPr>
      </w:pPr>
    </w:p>
    <w:p w14:paraId="411FA49D">
      <w:pPr>
        <w:pageBreakBefore w:val="0"/>
        <w:kinsoku/>
        <w:wordWrap/>
        <w:overflowPunct/>
        <w:topLinePunct w:val="0"/>
        <w:autoSpaceDE/>
        <w:autoSpaceDN/>
        <w:bidi w:val="0"/>
        <w:spacing w:line="400" w:lineRule="exact"/>
        <w:rPr>
          <w:rFonts w:ascii="宋体" w:hAnsi="宋体" w:cs="宋体"/>
          <w:b/>
          <w:sz w:val="30"/>
          <w:szCs w:val="30"/>
        </w:rPr>
      </w:pPr>
    </w:p>
    <w:p w14:paraId="7092E693">
      <w:pPr>
        <w:pageBreakBefore w:val="0"/>
        <w:kinsoku/>
        <w:wordWrap/>
        <w:overflowPunct/>
        <w:topLinePunct w:val="0"/>
        <w:autoSpaceDE/>
        <w:autoSpaceDN/>
        <w:bidi w:val="0"/>
        <w:spacing w:line="400" w:lineRule="exact"/>
        <w:rPr>
          <w:rFonts w:ascii="宋体" w:hAnsi="宋体" w:cs="宋体"/>
          <w:b/>
          <w:sz w:val="30"/>
          <w:szCs w:val="30"/>
        </w:rPr>
      </w:pPr>
    </w:p>
    <w:p w14:paraId="5F46EE4B">
      <w:pPr>
        <w:pageBreakBefore w:val="0"/>
        <w:kinsoku/>
        <w:wordWrap/>
        <w:overflowPunct/>
        <w:topLinePunct w:val="0"/>
        <w:autoSpaceDE/>
        <w:autoSpaceDN/>
        <w:bidi w:val="0"/>
        <w:spacing w:line="400" w:lineRule="exact"/>
        <w:rPr>
          <w:rFonts w:ascii="宋体" w:hAnsi="宋体" w:cs="宋体"/>
          <w:b/>
          <w:sz w:val="30"/>
          <w:szCs w:val="30"/>
        </w:rPr>
      </w:pPr>
    </w:p>
    <w:p w14:paraId="2EBE23F9">
      <w:pPr>
        <w:pageBreakBefore w:val="0"/>
        <w:kinsoku/>
        <w:wordWrap/>
        <w:overflowPunct/>
        <w:topLinePunct w:val="0"/>
        <w:autoSpaceDE/>
        <w:autoSpaceDN/>
        <w:bidi w:val="0"/>
        <w:spacing w:line="400" w:lineRule="exact"/>
        <w:rPr>
          <w:rFonts w:ascii="宋体" w:hAnsi="宋体" w:cs="宋体"/>
          <w:b/>
          <w:sz w:val="30"/>
          <w:szCs w:val="30"/>
        </w:rPr>
      </w:pPr>
    </w:p>
    <w:p w14:paraId="75EECE1E">
      <w:pPr>
        <w:pageBreakBefore w:val="0"/>
        <w:kinsoku/>
        <w:wordWrap/>
        <w:overflowPunct/>
        <w:topLinePunct w:val="0"/>
        <w:autoSpaceDE/>
        <w:autoSpaceDN/>
        <w:bidi w:val="0"/>
        <w:spacing w:line="400" w:lineRule="exact"/>
        <w:rPr>
          <w:rFonts w:ascii="宋体" w:hAnsi="宋体" w:cs="宋体"/>
          <w:b/>
          <w:sz w:val="30"/>
          <w:szCs w:val="30"/>
        </w:rPr>
      </w:pPr>
    </w:p>
    <w:p w14:paraId="6A2A5906">
      <w:pPr>
        <w:pageBreakBefore w:val="0"/>
        <w:kinsoku/>
        <w:wordWrap/>
        <w:overflowPunct/>
        <w:topLinePunct w:val="0"/>
        <w:autoSpaceDE/>
        <w:autoSpaceDN/>
        <w:bidi w:val="0"/>
        <w:spacing w:line="400" w:lineRule="exact"/>
        <w:rPr>
          <w:rFonts w:ascii="宋体" w:hAnsi="宋体" w:cs="宋体"/>
          <w:b/>
          <w:sz w:val="30"/>
          <w:szCs w:val="30"/>
        </w:rPr>
      </w:pPr>
    </w:p>
    <w:p w14:paraId="790C1ADD">
      <w:pPr>
        <w:pageBreakBefore w:val="0"/>
        <w:kinsoku/>
        <w:wordWrap/>
        <w:overflowPunct/>
        <w:topLinePunct w:val="0"/>
        <w:autoSpaceDE/>
        <w:autoSpaceDN/>
        <w:bidi w:val="0"/>
        <w:spacing w:line="400" w:lineRule="exact"/>
        <w:rPr>
          <w:rFonts w:ascii="宋体" w:hAnsi="宋体" w:cs="宋体"/>
          <w:b/>
          <w:sz w:val="30"/>
          <w:szCs w:val="30"/>
        </w:rPr>
      </w:pPr>
    </w:p>
    <w:p w14:paraId="7926153D">
      <w:pPr>
        <w:pageBreakBefore w:val="0"/>
        <w:kinsoku/>
        <w:wordWrap/>
        <w:overflowPunct/>
        <w:topLinePunct w:val="0"/>
        <w:autoSpaceDE/>
        <w:autoSpaceDN/>
        <w:bidi w:val="0"/>
        <w:spacing w:line="400" w:lineRule="exact"/>
        <w:rPr>
          <w:rFonts w:ascii="宋体" w:hAnsi="宋体" w:cs="宋体"/>
          <w:b/>
          <w:sz w:val="30"/>
          <w:szCs w:val="30"/>
        </w:rPr>
      </w:pPr>
    </w:p>
    <w:p w14:paraId="14B2508B">
      <w:pPr>
        <w:pageBreakBefore w:val="0"/>
        <w:kinsoku/>
        <w:wordWrap/>
        <w:overflowPunct/>
        <w:topLinePunct w:val="0"/>
        <w:autoSpaceDE/>
        <w:autoSpaceDN/>
        <w:bidi w:val="0"/>
        <w:spacing w:line="400" w:lineRule="exact"/>
        <w:rPr>
          <w:rFonts w:ascii="宋体" w:hAnsi="宋体" w:cs="宋体"/>
          <w:b/>
          <w:sz w:val="30"/>
          <w:szCs w:val="30"/>
        </w:rPr>
      </w:pPr>
    </w:p>
    <w:p w14:paraId="675E0A93">
      <w:pPr>
        <w:pageBreakBefore w:val="0"/>
        <w:kinsoku/>
        <w:wordWrap/>
        <w:overflowPunct/>
        <w:topLinePunct w:val="0"/>
        <w:autoSpaceDE/>
        <w:autoSpaceDN/>
        <w:bidi w:val="0"/>
        <w:spacing w:line="400" w:lineRule="exact"/>
        <w:rPr>
          <w:rFonts w:ascii="宋体" w:hAnsi="宋体" w:cs="宋体"/>
          <w:b/>
          <w:sz w:val="30"/>
          <w:szCs w:val="30"/>
        </w:rPr>
      </w:pPr>
    </w:p>
    <w:p w14:paraId="13A9A238">
      <w:pPr>
        <w:pageBreakBefore w:val="0"/>
        <w:kinsoku/>
        <w:wordWrap/>
        <w:overflowPunct/>
        <w:topLinePunct w:val="0"/>
        <w:autoSpaceDE/>
        <w:autoSpaceDN/>
        <w:bidi w:val="0"/>
        <w:spacing w:line="400" w:lineRule="exact"/>
        <w:rPr>
          <w:rFonts w:ascii="宋体" w:hAnsi="宋体" w:cs="宋体"/>
          <w:b/>
          <w:sz w:val="30"/>
          <w:szCs w:val="30"/>
        </w:rPr>
      </w:pPr>
    </w:p>
    <w:p w14:paraId="4C995326">
      <w:pPr>
        <w:pageBreakBefore w:val="0"/>
        <w:kinsoku/>
        <w:wordWrap/>
        <w:overflowPunct/>
        <w:topLinePunct w:val="0"/>
        <w:autoSpaceDE/>
        <w:autoSpaceDN/>
        <w:bidi w:val="0"/>
        <w:spacing w:line="400" w:lineRule="exact"/>
        <w:rPr>
          <w:rFonts w:ascii="宋体" w:hAnsi="宋体" w:cs="宋体"/>
          <w:b/>
          <w:sz w:val="30"/>
          <w:szCs w:val="30"/>
        </w:rPr>
      </w:pPr>
    </w:p>
    <w:p w14:paraId="582E168B">
      <w:pPr>
        <w:pageBreakBefore w:val="0"/>
        <w:kinsoku/>
        <w:wordWrap/>
        <w:overflowPunct/>
        <w:topLinePunct w:val="0"/>
        <w:autoSpaceDE/>
        <w:autoSpaceDN/>
        <w:bidi w:val="0"/>
        <w:spacing w:line="400" w:lineRule="exact"/>
        <w:rPr>
          <w:rFonts w:ascii="宋体" w:hAnsi="宋体" w:cs="宋体"/>
          <w:b/>
          <w:sz w:val="30"/>
          <w:szCs w:val="30"/>
        </w:rPr>
      </w:pPr>
    </w:p>
    <w:p w14:paraId="255ABACB">
      <w:pPr>
        <w:pageBreakBefore w:val="0"/>
        <w:kinsoku/>
        <w:wordWrap/>
        <w:overflowPunct/>
        <w:topLinePunct w:val="0"/>
        <w:autoSpaceDE/>
        <w:autoSpaceDN/>
        <w:bidi w:val="0"/>
        <w:spacing w:line="400" w:lineRule="exact"/>
        <w:rPr>
          <w:rFonts w:ascii="宋体" w:hAnsi="宋体" w:cs="宋体"/>
          <w:b/>
          <w:sz w:val="30"/>
          <w:szCs w:val="30"/>
        </w:rPr>
      </w:pPr>
    </w:p>
    <w:p w14:paraId="61D4A713">
      <w:pPr>
        <w:pageBreakBefore w:val="0"/>
        <w:kinsoku/>
        <w:wordWrap/>
        <w:overflowPunct/>
        <w:topLinePunct w:val="0"/>
        <w:autoSpaceDE/>
        <w:autoSpaceDN/>
        <w:bidi w:val="0"/>
        <w:spacing w:line="400" w:lineRule="exact"/>
        <w:rPr>
          <w:rFonts w:ascii="宋体" w:hAnsi="宋体" w:cs="宋体"/>
          <w:b/>
          <w:sz w:val="30"/>
          <w:szCs w:val="30"/>
        </w:rPr>
      </w:pPr>
    </w:p>
    <w:p w14:paraId="56B800ED">
      <w:pPr>
        <w:pageBreakBefore w:val="0"/>
        <w:kinsoku/>
        <w:wordWrap/>
        <w:overflowPunct/>
        <w:topLinePunct w:val="0"/>
        <w:autoSpaceDE/>
        <w:autoSpaceDN/>
        <w:bidi w:val="0"/>
        <w:spacing w:line="400" w:lineRule="exact"/>
        <w:rPr>
          <w:rFonts w:ascii="宋体" w:hAnsi="宋体" w:cs="宋体"/>
          <w:b/>
          <w:sz w:val="30"/>
          <w:szCs w:val="30"/>
        </w:rPr>
      </w:pPr>
    </w:p>
    <w:p w14:paraId="2D791048">
      <w:pPr>
        <w:pageBreakBefore w:val="0"/>
        <w:kinsoku/>
        <w:wordWrap/>
        <w:overflowPunct/>
        <w:topLinePunct w:val="0"/>
        <w:autoSpaceDE/>
        <w:autoSpaceDN/>
        <w:bidi w:val="0"/>
        <w:spacing w:line="400" w:lineRule="exact"/>
        <w:rPr>
          <w:rFonts w:ascii="宋体" w:hAnsi="宋体" w:cs="宋体"/>
          <w:b/>
          <w:sz w:val="30"/>
          <w:szCs w:val="30"/>
        </w:rPr>
      </w:pPr>
    </w:p>
    <w:p w14:paraId="7123F186">
      <w:pPr>
        <w:pageBreakBefore w:val="0"/>
        <w:kinsoku/>
        <w:wordWrap/>
        <w:overflowPunct/>
        <w:topLinePunct w:val="0"/>
        <w:autoSpaceDE/>
        <w:autoSpaceDN/>
        <w:bidi w:val="0"/>
        <w:spacing w:line="400" w:lineRule="exact"/>
        <w:rPr>
          <w:rFonts w:ascii="宋体" w:hAnsi="宋体" w:cs="宋体"/>
          <w:b/>
          <w:sz w:val="30"/>
          <w:szCs w:val="30"/>
        </w:rPr>
      </w:pPr>
    </w:p>
    <w:p w14:paraId="5AF63FF9">
      <w:pPr>
        <w:pageBreakBefore w:val="0"/>
        <w:kinsoku/>
        <w:wordWrap/>
        <w:overflowPunct/>
        <w:topLinePunct w:val="0"/>
        <w:autoSpaceDE/>
        <w:autoSpaceDN/>
        <w:bidi w:val="0"/>
        <w:spacing w:line="400" w:lineRule="exact"/>
        <w:rPr>
          <w:rFonts w:ascii="宋体" w:hAnsi="宋体" w:cs="宋体"/>
          <w:b/>
          <w:sz w:val="30"/>
          <w:szCs w:val="30"/>
        </w:rPr>
      </w:pPr>
    </w:p>
    <w:p w14:paraId="0DA52549">
      <w:pPr>
        <w:pageBreakBefore w:val="0"/>
        <w:kinsoku/>
        <w:wordWrap/>
        <w:overflowPunct/>
        <w:topLinePunct w:val="0"/>
        <w:autoSpaceDE/>
        <w:autoSpaceDN/>
        <w:bidi w:val="0"/>
        <w:spacing w:line="400" w:lineRule="exact"/>
        <w:rPr>
          <w:rFonts w:ascii="宋体" w:hAnsi="宋体" w:cs="宋体"/>
          <w:b/>
          <w:sz w:val="30"/>
          <w:szCs w:val="30"/>
        </w:rPr>
      </w:pPr>
    </w:p>
    <w:p w14:paraId="07A397CE">
      <w:pPr>
        <w:pStyle w:val="2"/>
        <w:pageBreakBefore w:val="0"/>
        <w:kinsoku/>
        <w:wordWrap/>
        <w:overflowPunct/>
        <w:topLinePunct w:val="0"/>
        <w:autoSpaceDE/>
        <w:autoSpaceDN/>
        <w:bidi w:val="0"/>
        <w:spacing w:line="400" w:lineRule="exact"/>
        <w:ind w:left="0"/>
        <w:rPr>
          <w:sz w:val="30"/>
          <w:szCs w:val="30"/>
        </w:rPr>
      </w:pPr>
    </w:p>
    <w:p w14:paraId="52C5751A">
      <w:pPr>
        <w:pStyle w:val="2"/>
        <w:pageBreakBefore w:val="0"/>
        <w:kinsoku/>
        <w:wordWrap/>
        <w:overflowPunct/>
        <w:topLinePunct w:val="0"/>
        <w:autoSpaceDE/>
        <w:autoSpaceDN/>
        <w:bidi w:val="0"/>
        <w:spacing w:line="400" w:lineRule="exact"/>
        <w:jc w:val="center"/>
        <w:rPr>
          <w:sz w:val="30"/>
          <w:szCs w:val="30"/>
        </w:rPr>
      </w:pPr>
      <w:r>
        <w:rPr>
          <w:rFonts w:hint="eastAsia"/>
          <w:sz w:val="30"/>
          <w:szCs w:val="30"/>
        </w:rPr>
        <w:t>第四章  投标文件格式</w:t>
      </w:r>
    </w:p>
    <w:p w14:paraId="4C532535">
      <w:pPr>
        <w:pageBreakBefore w:val="0"/>
        <w:kinsoku/>
        <w:wordWrap/>
        <w:overflowPunct/>
        <w:topLinePunct w:val="0"/>
        <w:autoSpaceDE/>
        <w:autoSpaceDN/>
        <w:bidi w:val="0"/>
        <w:spacing w:line="400" w:lineRule="exact"/>
        <w:jc w:val="center"/>
        <w:rPr>
          <w:rFonts w:ascii="宋体" w:hAnsi="宋体" w:cs="宋体"/>
          <w:b/>
          <w:sz w:val="30"/>
          <w:szCs w:val="30"/>
        </w:rPr>
      </w:pPr>
      <w:r>
        <w:rPr>
          <w:rFonts w:hint="eastAsia" w:ascii="宋体" w:hAnsi="宋体" w:cs="宋体"/>
          <w:b/>
          <w:sz w:val="30"/>
          <w:szCs w:val="30"/>
        </w:rPr>
        <w:t>响  应  函 （格式）</w:t>
      </w:r>
    </w:p>
    <w:p w14:paraId="619665A7">
      <w:pPr>
        <w:pageBreakBefore w:val="0"/>
        <w:kinsoku/>
        <w:wordWrap/>
        <w:overflowPunct/>
        <w:topLinePunct w:val="0"/>
        <w:autoSpaceDE/>
        <w:autoSpaceDN/>
        <w:bidi w:val="0"/>
        <w:spacing w:line="400" w:lineRule="exact"/>
        <w:ind w:firstLine="480" w:firstLineChars="200"/>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：桂林市人民医院   </w:t>
      </w:r>
    </w:p>
    <w:p w14:paraId="210F5F58">
      <w:pPr>
        <w:pStyle w:val="9"/>
        <w:pageBreakBefore w:val="0"/>
        <w:kinsoku/>
        <w:wordWrap/>
        <w:overflowPunct/>
        <w:topLinePunct w:val="0"/>
        <w:autoSpaceDE/>
        <w:autoSpaceDN/>
        <w:bidi w:val="0"/>
        <w:spacing w:line="400" w:lineRule="exact"/>
        <w:ind w:firstLine="420"/>
        <w:rPr>
          <w:rFonts w:hAnsi="宋体"/>
          <w:sz w:val="24"/>
          <w:szCs w:val="24"/>
        </w:rPr>
      </w:pPr>
      <w:r>
        <w:rPr>
          <w:rFonts w:hint="eastAsia" w:hAnsi="宋体"/>
          <w:sz w:val="24"/>
          <w:szCs w:val="24"/>
        </w:rPr>
        <w:t>根据贵方</w:t>
      </w:r>
      <w:r>
        <w:rPr>
          <w:rFonts w:hint="eastAsia" w:hAnsi="宋体"/>
          <w:sz w:val="24"/>
          <w:szCs w:val="24"/>
          <w:u w:val="single"/>
        </w:rPr>
        <w:t xml:space="preserve">           </w:t>
      </w:r>
      <w:r>
        <w:rPr>
          <w:rFonts w:hint="eastAsia" w:hAnsi="宋体"/>
          <w:sz w:val="24"/>
          <w:szCs w:val="24"/>
        </w:rPr>
        <w:t>项目招标文件，项目编号</w:t>
      </w:r>
      <w:r>
        <w:rPr>
          <w:rFonts w:hint="eastAsia" w:hAnsi="宋体"/>
          <w:sz w:val="24"/>
          <w:szCs w:val="24"/>
          <w:u w:val="single"/>
        </w:rPr>
        <w:t xml:space="preserve">            </w:t>
      </w:r>
      <w:r>
        <w:rPr>
          <w:rFonts w:hint="eastAsia" w:hAnsi="宋体"/>
          <w:sz w:val="24"/>
          <w:szCs w:val="24"/>
        </w:rPr>
        <w:t>，签字代表</w:t>
      </w:r>
      <w:r>
        <w:rPr>
          <w:rFonts w:hint="eastAsia" w:hAnsi="宋体"/>
          <w:sz w:val="24"/>
          <w:szCs w:val="24"/>
          <w:u w:val="single"/>
        </w:rPr>
        <w:t xml:space="preserve">         </w:t>
      </w:r>
      <w:r>
        <w:rPr>
          <w:rFonts w:hint="eastAsia" w:hAnsi="宋体"/>
          <w:sz w:val="24"/>
          <w:szCs w:val="24"/>
        </w:rPr>
        <w:t xml:space="preserve">（姓名）经正式授权并代表投标人 </w:t>
      </w:r>
      <w:r>
        <w:rPr>
          <w:rFonts w:hint="eastAsia" w:hAnsi="宋体"/>
          <w:sz w:val="24"/>
          <w:szCs w:val="24"/>
          <w:u w:val="single"/>
        </w:rPr>
        <w:t xml:space="preserve">                                   （</w:t>
      </w:r>
      <w:r>
        <w:rPr>
          <w:rFonts w:hint="eastAsia" w:hAnsi="宋体"/>
          <w:sz w:val="24"/>
          <w:szCs w:val="24"/>
        </w:rPr>
        <w:t>投标单位名称），提交投标文件</w:t>
      </w:r>
      <w:r>
        <w:rPr>
          <w:rFonts w:hint="eastAsia" w:hAnsi="宋体" w:cs="宋体"/>
          <w:sz w:val="24"/>
          <w:szCs w:val="24"/>
        </w:rPr>
        <w:t>正本一份，副本六份。</w:t>
      </w:r>
    </w:p>
    <w:p w14:paraId="3099897D">
      <w:pPr>
        <w:pStyle w:val="9"/>
        <w:pageBreakBefore w:val="0"/>
        <w:kinsoku/>
        <w:wordWrap/>
        <w:overflowPunct/>
        <w:topLinePunct w:val="0"/>
        <w:autoSpaceDE/>
        <w:autoSpaceDN/>
        <w:bidi w:val="0"/>
        <w:spacing w:line="400" w:lineRule="exact"/>
        <w:ind w:firstLine="420"/>
        <w:rPr>
          <w:rFonts w:hAnsi="宋体"/>
          <w:sz w:val="24"/>
          <w:szCs w:val="24"/>
        </w:rPr>
      </w:pPr>
      <w:r>
        <w:rPr>
          <w:rFonts w:hint="eastAsia" w:hAnsi="宋体"/>
          <w:sz w:val="24"/>
          <w:szCs w:val="24"/>
        </w:rPr>
        <w:t>据此函，签字代表宣布同意如下：</w:t>
      </w:r>
    </w:p>
    <w:p w14:paraId="6ED7AF7A">
      <w:pPr>
        <w:pageBreakBefore w:val="0"/>
        <w:widowControl/>
        <w:numPr>
          <w:ilvl w:val="0"/>
          <w:numId w:val="5"/>
        </w:numPr>
        <w:kinsoku/>
        <w:wordWrap/>
        <w:overflowPunct/>
        <w:topLinePunct w:val="0"/>
        <w:autoSpaceDE/>
        <w:autoSpaceDN/>
        <w:bidi w:val="0"/>
        <w:spacing w:line="400" w:lineRule="exact"/>
        <w:jc w:val="left"/>
        <w:rPr>
          <w:rFonts w:ascii="宋体" w:hAnsi="宋体" w:cs="宋体"/>
          <w:szCs w:val="21"/>
        </w:rPr>
      </w:pPr>
      <w:r>
        <w:rPr>
          <w:rFonts w:hint="eastAsia" w:ascii="宋体" w:hAnsi="宋体" w:cs="宋体"/>
          <w:kern w:val="0"/>
          <w:sz w:val="24"/>
        </w:rPr>
        <w:t>一、</w:t>
      </w:r>
      <w:r>
        <w:rPr>
          <w:rFonts w:hint="eastAsia" w:hAnsi="宋体"/>
          <w:szCs w:val="21"/>
        </w:rPr>
        <w:t>报价表</w:t>
      </w:r>
      <w:r>
        <w:rPr>
          <w:rFonts w:hint="eastAsia" w:ascii="宋体" w:hAnsi="宋体" w:cs="宋体"/>
          <w:szCs w:val="21"/>
        </w:rPr>
        <w:t>（单位：人民币  元）</w:t>
      </w:r>
    </w:p>
    <w:tbl>
      <w:tblPr>
        <w:tblStyle w:val="15"/>
        <w:tblW w:w="893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409"/>
        <w:gridCol w:w="993"/>
        <w:gridCol w:w="1134"/>
        <w:gridCol w:w="850"/>
        <w:gridCol w:w="1418"/>
        <w:gridCol w:w="1417"/>
      </w:tblGrid>
      <w:tr w14:paraId="341DE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4" w:hRule="atLeast"/>
        </w:trPr>
        <w:tc>
          <w:tcPr>
            <w:tcW w:w="709" w:type="dxa"/>
            <w:tcBorders>
              <w:top w:val="single" w:color="auto" w:sz="4" w:space="0"/>
              <w:left w:val="single" w:color="auto" w:sz="4" w:space="0"/>
              <w:bottom w:val="single" w:color="auto" w:sz="4" w:space="0"/>
              <w:right w:val="single" w:color="auto" w:sz="4" w:space="0"/>
            </w:tcBorders>
            <w:vAlign w:val="center"/>
          </w:tcPr>
          <w:p w14:paraId="55FD2C03">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序号</w:t>
            </w:r>
          </w:p>
        </w:tc>
        <w:tc>
          <w:tcPr>
            <w:tcW w:w="2409" w:type="dxa"/>
            <w:tcBorders>
              <w:top w:val="single" w:color="auto" w:sz="4" w:space="0"/>
              <w:left w:val="nil"/>
              <w:bottom w:val="single" w:color="auto" w:sz="4" w:space="0"/>
              <w:right w:val="single" w:color="auto" w:sz="4" w:space="0"/>
            </w:tcBorders>
            <w:vAlign w:val="center"/>
          </w:tcPr>
          <w:p w14:paraId="1433FFD7">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ascii="宋体" w:hAnsi="宋体" w:cs="宋体"/>
                <w:szCs w:val="21"/>
              </w:rPr>
              <w:t>货物名称</w:t>
            </w:r>
          </w:p>
        </w:tc>
        <w:tc>
          <w:tcPr>
            <w:tcW w:w="993" w:type="dxa"/>
            <w:tcBorders>
              <w:top w:val="single" w:color="auto" w:sz="4" w:space="0"/>
              <w:left w:val="nil"/>
              <w:bottom w:val="single" w:color="auto" w:sz="4" w:space="0"/>
              <w:right w:val="single" w:color="auto" w:sz="4" w:space="0"/>
            </w:tcBorders>
            <w:vAlign w:val="center"/>
          </w:tcPr>
          <w:p w14:paraId="24C76CA0">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品牌</w:t>
            </w:r>
          </w:p>
        </w:tc>
        <w:tc>
          <w:tcPr>
            <w:tcW w:w="1134" w:type="dxa"/>
            <w:tcBorders>
              <w:top w:val="single" w:color="auto" w:sz="4" w:space="0"/>
              <w:left w:val="nil"/>
              <w:bottom w:val="single" w:color="auto" w:sz="4" w:space="0"/>
              <w:right w:val="single" w:color="auto" w:sz="4" w:space="0"/>
            </w:tcBorders>
            <w:vAlign w:val="center"/>
          </w:tcPr>
          <w:p w14:paraId="0C219F97">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规格型号</w:t>
            </w:r>
          </w:p>
        </w:tc>
        <w:tc>
          <w:tcPr>
            <w:tcW w:w="850" w:type="dxa"/>
            <w:tcBorders>
              <w:top w:val="single" w:color="auto" w:sz="4" w:space="0"/>
              <w:left w:val="nil"/>
              <w:bottom w:val="single" w:color="auto" w:sz="4" w:space="0"/>
              <w:right w:val="single" w:color="auto" w:sz="4" w:space="0"/>
            </w:tcBorders>
            <w:vAlign w:val="center"/>
          </w:tcPr>
          <w:p w14:paraId="1CFBECF5">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数量①</w:t>
            </w:r>
          </w:p>
        </w:tc>
        <w:tc>
          <w:tcPr>
            <w:tcW w:w="1418" w:type="dxa"/>
            <w:tcBorders>
              <w:top w:val="single" w:color="auto" w:sz="4" w:space="0"/>
              <w:left w:val="nil"/>
              <w:bottom w:val="single" w:color="auto" w:sz="4" w:space="0"/>
              <w:right w:val="single" w:color="auto" w:sz="4" w:space="0"/>
            </w:tcBorders>
            <w:vAlign w:val="center"/>
          </w:tcPr>
          <w:p w14:paraId="60EE936D">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单价报价②</w:t>
            </w:r>
          </w:p>
        </w:tc>
        <w:tc>
          <w:tcPr>
            <w:tcW w:w="1417" w:type="dxa"/>
            <w:tcBorders>
              <w:top w:val="single" w:color="auto" w:sz="4" w:space="0"/>
              <w:left w:val="nil"/>
              <w:bottom w:val="single" w:color="auto" w:sz="4" w:space="0"/>
              <w:right w:val="single" w:color="auto" w:sz="4" w:space="0"/>
            </w:tcBorders>
            <w:vAlign w:val="center"/>
          </w:tcPr>
          <w:p w14:paraId="26204522">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单项单价合计③=①×②</w:t>
            </w:r>
          </w:p>
        </w:tc>
      </w:tr>
      <w:tr w14:paraId="704C8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70849C32">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1</w:t>
            </w:r>
          </w:p>
        </w:tc>
        <w:tc>
          <w:tcPr>
            <w:tcW w:w="2409" w:type="dxa"/>
            <w:tcBorders>
              <w:top w:val="single" w:color="auto" w:sz="4" w:space="0"/>
              <w:left w:val="nil"/>
              <w:bottom w:val="single" w:color="auto" w:sz="4" w:space="0"/>
              <w:right w:val="single" w:color="auto" w:sz="4" w:space="0"/>
            </w:tcBorders>
            <w:vAlign w:val="center"/>
          </w:tcPr>
          <w:p w14:paraId="66F51CE3">
            <w:pPr>
              <w:pageBreakBefore w:val="0"/>
              <w:kinsoku/>
              <w:wordWrap/>
              <w:overflowPunct/>
              <w:topLinePunct w:val="0"/>
              <w:autoSpaceDE/>
              <w:autoSpaceDN/>
              <w:bidi w:val="0"/>
              <w:adjustRightInd w:val="0"/>
              <w:snapToGrid w:val="0"/>
              <w:spacing w:line="40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45A774D0">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437191B4">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46A100E8">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11290989">
            <w:pPr>
              <w:pageBreakBefore w:val="0"/>
              <w:kinsoku/>
              <w:wordWrap/>
              <w:overflowPunct/>
              <w:topLinePunct w:val="0"/>
              <w:autoSpaceDE/>
              <w:autoSpaceDN/>
              <w:bidi w:val="0"/>
              <w:spacing w:line="400" w:lineRule="exact"/>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060F22DF">
            <w:pPr>
              <w:pageBreakBefore w:val="0"/>
              <w:kinsoku/>
              <w:wordWrap/>
              <w:overflowPunct/>
              <w:topLinePunct w:val="0"/>
              <w:autoSpaceDE/>
              <w:autoSpaceDN/>
              <w:bidi w:val="0"/>
              <w:spacing w:line="400" w:lineRule="exact"/>
              <w:rPr>
                <w:rFonts w:ascii="宋体" w:hAnsi="宋体" w:cs="宋体"/>
                <w:szCs w:val="21"/>
              </w:rPr>
            </w:pPr>
          </w:p>
        </w:tc>
      </w:tr>
      <w:tr w14:paraId="3A9ED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50B1D8FF">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2</w:t>
            </w:r>
          </w:p>
        </w:tc>
        <w:tc>
          <w:tcPr>
            <w:tcW w:w="2409" w:type="dxa"/>
            <w:tcBorders>
              <w:top w:val="single" w:color="auto" w:sz="4" w:space="0"/>
              <w:left w:val="nil"/>
              <w:bottom w:val="single" w:color="auto" w:sz="4" w:space="0"/>
              <w:right w:val="single" w:color="auto" w:sz="4" w:space="0"/>
            </w:tcBorders>
            <w:vAlign w:val="center"/>
          </w:tcPr>
          <w:p w14:paraId="609DDC4E">
            <w:pPr>
              <w:pageBreakBefore w:val="0"/>
              <w:kinsoku/>
              <w:wordWrap/>
              <w:overflowPunct/>
              <w:topLinePunct w:val="0"/>
              <w:autoSpaceDE/>
              <w:autoSpaceDN/>
              <w:bidi w:val="0"/>
              <w:adjustRightInd w:val="0"/>
              <w:snapToGrid w:val="0"/>
              <w:spacing w:line="40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56E2D060">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7F72D699">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4673E408">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35826799">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263C3448">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r>
      <w:tr w14:paraId="5F043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09" w:type="dxa"/>
            <w:tcBorders>
              <w:top w:val="single" w:color="auto" w:sz="4" w:space="0"/>
              <w:left w:val="single" w:color="auto" w:sz="4" w:space="0"/>
              <w:bottom w:val="single" w:color="auto" w:sz="4" w:space="0"/>
              <w:right w:val="single" w:color="auto" w:sz="4" w:space="0"/>
            </w:tcBorders>
            <w:vAlign w:val="center"/>
          </w:tcPr>
          <w:p w14:paraId="6F53C74A">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w:t>
            </w:r>
          </w:p>
        </w:tc>
        <w:tc>
          <w:tcPr>
            <w:tcW w:w="2409" w:type="dxa"/>
            <w:tcBorders>
              <w:top w:val="single" w:color="auto" w:sz="4" w:space="0"/>
              <w:left w:val="nil"/>
              <w:bottom w:val="single" w:color="auto" w:sz="4" w:space="0"/>
              <w:right w:val="single" w:color="auto" w:sz="4" w:space="0"/>
            </w:tcBorders>
            <w:vAlign w:val="center"/>
          </w:tcPr>
          <w:p w14:paraId="37EFD61A">
            <w:pPr>
              <w:pageBreakBefore w:val="0"/>
              <w:kinsoku/>
              <w:wordWrap/>
              <w:overflowPunct/>
              <w:topLinePunct w:val="0"/>
              <w:autoSpaceDE/>
              <w:autoSpaceDN/>
              <w:bidi w:val="0"/>
              <w:adjustRightInd w:val="0"/>
              <w:snapToGrid w:val="0"/>
              <w:spacing w:line="400" w:lineRule="exact"/>
              <w:rPr>
                <w:rFonts w:ascii="宋体" w:hAnsi="宋体" w:cs="宋体"/>
                <w:szCs w:val="21"/>
              </w:rPr>
            </w:pPr>
          </w:p>
        </w:tc>
        <w:tc>
          <w:tcPr>
            <w:tcW w:w="993" w:type="dxa"/>
            <w:tcBorders>
              <w:top w:val="single" w:color="auto" w:sz="4" w:space="0"/>
              <w:left w:val="nil"/>
              <w:bottom w:val="single" w:color="auto" w:sz="4" w:space="0"/>
              <w:right w:val="single" w:color="auto" w:sz="4" w:space="0"/>
            </w:tcBorders>
            <w:vAlign w:val="center"/>
          </w:tcPr>
          <w:p w14:paraId="1D194682">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134" w:type="dxa"/>
            <w:tcBorders>
              <w:top w:val="single" w:color="auto" w:sz="4" w:space="0"/>
              <w:left w:val="nil"/>
              <w:bottom w:val="single" w:color="auto" w:sz="4" w:space="0"/>
              <w:right w:val="single" w:color="auto" w:sz="4" w:space="0"/>
            </w:tcBorders>
          </w:tcPr>
          <w:p w14:paraId="33E7F1C8">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850" w:type="dxa"/>
            <w:tcBorders>
              <w:top w:val="single" w:color="auto" w:sz="4" w:space="0"/>
              <w:left w:val="nil"/>
              <w:bottom w:val="single" w:color="auto" w:sz="4" w:space="0"/>
              <w:right w:val="single" w:color="auto" w:sz="4" w:space="0"/>
            </w:tcBorders>
          </w:tcPr>
          <w:p w14:paraId="61BB235F">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418" w:type="dxa"/>
            <w:tcBorders>
              <w:top w:val="single" w:color="auto" w:sz="4" w:space="0"/>
              <w:left w:val="nil"/>
              <w:bottom w:val="single" w:color="auto" w:sz="4" w:space="0"/>
              <w:right w:val="single" w:color="auto" w:sz="4" w:space="0"/>
            </w:tcBorders>
            <w:vAlign w:val="center"/>
          </w:tcPr>
          <w:p w14:paraId="040FF992">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c>
          <w:tcPr>
            <w:tcW w:w="1417" w:type="dxa"/>
            <w:tcBorders>
              <w:top w:val="single" w:color="auto" w:sz="4" w:space="0"/>
              <w:left w:val="nil"/>
              <w:bottom w:val="single" w:color="auto" w:sz="4" w:space="0"/>
              <w:right w:val="single" w:color="auto" w:sz="4" w:space="0"/>
            </w:tcBorders>
            <w:vAlign w:val="center"/>
          </w:tcPr>
          <w:p w14:paraId="28A49E9A">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r>
      <w:tr w14:paraId="624DD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7513" w:type="dxa"/>
            <w:gridSpan w:val="6"/>
            <w:tcBorders>
              <w:top w:val="single" w:color="auto" w:sz="4" w:space="0"/>
              <w:left w:val="single" w:color="auto" w:sz="4" w:space="0"/>
              <w:bottom w:val="single" w:color="auto" w:sz="4" w:space="0"/>
              <w:right w:val="single" w:color="auto" w:sz="4" w:space="0"/>
            </w:tcBorders>
            <w:vAlign w:val="center"/>
          </w:tcPr>
          <w:p w14:paraId="2F66303E">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r>
              <w:rPr>
                <w:rFonts w:hint="eastAsia"/>
              </w:rPr>
              <w:t>合计金额</w:t>
            </w:r>
          </w:p>
        </w:tc>
        <w:tc>
          <w:tcPr>
            <w:tcW w:w="1417" w:type="dxa"/>
            <w:tcBorders>
              <w:top w:val="single" w:color="auto" w:sz="4" w:space="0"/>
              <w:left w:val="nil"/>
              <w:bottom w:val="single" w:color="auto" w:sz="4" w:space="0"/>
              <w:right w:val="single" w:color="auto" w:sz="4" w:space="0"/>
            </w:tcBorders>
            <w:vAlign w:val="center"/>
          </w:tcPr>
          <w:p w14:paraId="3F8711BA">
            <w:pPr>
              <w:pageBreakBefore w:val="0"/>
              <w:kinsoku/>
              <w:wordWrap/>
              <w:overflowPunct/>
              <w:topLinePunct w:val="0"/>
              <w:autoSpaceDE/>
              <w:autoSpaceDN/>
              <w:bidi w:val="0"/>
              <w:adjustRightInd w:val="0"/>
              <w:snapToGrid w:val="0"/>
              <w:spacing w:line="400" w:lineRule="exact"/>
              <w:jc w:val="center"/>
              <w:rPr>
                <w:rFonts w:ascii="宋体" w:hAnsi="宋体" w:cs="宋体"/>
                <w:szCs w:val="21"/>
              </w:rPr>
            </w:pPr>
          </w:p>
        </w:tc>
      </w:tr>
      <w:tr w14:paraId="523EF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8" w:hRule="atLeast"/>
        </w:trPr>
        <w:tc>
          <w:tcPr>
            <w:tcW w:w="8930" w:type="dxa"/>
            <w:gridSpan w:val="7"/>
            <w:tcBorders>
              <w:top w:val="single" w:color="auto" w:sz="4" w:space="0"/>
              <w:left w:val="single" w:color="auto" w:sz="4" w:space="0"/>
              <w:bottom w:val="single" w:color="auto" w:sz="4" w:space="0"/>
              <w:right w:val="single" w:color="auto" w:sz="4" w:space="0"/>
            </w:tcBorders>
            <w:vAlign w:val="center"/>
          </w:tcPr>
          <w:p w14:paraId="03009521">
            <w:pPr>
              <w:pageBreakBefore w:val="0"/>
              <w:kinsoku/>
              <w:wordWrap/>
              <w:overflowPunct/>
              <w:topLinePunct w:val="0"/>
              <w:autoSpaceDE/>
              <w:autoSpaceDN/>
              <w:bidi w:val="0"/>
              <w:adjustRightInd w:val="0"/>
              <w:snapToGrid w:val="0"/>
              <w:spacing w:line="400" w:lineRule="exact"/>
              <w:jc w:val="left"/>
              <w:rPr>
                <w:rFonts w:ascii="宋体" w:hAnsi="宋体" w:cs="宋体"/>
                <w:szCs w:val="21"/>
              </w:rPr>
            </w:pPr>
            <w:r>
              <w:rPr>
                <w:rFonts w:hint="eastAsia"/>
                <w:spacing w:val="-6"/>
              </w:rPr>
              <w:t xml:space="preserve">报价合计（大写）： </w:t>
            </w:r>
            <w:r>
              <w:rPr>
                <w:rFonts w:hint="eastAsia"/>
                <w:spacing w:val="-6"/>
                <w:u w:val="single"/>
              </w:rPr>
              <w:t xml:space="preserve">                                 </w:t>
            </w:r>
            <w:r>
              <w:rPr>
                <w:rFonts w:hint="eastAsia"/>
                <w:spacing w:val="-6"/>
              </w:rPr>
              <w:t xml:space="preserve">元人民币（¥ </w:t>
            </w:r>
            <w:r>
              <w:rPr>
                <w:rFonts w:hint="eastAsia"/>
                <w:spacing w:val="-6"/>
                <w:u w:val="single"/>
              </w:rPr>
              <w:t xml:space="preserve">                     </w:t>
            </w:r>
            <w:r>
              <w:rPr>
                <w:rFonts w:hint="eastAsia"/>
                <w:spacing w:val="-6"/>
              </w:rPr>
              <w:t>）</w:t>
            </w:r>
          </w:p>
        </w:tc>
      </w:tr>
    </w:tbl>
    <w:p w14:paraId="191DCC5C">
      <w:pPr>
        <w:pageBreakBefore w:val="0"/>
        <w:kinsoku/>
        <w:wordWrap/>
        <w:overflowPunct/>
        <w:topLinePunct w:val="0"/>
        <w:autoSpaceDE/>
        <w:autoSpaceDN/>
        <w:bidi w:val="0"/>
        <w:spacing w:line="400" w:lineRule="exact"/>
        <w:ind w:firstLine="480" w:firstLineChars="200"/>
      </w:pPr>
      <w:r>
        <w:rPr>
          <w:rFonts w:hint="eastAsia" w:ascii="宋体" w:hAnsi="宋体" w:cs="宋体"/>
          <w:kern w:val="0"/>
          <w:sz w:val="24"/>
        </w:rPr>
        <w:t>说明：报价应综合考虑完成本项目产生的所有成本、税金及合理利润，具体包含但不限于完成采购标的包含的人工费用、交通费、税金、利润等所有成本费用。在合同实施时，招标人将不予支付完成本项目必须的但中标人没有列入的费用，并认为此费用已包括在报价中。</w:t>
      </w:r>
    </w:p>
    <w:p w14:paraId="4F8D6914">
      <w:pPr>
        <w:pageBreakBefore w:val="0"/>
        <w:numPr>
          <w:ilvl w:val="255"/>
          <w:numId w:val="0"/>
        </w:numPr>
        <w:kinsoku/>
        <w:wordWrap/>
        <w:overflowPunct/>
        <w:topLinePunct w:val="0"/>
        <w:autoSpaceDE/>
        <w:autoSpaceDN/>
        <w:bidi w:val="0"/>
        <w:spacing w:line="400" w:lineRule="exact"/>
        <w:ind w:firstLine="480" w:firstLineChars="200"/>
        <w:jc w:val="left"/>
        <w:rPr>
          <w:rFonts w:ascii="宋体" w:hAnsi="宋体" w:cs="宋体"/>
          <w:sz w:val="24"/>
        </w:rPr>
      </w:pPr>
      <w:r>
        <w:rPr>
          <w:rFonts w:ascii="宋体" w:hAnsi="宋体" w:cs="宋体"/>
          <w:sz w:val="24"/>
        </w:rPr>
        <w:t>1.投标人必须就“</w:t>
      </w:r>
      <w:r>
        <w:rPr>
          <w:rFonts w:hint="eastAsia" w:ascii="宋体" w:hAnsi="宋体" w:cs="宋体"/>
          <w:sz w:val="24"/>
        </w:rPr>
        <w:t>项目需求和说明</w:t>
      </w:r>
      <w:r>
        <w:rPr>
          <w:rFonts w:ascii="宋体" w:hAnsi="宋体" w:cs="宋体"/>
          <w:sz w:val="24"/>
        </w:rPr>
        <w:t>”中的所有内容作完整唯一报价，否则，其投标文件按无效处理。</w:t>
      </w:r>
    </w:p>
    <w:p w14:paraId="2473D01C">
      <w:pPr>
        <w:pageBreakBefore w:val="0"/>
        <w:kinsoku/>
        <w:wordWrap/>
        <w:overflowPunct/>
        <w:topLinePunct w:val="0"/>
        <w:autoSpaceDE/>
        <w:autoSpaceDN/>
        <w:bidi w:val="0"/>
        <w:spacing w:line="400" w:lineRule="exact"/>
        <w:ind w:firstLine="420"/>
        <w:jc w:val="left"/>
        <w:rPr>
          <w:rFonts w:ascii="宋体" w:hAnsi="宋体" w:cs="宋体"/>
          <w:sz w:val="24"/>
        </w:rPr>
      </w:pPr>
      <w:r>
        <w:rPr>
          <w:rFonts w:ascii="宋体" w:hAnsi="宋体" w:cs="宋体"/>
          <w:sz w:val="24"/>
        </w:rPr>
        <w:t>2.投标人应根据所提供的</w:t>
      </w:r>
      <w:r>
        <w:rPr>
          <w:rFonts w:hint="eastAsia" w:ascii="宋体" w:hAnsi="宋体" w:cs="宋体"/>
          <w:sz w:val="24"/>
        </w:rPr>
        <w:t>货物及</w:t>
      </w:r>
      <w:r>
        <w:rPr>
          <w:rFonts w:ascii="宋体" w:hAnsi="宋体" w:cs="宋体"/>
          <w:sz w:val="24"/>
        </w:rPr>
        <w:t>服务如实填写报价表的各项内容。</w:t>
      </w:r>
    </w:p>
    <w:p w14:paraId="6EE760B4">
      <w:pPr>
        <w:pageBreakBefore w:val="0"/>
        <w:kinsoku/>
        <w:wordWrap/>
        <w:overflowPunct/>
        <w:topLinePunct w:val="0"/>
        <w:autoSpaceDE/>
        <w:autoSpaceDN/>
        <w:bidi w:val="0"/>
        <w:spacing w:line="400" w:lineRule="exact"/>
        <w:ind w:firstLine="420"/>
        <w:jc w:val="left"/>
        <w:rPr>
          <w:rFonts w:hAnsi="宋体"/>
          <w:sz w:val="24"/>
        </w:rPr>
      </w:pPr>
      <w:r>
        <w:rPr>
          <w:rFonts w:ascii="宋体" w:hAnsi="宋体" w:cs="宋体"/>
          <w:sz w:val="24"/>
        </w:rPr>
        <w:t>3.报价表须由法定代表人、负责人或相应的委托代理人签字或盖章</w:t>
      </w:r>
      <w:r>
        <w:rPr>
          <w:rFonts w:hint="eastAsia" w:ascii="宋体" w:hAnsi="宋体" w:cs="宋体"/>
          <w:sz w:val="24"/>
        </w:rPr>
        <w:t>，</w:t>
      </w:r>
      <w:r>
        <w:rPr>
          <w:rFonts w:ascii="宋体" w:hAnsi="宋体" w:cs="宋体"/>
          <w:sz w:val="24"/>
        </w:rPr>
        <w:t>并加盖投标人公章。当本表由多页构成时，需逐页加盖投标人公章。</w:t>
      </w:r>
    </w:p>
    <w:p w14:paraId="3D47B0A4">
      <w:pPr>
        <w:pStyle w:val="9"/>
        <w:pageBreakBefore w:val="0"/>
        <w:kinsoku/>
        <w:wordWrap/>
        <w:overflowPunct/>
        <w:topLinePunct w:val="0"/>
        <w:autoSpaceDE/>
        <w:autoSpaceDN/>
        <w:bidi w:val="0"/>
        <w:spacing w:line="400" w:lineRule="exact"/>
        <w:ind w:firstLine="420"/>
        <w:rPr>
          <w:rFonts w:hAnsi="宋体"/>
          <w:sz w:val="24"/>
          <w:szCs w:val="24"/>
        </w:rPr>
      </w:pPr>
      <w:r>
        <w:rPr>
          <w:rFonts w:hint="eastAsia" w:hAnsi="宋体"/>
          <w:sz w:val="24"/>
          <w:szCs w:val="24"/>
        </w:rPr>
        <w:t>二、我方承诺已具备</w:t>
      </w:r>
      <w:r>
        <w:rPr>
          <w:rFonts w:hint="eastAsia" w:hAnsi="宋体" w:cs="宋体"/>
          <w:sz w:val="24"/>
          <w:szCs w:val="24"/>
        </w:rPr>
        <w:t>招标</w:t>
      </w:r>
      <w:r>
        <w:rPr>
          <w:rFonts w:hint="eastAsia" w:hAnsi="宋体"/>
          <w:sz w:val="24"/>
          <w:szCs w:val="24"/>
        </w:rPr>
        <w:t>文件规定的投标人资格条件。</w:t>
      </w:r>
    </w:p>
    <w:p w14:paraId="6881ED34">
      <w:pPr>
        <w:pStyle w:val="6"/>
        <w:pageBreakBefore w:val="0"/>
        <w:kinsoku/>
        <w:wordWrap/>
        <w:overflowPunct/>
        <w:topLinePunct w:val="0"/>
        <w:autoSpaceDE/>
        <w:autoSpaceDN/>
        <w:bidi w:val="0"/>
        <w:spacing w:line="400" w:lineRule="exact"/>
        <w:ind w:firstLine="420"/>
        <w:rPr>
          <w:rFonts w:hint="eastAsia" w:ascii="宋体" w:hAnsi="宋体" w:cs="宋体"/>
          <w:sz w:val="24"/>
        </w:rPr>
      </w:pPr>
      <w:r>
        <w:rPr>
          <w:rFonts w:hint="eastAsia"/>
          <w:sz w:val="24"/>
        </w:rPr>
        <w:t>三、</w:t>
      </w:r>
      <w:r>
        <w:rPr>
          <w:rFonts w:hint="eastAsia" w:ascii="宋体" w:hAnsi="宋体" w:cs="宋体"/>
          <w:sz w:val="24"/>
        </w:rPr>
        <w:t>我方已详细了解本项目，将自行承担因对本项目理解不正确或误解而产生的相应后果。</w:t>
      </w:r>
    </w:p>
    <w:p w14:paraId="0E245B0D">
      <w:pPr>
        <w:pStyle w:val="6"/>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ascii="宋体" w:hAnsi="宋体" w:cs="宋体"/>
          <w:sz w:val="24"/>
        </w:rPr>
      </w:pPr>
      <w:r>
        <w:rPr>
          <w:rFonts w:hint="eastAsia" w:ascii="宋体" w:hAnsi="宋体" w:cs="宋体"/>
          <w:sz w:val="24"/>
        </w:rPr>
        <w:t>与本项目有关的正式通讯地址为：</w:t>
      </w:r>
    </w:p>
    <w:p w14:paraId="7A9F3D37">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地址：</w:t>
      </w:r>
      <w:r>
        <w:rPr>
          <w:rFonts w:hAnsi="宋体" w:cs="宋体"/>
          <w:sz w:val="24"/>
          <w:szCs w:val="24"/>
        </w:rPr>
        <w:t xml:space="preserve">   </w:t>
      </w:r>
    </w:p>
    <w:p w14:paraId="20DBD9EE">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邮编：</w:t>
      </w:r>
      <w:r>
        <w:rPr>
          <w:rFonts w:hAnsi="宋体" w:cs="宋体"/>
          <w:sz w:val="24"/>
          <w:szCs w:val="24"/>
        </w:rPr>
        <w:t xml:space="preserve">               </w:t>
      </w:r>
      <w:r>
        <w:rPr>
          <w:rFonts w:hint="eastAsia" w:hAnsi="宋体" w:cs="宋体"/>
          <w:sz w:val="24"/>
          <w:szCs w:val="24"/>
        </w:rPr>
        <w:t>邮箱：</w:t>
      </w:r>
    </w:p>
    <w:p w14:paraId="47EDF029">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办公电话：</w:t>
      </w:r>
      <w:r>
        <w:rPr>
          <w:rFonts w:hAnsi="宋体" w:cs="宋体"/>
          <w:sz w:val="24"/>
          <w:szCs w:val="24"/>
        </w:rPr>
        <w:t xml:space="preserve">           </w:t>
      </w:r>
      <w:r>
        <w:rPr>
          <w:rFonts w:hint="eastAsia" w:hAnsi="宋体" w:cs="宋体"/>
          <w:sz w:val="24"/>
          <w:szCs w:val="24"/>
        </w:rPr>
        <w:t>传真：</w:t>
      </w:r>
    </w:p>
    <w:p w14:paraId="4843671E">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u w:val="single"/>
        </w:rPr>
      </w:pPr>
      <w:r>
        <w:rPr>
          <w:rFonts w:hint="eastAsia" w:hAnsi="宋体" w:cs="宋体"/>
          <w:sz w:val="24"/>
          <w:szCs w:val="24"/>
        </w:rPr>
        <w:t>委托代理人联系电话：</w:t>
      </w:r>
    </w:p>
    <w:p w14:paraId="1D25FD6F">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投标人（公章）：</w:t>
      </w:r>
    </w:p>
    <w:p w14:paraId="78A094B2">
      <w:pPr>
        <w:pStyle w:val="9"/>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Ansi="宋体" w:cs="宋体"/>
          <w:sz w:val="24"/>
          <w:szCs w:val="24"/>
        </w:rPr>
      </w:pPr>
      <w:r>
        <w:rPr>
          <w:rFonts w:hint="eastAsia" w:hAnsi="宋体" w:cs="宋体"/>
          <w:sz w:val="24"/>
          <w:szCs w:val="24"/>
        </w:rPr>
        <w:t>法定代表人（负责人）或相应的委托代理人签字：</w:t>
      </w:r>
    </w:p>
    <w:p w14:paraId="1F4277E2">
      <w:pPr>
        <w:pStyle w:val="9"/>
        <w:keepNext w:val="0"/>
        <w:keepLines w:val="0"/>
        <w:pageBreakBefore w:val="0"/>
        <w:widowControl w:val="0"/>
        <w:kinsoku/>
        <w:wordWrap/>
        <w:overflowPunct/>
        <w:topLinePunct w:val="0"/>
        <w:autoSpaceDE/>
        <w:autoSpaceDN/>
        <w:bidi w:val="0"/>
        <w:adjustRightInd/>
        <w:snapToGrid/>
        <w:spacing w:line="360" w:lineRule="exact"/>
        <w:ind w:firstLine="420"/>
        <w:jc w:val="left"/>
        <w:textAlignment w:val="auto"/>
        <w:rPr>
          <w:rFonts w:hAnsi="宋体" w:cs="宋体"/>
          <w:b/>
          <w:sz w:val="30"/>
          <w:szCs w:val="30"/>
        </w:rPr>
      </w:pPr>
      <w:r>
        <w:rPr>
          <w:rFonts w:hint="eastAsia" w:hAnsi="宋体" w:cs="宋体"/>
          <w:sz w:val="24"/>
          <w:szCs w:val="24"/>
        </w:rPr>
        <w:t xml:space="preserve">日期：             </w:t>
      </w:r>
      <w:r>
        <w:rPr>
          <w:rFonts w:hAnsi="宋体" w:cs="宋体"/>
          <w:sz w:val="24"/>
          <w:szCs w:val="24"/>
        </w:rPr>
        <w:br w:type="page"/>
      </w:r>
    </w:p>
    <w:p w14:paraId="47C0A9E5">
      <w:pPr>
        <w:pStyle w:val="9"/>
        <w:pageBreakBefore w:val="0"/>
        <w:kinsoku/>
        <w:wordWrap/>
        <w:overflowPunct/>
        <w:topLinePunct w:val="0"/>
        <w:autoSpaceDE/>
        <w:autoSpaceDN/>
        <w:bidi w:val="0"/>
        <w:spacing w:line="400" w:lineRule="exact"/>
        <w:ind w:firstLine="590" w:firstLineChars="196"/>
        <w:rPr>
          <w:rFonts w:hAnsi="宋体" w:cs="宋体"/>
          <w:b/>
          <w:sz w:val="30"/>
          <w:szCs w:val="30"/>
        </w:rPr>
      </w:pPr>
    </w:p>
    <w:p w14:paraId="29B0D432">
      <w:pPr>
        <w:pStyle w:val="9"/>
        <w:pageBreakBefore w:val="0"/>
        <w:kinsoku/>
        <w:wordWrap/>
        <w:overflowPunct/>
        <w:topLinePunct w:val="0"/>
        <w:autoSpaceDE/>
        <w:autoSpaceDN/>
        <w:bidi w:val="0"/>
        <w:spacing w:line="400" w:lineRule="exact"/>
        <w:ind w:firstLine="590" w:firstLineChars="196"/>
        <w:jc w:val="center"/>
        <w:rPr>
          <w:rFonts w:hAnsi="宋体" w:cs="宋体"/>
          <w:b/>
          <w:sz w:val="30"/>
          <w:szCs w:val="30"/>
        </w:rPr>
      </w:pPr>
      <w:r>
        <w:rPr>
          <w:rFonts w:hint="eastAsia" w:hAnsi="宋体" w:cs="宋体"/>
          <w:b/>
          <w:sz w:val="30"/>
          <w:szCs w:val="30"/>
        </w:rPr>
        <w:t>法人授权委托书（格式）</w:t>
      </w:r>
    </w:p>
    <w:p w14:paraId="2660FD35">
      <w:pPr>
        <w:pageBreakBefore w:val="0"/>
        <w:kinsoku/>
        <w:wordWrap/>
        <w:overflowPunct/>
        <w:topLinePunct w:val="0"/>
        <w:autoSpaceDE/>
        <w:autoSpaceDN/>
        <w:bidi w:val="0"/>
        <w:spacing w:line="400" w:lineRule="exact"/>
        <w:jc w:val="left"/>
        <w:rPr>
          <w:rFonts w:ascii="宋体" w:hAnsi="宋体" w:cs="宋体"/>
          <w:sz w:val="24"/>
        </w:rPr>
      </w:pPr>
    </w:p>
    <w:p w14:paraId="57DE4186">
      <w:pPr>
        <w:pageBreakBefore w:val="0"/>
        <w:kinsoku/>
        <w:wordWrap/>
        <w:overflowPunct/>
        <w:topLinePunct w:val="0"/>
        <w:autoSpaceDE/>
        <w:autoSpaceDN/>
        <w:bidi w:val="0"/>
        <w:spacing w:line="400" w:lineRule="exact"/>
        <w:jc w:val="left"/>
        <w:rPr>
          <w:rFonts w:ascii="宋体" w:hAnsi="宋体" w:cs="宋体"/>
          <w:sz w:val="24"/>
        </w:rPr>
      </w:pPr>
      <w:r>
        <w:rPr>
          <w:rFonts w:hint="eastAsia" w:ascii="宋体" w:hAnsi="宋体" w:cs="宋体"/>
          <w:sz w:val="24"/>
        </w:rPr>
        <w:t>致：</w:t>
      </w:r>
      <w:r>
        <w:rPr>
          <w:rFonts w:hint="eastAsia" w:ascii="宋体" w:hAnsi="宋体" w:cs="宋体"/>
          <w:sz w:val="24"/>
          <w:u w:val="single"/>
        </w:rPr>
        <w:t>桂林市人民医院</w:t>
      </w:r>
    </w:p>
    <w:p w14:paraId="537A08E8">
      <w:pPr>
        <w:pageBreakBefore w:val="0"/>
        <w:kinsoku/>
        <w:wordWrap/>
        <w:overflowPunct/>
        <w:topLinePunct w:val="0"/>
        <w:autoSpaceDE/>
        <w:autoSpaceDN/>
        <w:bidi w:val="0"/>
        <w:spacing w:line="400" w:lineRule="exact"/>
        <w:ind w:firstLine="420"/>
        <w:jc w:val="left"/>
        <w:rPr>
          <w:rFonts w:ascii="宋体" w:hAnsi="宋体" w:cs="宋体"/>
          <w:sz w:val="24"/>
        </w:rPr>
      </w:pPr>
      <w:r>
        <w:rPr>
          <w:rFonts w:hint="eastAsia" w:ascii="宋体" w:hAnsi="宋体" w:cs="宋体"/>
          <w:sz w:val="24"/>
        </w:rPr>
        <w:t>我（姓名）系（投标人名称）的法定代表人（负责人），现授权委托本单位在职职工（姓名）以我方名义参加</w:t>
      </w:r>
      <w:r>
        <w:rPr>
          <w:rFonts w:ascii="宋体" w:hAnsi="宋体" w:cs="宋体"/>
          <w:sz w:val="24"/>
          <w:u w:val="single"/>
        </w:rPr>
        <w:t xml:space="preserve">      （项目名称及项目编号）        </w:t>
      </w:r>
      <w:r>
        <w:rPr>
          <w:rFonts w:hint="eastAsia" w:ascii="宋体" w:hAnsi="宋体" w:cs="宋体"/>
          <w:sz w:val="24"/>
        </w:rPr>
        <w:t>项目的招标活动，并代表我方全权办理针对上述项目的具体事务和签署相关文件。</w:t>
      </w:r>
    </w:p>
    <w:p w14:paraId="6842570E">
      <w:pPr>
        <w:pageBreakBefore w:val="0"/>
        <w:kinsoku/>
        <w:wordWrap/>
        <w:overflowPunct/>
        <w:topLinePunct w:val="0"/>
        <w:autoSpaceDE/>
        <w:autoSpaceDN/>
        <w:bidi w:val="0"/>
        <w:spacing w:line="400" w:lineRule="exact"/>
        <w:ind w:firstLine="420"/>
        <w:jc w:val="left"/>
        <w:rPr>
          <w:rFonts w:ascii="宋体" w:hAnsi="宋体" w:cs="宋体"/>
          <w:sz w:val="24"/>
        </w:rPr>
      </w:pPr>
      <w:r>
        <w:rPr>
          <w:rFonts w:hint="eastAsia" w:ascii="宋体" w:hAnsi="宋体" w:cs="宋体"/>
          <w:sz w:val="24"/>
        </w:rPr>
        <w:t>我方对被授权人的签字事项负全部责任。</w:t>
      </w:r>
    </w:p>
    <w:p w14:paraId="5516995B">
      <w:pPr>
        <w:pageBreakBefore w:val="0"/>
        <w:kinsoku/>
        <w:wordWrap/>
        <w:overflowPunct/>
        <w:topLinePunct w:val="0"/>
        <w:autoSpaceDE/>
        <w:autoSpaceDN/>
        <w:bidi w:val="0"/>
        <w:spacing w:line="400" w:lineRule="exact"/>
        <w:ind w:firstLine="420"/>
        <w:jc w:val="left"/>
        <w:rPr>
          <w:rFonts w:ascii="宋体" w:hAnsi="宋体" w:cs="宋体"/>
          <w:sz w:val="24"/>
          <w:u w:val="single"/>
        </w:rPr>
      </w:pPr>
      <w:r>
        <w:rPr>
          <w:rFonts w:hint="eastAsia" w:ascii="宋体" w:hAnsi="宋体" w:cs="宋体"/>
          <w:sz w:val="24"/>
        </w:rPr>
        <w:t>授权委托代理期限：从</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日起至</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日止。</w:t>
      </w:r>
    </w:p>
    <w:p w14:paraId="5B17B2C0">
      <w:pPr>
        <w:pageBreakBefore w:val="0"/>
        <w:kinsoku/>
        <w:wordWrap/>
        <w:overflowPunct/>
        <w:topLinePunct w:val="0"/>
        <w:autoSpaceDE/>
        <w:autoSpaceDN/>
        <w:bidi w:val="0"/>
        <w:spacing w:line="400" w:lineRule="exact"/>
        <w:jc w:val="left"/>
        <w:rPr>
          <w:rFonts w:ascii="宋体" w:hAnsi="宋体" w:cs="宋体"/>
          <w:sz w:val="24"/>
          <w:u w:val="single"/>
        </w:rPr>
      </w:pPr>
    </w:p>
    <w:p w14:paraId="3A8CC0A9">
      <w:pPr>
        <w:pageBreakBefore w:val="0"/>
        <w:kinsoku/>
        <w:wordWrap/>
        <w:overflowPunct/>
        <w:topLinePunct w:val="0"/>
        <w:autoSpaceDE/>
        <w:autoSpaceDN/>
        <w:bidi w:val="0"/>
        <w:spacing w:line="400" w:lineRule="exact"/>
        <w:ind w:firstLine="420"/>
        <w:jc w:val="left"/>
        <w:rPr>
          <w:rFonts w:ascii="宋体" w:hAnsi="宋体" w:cs="宋体"/>
          <w:sz w:val="24"/>
        </w:rPr>
      </w:pPr>
      <w:r>
        <w:rPr>
          <w:rFonts w:hint="eastAsia" w:ascii="宋体" w:hAnsi="宋体" w:cs="宋体"/>
          <w:sz w:val="24"/>
        </w:rPr>
        <w:t>代理人无转委托权</w:t>
      </w:r>
      <w:r>
        <w:rPr>
          <w:rFonts w:ascii="宋体" w:hAnsi="宋体" w:cs="宋体"/>
          <w:sz w:val="24"/>
        </w:rPr>
        <w:t xml:space="preserve">,特此委托。 </w:t>
      </w:r>
    </w:p>
    <w:p w14:paraId="7BFE89EB">
      <w:pPr>
        <w:pageBreakBefore w:val="0"/>
        <w:kinsoku/>
        <w:wordWrap/>
        <w:overflowPunct/>
        <w:topLinePunct w:val="0"/>
        <w:autoSpaceDE/>
        <w:autoSpaceDN/>
        <w:bidi w:val="0"/>
        <w:snapToGrid w:val="0"/>
        <w:spacing w:line="400" w:lineRule="exact"/>
        <w:ind w:firstLine="525"/>
        <w:jc w:val="left"/>
        <w:rPr>
          <w:rFonts w:ascii="宋体" w:hAnsi="宋体" w:cs="宋体"/>
          <w:sz w:val="24"/>
        </w:rPr>
      </w:pPr>
    </w:p>
    <w:p w14:paraId="59EBD27C">
      <w:pPr>
        <w:pageBreakBefore w:val="0"/>
        <w:kinsoku/>
        <w:wordWrap/>
        <w:overflowPunct/>
        <w:topLinePunct w:val="0"/>
        <w:autoSpaceDE/>
        <w:autoSpaceDN/>
        <w:bidi w:val="0"/>
        <w:snapToGrid w:val="0"/>
        <w:spacing w:line="400" w:lineRule="exact"/>
        <w:ind w:firstLine="420"/>
        <w:jc w:val="left"/>
        <w:rPr>
          <w:rFonts w:ascii="宋体" w:hAnsi="宋体" w:cs="宋体"/>
          <w:sz w:val="24"/>
        </w:rPr>
      </w:pPr>
      <w:r>
        <w:rPr>
          <w:rFonts w:hint="eastAsia" w:ascii="宋体" w:hAnsi="宋体" w:cs="宋体"/>
          <w:sz w:val="24"/>
        </w:rPr>
        <w:t>我已在下面签字，以资证明。</w:t>
      </w:r>
    </w:p>
    <w:p w14:paraId="415D8A03">
      <w:pPr>
        <w:pageBreakBefore w:val="0"/>
        <w:kinsoku/>
        <w:wordWrap/>
        <w:overflowPunct/>
        <w:topLinePunct w:val="0"/>
        <w:autoSpaceDE/>
        <w:autoSpaceDN/>
        <w:bidi w:val="0"/>
        <w:snapToGrid w:val="0"/>
        <w:spacing w:line="400" w:lineRule="exact"/>
        <w:ind w:firstLine="420"/>
        <w:jc w:val="left"/>
        <w:rPr>
          <w:rFonts w:ascii="宋体" w:hAnsi="宋体" w:cs="宋体"/>
          <w:sz w:val="24"/>
        </w:rPr>
      </w:pPr>
    </w:p>
    <w:p w14:paraId="50CE1253">
      <w:pPr>
        <w:pageBreakBefore w:val="0"/>
        <w:kinsoku/>
        <w:wordWrap/>
        <w:overflowPunct/>
        <w:topLinePunct w:val="0"/>
        <w:autoSpaceDE/>
        <w:autoSpaceDN/>
        <w:bidi w:val="0"/>
        <w:snapToGrid w:val="0"/>
        <w:spacing w:line="400" w:lineRule="exact"/>
        <w:ind w:firstLine="420"/>
        <w:jc w:val="left"/>
        <w:rPr>
          <w:rFonts w:ascii="宋体" w:hAnsi="宋体" w:cs="宋体"/>
          <w:sz w:val="24"/>
        </w:rPr>
      </w:pPr>
    </w:p>
    <w:p w14:paraId="48322373">
      <w:pPr>
        <w:pageBreakBefore w:val="0"/>
        <w:kinsoku/>
        <w:wordWrap/>
        <w:overflowPunct/>
        <w:topLinePunct w:val="0"/>
        <w:autoSpaceDE/>
        <w:autoSpaceDN/>
        <w:bidi w:val="0"/>
        <w:snapToGrid w:val="0"/>
        <w:spacing w:line="400" w:lineRule="exact"/>
        <w:ind w:firstLine="420"/>
        <w:jc w:val="left"/>
        <w:rPr>
          <w:rFonts w:ascii="宋体" w:hAnsi="宋体" w:cs="宋体"/>
          <w:sz w:val="24"/>
          <w:u w:val="single"/>
        </w:rPr>
      </w:pPr>
      <w:r>
        <w:rPr>
          <w:rFonts w:hint="eastAsia" w:ascii="宋体" w:hAnsi="宋体" w:cs="宋体"/>
          <w:sz w:val="24"/>
        </w:rPr>
        <w:t>投标人（公章）：</w:t>
      </w:r>
    </w:p>
    <w:p w14:paraId="403E4646">
      <w:pPr>
        <w:pageBreakBefore w:val="0"/>
        <w:kinsoku/>
        <w:wordWrap/>
        <w:overflowPunct/>
        <w:topLinePunct w:val="0"/>
        <w:autoSpaceDE/>
        <w:autoSpaceDN/>
        <w:bidi w:val="0"/>
        <w:snapToGrid w:val="0"/>
        <w:spacing w:line="400" w:lineRule="exact"/>
        <w:ind w:firstLine="420"/>
        <w:jc w:val="left"/>
        <w:rPr>
          <w:rFonts w:ascii="宋体" w:hAnsi="宋体" w:cs="宋体"/>
          <w:sz w:val="24"/>
        </w:rPr>
      </w:pPr>
    </w:p>
    <w:p w14:paraId="1894E726">
      <w:pPr>
        <w:pageBreakBefore w:val="0"/>
        <w:kinsoku/>
        <w:wordWrap/>
        <w:overflowPunct/>
        <w:topLinePunct w:val="0"/>
        <w:autoSpaceDE/>
        <w:autoSpaceDN/>
        <w:bidi w:val="0"/>
        <w:snapToGrid w:val="0"/>
        <w:spacing w:line="400" w:lineRule="exact"/>
        <w:ind w:firstLine="420"/>
        <w:jc w:val="left"/>
        <w:rPr>
          <w:rFonts w:ascii="宋体" w:hAnsi="宋体" w:cs="宋体"/>
          <w:sz w:val="24"/>
        </w:rPr>
      </w:pPr>
      <w:r>
        <w:rPr>
          <w:rFonts w:hint="eastAsia" w:ascii="宋体" w:hAnsi="宋体" w:cs="宋体"/>
          <w:sz w:val="24"/>
        </w:rPr>
        <w:t>法定代表人（负责人）签字或盖章：</w:t>
      </w:r>
      <w:r>
        <w:rPr>
          <w:rFonts w:ascii="宋体" w:hAnsi="宋体" w:cs="宋体"/>
          <w:sz w:val="24"/>
        </w:rPr>
        <w:t xml:space="preserve">  </w:t>
      </w:r>
    </w:p>
    <w:p w14:paraId="46FDB227">
      <w:pPr>
        <w:pageBreakBefore w:val="0"/>
        <w:kinsoku/>
        <w:wordWrap/>
        <w:overflowPunct/>
        <w:topLinePunct w:val="0"/>
        <w:autoSpaceDE/>
        <w:autoSpaceDN/>
        <w:bidi w:val="0"/>
        <w:snapToGrid w:val="0"/>
        <w:spacing w:line="400" w:lineRule="exact"/>
        <w:ind w:firstLine="720" w:firstLineChars="300"/>
        <w:jc w:val="left"/>
        <w:rPr>
          <w:rFonts w:ascii="宋体" w:hAnsi="宋体" w:cs="宋体"/>
          <w:sz w:val="24"/>
        </w:rPr>
      </w:pPr>
    </w:p>
    <w:p w14:paraId="1CB6CFF1">
      <w:pPr>
        <w:pageBreakBefore w:val="0"/>
        <w:kinsoku/>
        <w:wordWrap/>
        <w:overflowPunct/>
        <w:topLinePunct w:val="0"/>
        <w:autoSpaceDE/>
        <w:autoSpaceDN/>
        <w:bidi w:val="0"/>
        <w:snapToGrid w:val="0"/>
        <w:spacing w:line="400" w:lineRule="exact"/>
        <w:ind w:firstLine="480" w:firstLineChars="200"/>
        <w:jc w:val="left"/>
        <w:rPr>
          <w:rFonts w:ascii="宋体" w:hAnsi="宋体" w:cs="宋体"/>
          <w:sz w:val="24"/>
        </w:rPr>
      </w:pP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p>
    <w:p w14:paraId="4373F3B3">
      <w:pPr>
        <w:pageBreakBefore w:val="0"/>
        <w:kinsoku/>
        <w:wordWrap/>
        <w:overflowPunct/>
        <w:topLinePunct w:val="0"/>
        <w:autoSpaceDE/>
        <w:autoSpaceDN/>
        <w:bidi w:val="0"/>
        <w:spacing w:line="400" w:lineRule="exact"/>
        <w:rPr>
          <w:rFonts w:ascii="宋体" w:hAnsi="宋体" w:cs="宋体"/>
          <w:b/>
          <w:sz w:val="30"/>
          <w:szCs w:val="30"/>
        </w:rPr>
      </w:pPr>
      <w:r>
        <w:rPr>
          <w:rFonts w:hint="eastAsia" w:ascii="宋体" w:hAnsi="宋体" w:cs="宋体"/>
          <w:b/>
          <w:bCs/>
          <w:sz w:val="24"/>
        </w:rPr>
        <w:br w:type="page"/>
      </w:r>
    </w:p>
    <w:p w14:paraId="5BCE7AE9">
      <w:pPr>
        <w:pageBreakBefore w:val="0"/>
        <w:kinsoku/>
        <w:wordWrap/>
        <w:overflowPunct/>
        <w:topLinePunct w:val="0"/>
        <w:autoSpaceDE/>
        <w:autoSpaceDN/>
        <w:bidi w:val="0"/>
        <w:spacing w:line="400" w:lineRule="exact"/>
        <w:jc w:val="center"/>
        <w:rPr>
          <w:rFonts w:ascii="宋体" w:hAnsi="宋体" w:cs="宋体"/>
          <w:b/>
          <w:sz w:val="30"/>
          <w:szCs w:val="30"/>
        </w:rPr>
      </w:pPr>
      <w:r>
        <w:rPr>
          <w:rFonts w:hint="eastAsia" w:ascii="宋体" w:hAnsi="宋体" w:cs="宋体"/>
          <w:b/>
          <w:sz w:val="30"/>
          <w:szCs w:val="30"/>
        </w:rPr>
        <w:t>技术需求响应表</w:t>
      </w:r>
    </w:p>
    <w:p w14:paraId="38E4D3FF">
      <w:pPr>
        <w:pageBreakBefore w:val="0"/>
        <w:kinsoku/>
        <w:wordWrap/>
        <w:overflowPunct/>
        <w:topLinePunct w:val="0"/>
        <w:autoSpaceDE/>
        <w:autoSpaceDN/>
        <w:bidi w:val="0"/>
        <w:spacing w:line="400" w:lineRule="exact"/>
        <w:rPr>
          <w:rFonts w:ascii="宋体" w:hAnsi="宋体" w:cs="宋体"/>
          <w:sz w:val="24"/>
        </w:rPr>
      </w:pPr>
    </w:p>
    <w:p w14:paraId="1BBBC21E">
      <w:pPr>
        <w:pageBreakBefore w:val="0"/>
        <w:kinsoku/>
        <w:wordWrap/>
        <w:overflowPunct/>
        <w:topLinePunct w:val="0"/>
        <w:autoSpaceDE/>
        <w:autoSpaceDN/>
        <w:bidi w:val="0"/>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1C986F7F">
      <w:pPr>
        <w:pageBreakBefore w:val="0"/>
        <w:kinsoku/>
        <w:wordWrap/>
        <w:overflowPunct/>
        <w:topLinePunct w:val="0"/>
        <w:autoSpaceDE/>
        <w:autoSpaceDN/>
        <w:bidi w:val="0"/>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79"/>
        <w:gridCol w:w="3874"/>
        <w:gridCol w:w="2400"/>
        <w:gridCol w:w="1083"/>
      </w:tblGrid>
      <w:tr w14:paraId="7071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780" w:type="dxa"/>
            <w:vAlign w:val="center"/>
          </w:tcPr>
          <w:p w14:paraId="60069C2D">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序号</w:t>
            </w:r>
          </w:p>
        </w:tc>
        <w:tc>
          <w:tcPr>
            <w:tcW w:w="1779" w:type="dxa"/>
            <w:vAlign w:val="center"/>
          </w:tcPr>
          <w:p w14:paraId="03DF899B">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b/>
                <w:bCs/>
                <w:spacing w:val="1"/>
                <w:sz w:val="24"/>
              </w:rPr>
            </w:pPr>
            <w:r>
              <w:rPr>
                <w:rFonts w:hint="eastAsia" w:ascii="宋体" w:hAnsi="宋体" w:cs="宋体"/>
                <w:b/>
                <w:bCs/>
                <w:kern w:val="0"/>
                <w:sz w:val="24"/>
              </w:rPr>
              <w:t>功能需求</w:t>
            </w:r>
          </w:p>
        </w:tc>
        <w:tc>
          <w:tcPr>
            <w:tcW w:w="3874" w:type="dxa"/>
            <w:vAlign w:val="center"/>
          </w:tcPr>
          <w:p w14:paraId="3281B800">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需求内容</w:t>
            </w:r>
          </w:p>
        </w:tc>
        <w:tc>
          <w:tcPr>
            <w:tcW w:w="2400" w:type="dxa"/>
            <w:vAlign w:val="center"/>
          </w:tcPr>
          <w:p w14:paraId="7523AEB2">
            <w:pPr>
              <w:pageBreakBefore w:val="0"/>
              <w:kinsoku/>
              <w:wordWrap/>
              <w:overflowPunct/>
              <w:topLinePunct w:val="0"/>
              <w:autoSpaceDE/>
              <w:autoSpaceDN/>
              <w:bidi w:val="0"/>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投标文件的响应内容</w:t>
            </w:r>
          </w:p>
        </w:tc>
        <w:tc>
          <w:tcPr>
            <w:tcW w:w="1083" w:type="dxa"/>
            <w:vAlign w:val="center"/>
          </w:tcPr>
          <w:p w14:paraId="167DA8A1">
            <w:pPr>
              <w:pageBreakBefore w:val="0"/>
              <w:kinsoku/>
              <w:wordWrap/>
              <w:overflowPunct/>
              <w:topLinePunct w:val="0"/>
              <w:autoSpaceDE/>
              <w:autoSpaceDN/>
              <w:bidi w:val="0"/>
              <w:spacing w:line="400" w:lineRule="exact"/>
              <w:jc w:val="center"/>
              <w:outlineLvl w:val="0"/>
              <w:rPr>
                <w:rFonts w:asciiTheme="minorEastAsia" w:hAnsiTheme="minorEastAsia" w:eastAsiaTheme="minorEastAsia" w:cstheme="minorEastAsia"/>
                <w:b/>
                <w:bCs/>
                <w:spacing w:val="1"/>
                <w:sz w:val="24"/>
              </w:rPr>
            </w:pPr>
            <w:r>
              <w:rPr>
                <w:rFonts w:hint="eastAsia" w:asciiTheme="minorEastAsia" w:hAnsiTheme="minorEastAsia" w:eastAsiaTheme="minorEastAsia" w:cstheme="minorEastAsia"/>
                <w:b/>
                <w:bCs/>
                <w:spacing w:val="1"/>
                <w:sz w:val="24"/>
              </w:rPr>
              <w:t>响应情况</w:t>
            </w:r>
          </w:p>
        </w:tc>
      </w:tr>
      <w:tr w14:paraId="1A55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80" w:type="dxa"/>
            <w:vAlign w:val="center"/>
          </w:tcPr>
          <w:p w14:paraId="759E6B30">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b/>
                <w:bCs/>
                <w:spacing w:val="1"/>
                <w:sz w:val="24"/>
              </w:rPr>
            </w:pPr>
            <w:r>
              <w:rPr>
                <w:rFonts w:hint="eastAsia" w:ascii="宋体" w:hAnsi="宋体" w:cs="宋体"/>
                <w:bCs/>
                <w:kern w:val="0"/>
                <w:sz w:val="24"/>
              </w:rPr>
              <w:t>1</w:t>
            </w:r>
          </w:p>
        </w:tc>
        <w:tc>
          <w:tcPr>
            <w:tcW w:w="1779" w:type="dxa"/>
            <w:vAlign w:val="center"/>
          </w:tcPr>
          <w:p w14:paraId="46177E84">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b/>
                <w:bCs/>
                <w:spacing w:val="1"/>
                <w:sz w:val="24"/>
              </w:rPr>
            </w:pPr>
          </w:p>
        </w:tc>
        <w:tc>
          <w:tcPr>
            <w:tcW w:w="3874" w:type="dxa"/>
            <w:vAlign w:val="center"/>
          </w:tcPr>
          <w:p w14:paraId="60C186C7">
            <w:pPr>
              <w:pageBreakBefore w:val="0"/>
              <w:kinsoku/>
              <w:wordWrap/>
              <w:overflowPunct/>
              <w:topLinePunct w:val="0"/>
              <w:autoSpaceDE/>
              <w:autoSpaceDN/>
              <w:bidi w:val="0"/>
              <w:spacing w:line="400" w:lineRule="exact"/>
              <w:rPr>
                <w:rFonts w:asciiTheme="minorEastAsia" w:hAnsiTheme="minorEastAsia" w:eastAsiaTheme="minorEastAsia" w:cstheme="minorEastAsia"/>
                <w:b/>
                <w:bCs/>
                <w:spacing w:val="1"/>
                <w:sz w:val="24"/>
              </w:rPr>
            </w:pPr>
          </w:p>
        </w:tc>
        <w:tc>
          <w:tcPr>
            <w:tcW w:w="2400" w:type="dxa"/>
            <w:vAlign w:val="center"/>
          </w:tcPr>
          <w:p w14:paraId="2A6BFBFB">
            <w:pPr>
              <w:pageBreakBefore w:val="0"/>
              <w:kinsoku/>
              <w:wordWrap/>
              <w:overflowPunct/>
              <w:topLinePunct w:val="0"/>
              <w:autoSpaceDE/>
              <w:autoSpaceDN/>
              <w:bidi w:val="0"/>
              <w:spacing w:line="400" w:lineRule="exact"/>
              <w:outlineLvl w:val="0"/>
              <w:rPr>
                <w:rFonts w:asciiTheme="minorEastAsia" w:hAnsiTheme="minorEastAsia" w:eastAsiaTheme="minorEastAsia" w:cstheme="minorEastAsia"/>
                <w:b/>
                <w:bCs/>
                <w:spacing w:val="1"/>
                <w:sz w:val="24"/>
              </w:rPr>
            </w:pPr>
          </w:p>
        </w:tc>
        <w:tc>
          <w:tcPr>
            <w:tcW w:w="1083" w:type="dxa"/>
            <w:vAlign w:val="center"/>
          </w:tcPr>
          <w:p w14:paraId="3A0C6F15">
            <w:pPr>
              <w:pageBreakBefore w:val="0"/>
              <w:kinsoku/>
              <w:wordWrap/>
              <w:overflowPunct/>
              <w:topLinePunct w:val="0"/>
              <w:autoSpaceDE/>
              <w:autoSpaceDN/>
              <w:bidi w:val="0"/>
              <w:spacing w:line="400" w:lineRule="exact"/>
              <w:outlineLvl w:val="0"/>
              <w:rPr>
                <w:rFonts w:asciiTheme="minorEastAsia" w:hAnsiTheme="minorEastAsia" w:eastAsiaTheme="minorEastAsia" w:cstheme="minorEastAsia"/>
                <w:b/>
                <w:bCs/>
                <w:spacing w:val="1"/>
                <w:sz w:val="24"/>
              </w:rPr>
            </w:pPr>
          </w:p>
        </w:tc>
      </w:tr>
      <w:tr w14:paraId="009D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4C94E83">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2</w:t>
            </w:r>
          </w:p>
        </w:tc>
        <w:tc>
          <w:tcPr>
            <w:tcW w:w="1779" w:type="dxa"/>
            <w:vAlign w:val="center"/>
          </w:tcPr>
          <w:p w14:paraId="5E3E78F0">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kern w:val="0"/>
                <w:sz w:val="24"/>
              </w:rPr>
            </w:pPr>
          </w:p>
        </w:tc>
        <w:tc>
          <w:tcPr>
            <w:tcW w:w="3874" w:type="dxa"/>
            <w:vAlign w:val="center"/>
          </w:tcPr>
          <w:p w14:paraId="0095D395">
            <w:pPr>
              <w:pageBreakBefore w:val="0"/>
              <w:widowControl/>
              <w:kinsoku/>
              <w:wordWrap/>
              <w:overflowPunct/>
              <w:topLinePunct w:val="0"/>
              <w:autoSpaceDE/>
              <w:autoSpaceDN/>
              <w:bidi w:val="0"/>
              <w:spacing w:line="400" w:lineRule="exact"/>
              <w:jc w:val="left"/>
              <w:rPr>
                <w:rFonts w:asciiTheme="minorEastAsia" w:hAnsiTheme="minorEastAsia" w:eastAsiaTheme="minorEastAsia" w:cstheme="minorEastAsia"/>
                <w:kern w:val="0"/>
                <w:sz w:val="24"/>
              </w:rPr>
            </w:pPr>
          </w:p>
        </w:tc>
        <w:tc>
          <w:tcPr>
            <w:tcW w:w="2400" w:type="dxa"/>
          </w:tcPr>
          <w:p w14:paraId="61A4966B">
            <w:pPr>
              <w:pStyle w:val="22"/>
              <w:pageBreakBefore w:val="0"/>
              <w:kinsoku/>
              <w:wordWrap/>
              <w:overflowPunct/>
              <w:topLinePunct w:val="0"/>
              <w:autoSpaceDE/>
              <w:autoSpaceDN/>
              <w:bidi w:val="0"/>
              <w:spacing w:line="400" w:lineRule="exact"/>
              <w:ind w:firstLine="0" w:firstLineChars="0"/>
              <w:jc w:val="left"/>
              <w:rPr>
                <w:rFonts w:asciiTheme="minorEastAsia" w:hAnsiTheme="minorEastAsia" w:eastAsiaTheme="minorEastAsia" w:cstheme="minorEastAsia"/>
                <w:kern w:val="0"/>
                <w:sz w:val="24"/>
                <w:szCs w:val="24"/>
              </w:rPr>
            </w:pPr>
          </w:p>
        </w:tc>
        <w:tc>
          <w:tcPr>
            <w:tcW w:w="1083" w:type="dxa"/>
          </w:tcPr>
          <w:p w14:paraId="390AE437">
            <w:pPr>
              <w:pStyle w:val="22"/>
              <w:pageBreakBefore w:val="0"/>
              <w:kinsoku/>
              <w:wordWrap/>
              <w:overflowPunct/>
              <w:topLinePunct w:val="0"/>
              <w:autoSpaceDE/>
              <w:autoSpaceDN/>
              <w:bidi w:val="0"/>
              <w:spacing w:line="400" w:lineRule="exact"/>
              <w:ind w:firstLine="0" w:firstLineChars="0"/>
              <w:jc w:val="left"/>
              <w:rPr>
                <w:rFonts w:asciiTheme="minorEastAsia" w:hAnsiTheme="minorEastAsia" w:eastAsiaTheme="minorEastAsia" w:cstheme="minorEastAsia"/>
                <w:kern w:val="0"/>
                <w:sz w:val="24"/>
                <w:szCs w:val="24"/>
              </w:rPr>
            </w:pPr>
          </w:p>
        </w:tc>
      </w:tr>
      <w:tr w14:paraId="5080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6697668D">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kern w:val="0"/>
                <w:sz w:val="24"/>
              </w:rPr>
            </w:pPr>
            <w:r>
              <w:rPr>
                <w:rFonts w:hint="eastAsia" w:ascii="宋体" w:hAnsi="宋体" w:cs="宋体"/>
                <w:bCs/>
                <w:kern w:val="0"/>
                <w:sz w:val="24"/>
              </w:rPr>
              <w:t>3</w:t>
            </w:r>
          </w:p>
        </w:tc>
        <w:tc>
          <w:tcPr>
            <w:tcW w:w="1779" w:type="dxa"/>
            <w:vAlign w:val="center"/>
          </w:tcPr>
          <w:p w14:paraId="6475FC43">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kern w:val="0"/>
                <w:sz w:val="24"/>
              </w:rPr>
            </w:pPr>
          </w:p>
        </w:tc>
        <w:tc>
          <w:tcPr>
            <w:tcW w:w="3874" w:type="dxa"/>
            <w:vAlign w:val="center"/>
          </w:tcPr>
          <w:p w14:paraId="5FC74C88">
            <w:pPr>
              <w:pageBreakBefore w:val="0"/>
              <w:kinsoku/>
              <w:wordWrap/>
              <w:overflowPunct/>
              <w:topLinePunct w:val="0"/>
              <w:autoSpaceDE/>
              <w:autoSpaceDN/>
              <w:bidi w:val="0"/>
              <w:spacing w:line="400" w:lineRule="exact"/>
              <w:jc w:val="left"/>
              <w:rPr>
                <w:rFonts w:asciiTheme="minorEastAsia" w:hAnsiTheme="minorEastAsia" w:eastAsiaTheme="minorEastAsia" w:cstheme="minorEastAsia"/>
                <w:kern w:val="0"/>
                <w:sz w:val="24"/>
              </w:rPr>
            </w:pPr>
          </w:p>
        </w:tc>
        <w:tc>
          <w:tcPr>
            <w:tcW w:w="2400" w:type="dxa"/>
          </w:tcPr>
          <w:p w14:paraId="18B12D72">
            <w:pPr>
              <w:pStyle w:val="22"/>
              <w:pageBreakBefore w:val="0"/>
              <w:kinsoku/>
              <w:wordWrap/>
              <w:overflowPunct/>
              <w:topLinePunct w:val="0"/>
              <w:autoSpaceDE/>
              <w:autoSpaceDN/>
              <w:bidi w:val="0"/>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2A817781">
            <w:pPr>
              <w:pStyle w:val="22"/>
              <w:pageBreakBefore w:val="0"/>
              <w:kinsoku/>
              <w:wordWrap/>
              <w:overflowPunct/>
              <w:topLinePunct w:val="0"/>
              <w:autoSpaceDE/>
              <w:autoSpaceDN/>
              <w:bidi w:val="0"/>
              <w:spacing w:line="400" w:lineRule="exact"/>
              <w:ind w:firstLine="0" w:firstLineChars="0"/>
              <w:rPr>
                <w:rFonts w:asciiTheme="minorEastAsia" w:hAnsiTheme="minorEastAsia" w:eastAsiaTheme="minorEastAsia" w:cstheme="minorEastAsia"/>
                <w:kern w:val="0"/>
                <w:sz w:val="24"/>
                <w:szCs w:val="24"/>
              </w:rPr>
            </w:pPr>
          </w:p>
        </w:tc>
      </w:tr>
      <w:tr w14:paraId="5719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 w:type="dxa"/>
            <w:vAlign w:val="center"/>
          </w:tcPr>
          <w:p w14:paraId="5BEBA856">
            <w:pPr>
              <w:pageBreakBefore w:val="0"/>
              <w:widowControl/>
              <w:kinsoku/>
              <w:wordWrap/>
              <w:overflowPunct/>
              <w:topLinePunct w:val="0"/>
              <w:autoSpaceDE/>
              <w:autoSpaceDN/>
              <w:bidi w:val="0"/>
              <w:spacing w:line="400" w:lineRule="exact"/>
              <w:jc w:val="center"/>
              <w:rPr>
                <w:rFonts w:asciiTheme="minorEastAsia" w:hAnsiTheme="minorEastAsia" w:cstheme="minorEastAsia"/>
                <w:kern w:val="0"/>
                <w:sz w:val="24"/>
              </w:rPr>
            </w:pPr>
            <w:r>
              <w:rPr>
                <w:rFonts w:hint="eastAsia" w:ascii="宋体" w:hAnsi="宋体" w:cs="宋体"/>
                <w:bCs/>
                <w:kern w:val="0"/>
                <w:sz w:val="24"/>
              </w:rPr>
              <w:t>...</w:t>
            </w:r>
          </w:p>
        </w:tc>
        <w:tc>
          <w:tcPr>
            <w:tcW w:w="1779" w:type="dxa"/>
            <w:vAlign w:val="center"/>
          </w:tcPr>
          <w:p w14:paraId="21F9569C">
            <w:pPr>
              <w:pageBreakBefore w:val="0"/>
              <w:widowControl/>
              <w:kinsoku/>
              <w:wordWrap/>
              <w:overflowPunct/>
              <w:topLinePunct w:val="0"/>
              <w:autoSpaceDE/>
              <w:autoSpaceDN/>
              <w:bidi w:val="0"/>
              <w:spacing w:line="400" w:lineRule="exact"/>
              <w:jc w:val="center"/>
              <w:rPr>
                <w:rFonts w:asciiTheme="minorEastAsia" w:hAnsiTheme="minorEastAsia" w:eastAsiaTheme="minorEastAsia" w:cstheme="minorEastAsia"/>
                <w:kern w:val="0"/>
                <w:sz w:val="24"/>
              </w:rPr>
            </w:pPr>
          </w:p>
        </w:tc>
        <w:tc>
          <w:tcPr>
            <w:tcW w:w="3874" w:type="dxa"/>
            <w:vAlign w:val="center"/>
          </w:tcPr>
          <w:p w14:paraId="03DA058A">
            <w:pPr>
              <w:pStyle w:val="3"/>
              <w:pageBreakBefore w:val="0"/>
              <w:kinsoku/>
              <w:wordWrap/>
              <w:overflowPunct/>
              <w:topLinePunct w:val="0"/>
              <w:autoSpaceDE/>
              <w:autoSpaceDN/>
              <w:bidi w:val="0"/>
              <w:spacing w:line="400" w:lineRule="exact"/>
              <w:outlineLvl w:val="3"/>
              <w:rPr>
                <w:rFonts w:asciiTheme="minorEastAsia" w:hAnsiTheme="minorEastAsia" w:eastAsiaTheme="minorEastAsia" w:cstheme="minorEastAsia"/>
                <w:kern w:val="0"/>
                <w:sz w:val="24"/>
              </w:rPr>
            </w:pPr>
          </w:p>
        </w:tc>
        <w:tc>
          <w:tcPr>
            <w:tcW w:w="2400" w:type="dxa"/>
          </w:tcPr>
          <w:p w14:paraId="5FE35AD7">
            <w:pPr>
              <w:pStyle w:val="22"/>
              <w:pageBreakBefore w:val="0"/>
              <w:kinsoku/>
              <w:wordWrap/>
              <w:overflowPunct/>
              <w:topLinePunct w:val="0"/>
              <w:autoSpaceDE/>
              <w:autoSpaceDN/>
              <w:bidi w:val="0"/>
              <w:spacing w:line="400" w:lineRule="exact"/>
              <w:ind w:firstLine="0" w:firstLineChars="0"/>
              <w:rPr>
                <w:rFonts w:asciiTheme="minorEastAsia" w:hAnsiTheme="minorEastAsia" w:eastAsiaTheme="minorEastAsia" w:cstheme="minorEastAsia"/>
                <w:kern w:val="0"/>
                <w:sz w:val="24"/>
                <w:szCs w:val="24"/>
              </w:rPr>
            </w:pPr>
          </w:p>
        </w:tc>
        <w:tc>
          <w:tcPr>
            <w:tcW w:w="1083" w:type="dxa"/>
          </w:tcPr>
          <w:p w14:paraId="175A49D4">
            <w:pPr>
              <w:pStyle w:val="22"/>
              <w:pageBreakBefore w:val="0"/>
              <w:kinsoku/>
              <w:wordWrap/>
              <w:overflowPunct/>
              <w:topLinePunct w:val="0"/>
              <w:autoSpaceDE/>
              <w:autoSpaceDN/>
              <w:bidi w:val="0"/>
              <w:spacing w:line="400" w:lineRule="exact"/>
              <w:ind w:firstLine="0" w:firstLineChars="0"/>
              <w:rPr>
                <w:rFonts w:asciiTheme="minorEastAsia" w:hAnsiTheme="minorEastAsia" w:eastAsiaTheme="minorEastAsia" w:cstheme="minorEastAsia"/>
                <w:kern w:val="0"/>
                <w:sz w:val="24"/>
                <w:szCs w:val="24"/>
              </w:rPr>
            </w:pPr>
          </w:p>
        </w:tc>
      </w:tr>
      <w:tr w14:paraId="6BF7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jc w:val="center"/>
        </w:trPr>
        <w:tc>
          <w:tcPr>
            <w:tcW w:w="9916" w:type="dxa"/>
            <w:gridSpan w:val="5"/>
            <w:vAlign w:val="center"/>
          </w:tcPr>
          <w:p w14:paraId="52B1AFAC">
            <w:pPr>
              <w:pStyle w:val="3"/>
              <w:pageBreakBefore w:val="0"/>
              <w:kinsoku/>
              <w:wordWrap/>
              <w:overflowPunct/>
              <w:topLinePunct w:val="0"/>
              <w:autoSpaceDE/>
              <w:autoSpaceDN/>
              <w:bidi w:val="0"/>
              <w:spacing w:line="400" w:lineRule="exact"/>
              <w:jc w:val="left"/>
              <w:outlineLvl w:val="3"/>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注：1.按“第二章  项目需求和说明”逐条响应</w:t>
            </w:r>
          </w:p>
          <w:p w14:paraId="14D41113">
            <w:pPr>
              <w:pStyle w:val="3"/>
              <w:pageBreakBefore w:val="0"/>
              <w:kinsoku/>
              <w:wordWrap/>
              <w:overflowPunct/>
              <w:topLinePunct w:val="0"/>
              <w:autoSpaceDE/>
              <w:autoSpaceDN/>
              <w:bidi w:val="0"/>
              <w:spacing w:line="400" w:lineRule="exact"/>
              <w:ind w:firstLine="422" w:firstLineChars="200"/>
              <w:jc w:val="left"/>
              <w:outlineLvl w:val="3"/>
            </w:pPr>
          </w:p>
        </w:tc>
      </w:tr>
    </w:tbl>
    <w:p w14:paraId="2226B51C">
      <w:pPr>
        <w:pStyle w:val="6"/>
        <w:pageBreakBefore w:val="0"/>
        <w:kinsoku/>
        <w:wordWrap/>
        <w:overflowPunct/>
        <w:topLinePunct w:val="0"/>
        <w:autoSpaceDE/>
        <w:autoSpaceDN/>
        <w:bidi w:val="0"/>
        <w:spacing w:line="400" w:lineRule="exact"/>
      </w:pPr>
    </w:p>
    <w:p w14:paraId="7CFE2D11">
      <w:pPr>
        <w:pageBreakBefore w:val="0"/>
        <w:kinsoku/>
        <w:wordWrap/>
        <w:overflowPunct/>
        <w:topLinePunct w:val="0"/>
        <w:autoSpaceDE/>
        <w:autoSpaceDN/>
        <w:bidi w:val="0"/>
        <w:spacing w:line="400" w:lineRule="exact"/>
        <w:rPr>
          <w:rFonts w:ascii="宋体" w:hAnsi="宋体" w:cs="宋体"/>
          <w:b/>
          <w:sz w:val="30"/>
          <w:szCs w:val="30"/>
        </w:rPr>
      </w:pPr>
    </w:p>
    <w:p w14:paraId="6CBFD753">
      <w:pPr>
        <w:pageBreakBefore w:val="0"/>
        <w:kinsoku/>
        <w:wordWrap/>
        <w:overflowPunct/>
        <w:topLinePunct w:val="0"/>
        <w:autoSpaceDE/>
        <w:autoSpaceDN/>
        <w:bidi w:val="0"/>
        <w:spacing w:line="400" w:lineRule="exact"/>
        <w:jc w:val="center"/>
        <w:rPr>
          <w:rFonts w:ascii="宋体" w:hAnsi="宋体" w:cs="宋体"/>
          <w:b/>
          <w:sz w:val="30"/>
          <w:szCs w:val="30"/>
        </w:rPr>
      </w:pPr>
    </w:p>
    <w:p w14:paraId="6FCA5084">
      <w:pPr>
        <w:pageBreakBefore w:val="0"/>
        <w:kinsoku/>
        <w:wordWrap/>
        <w:overflowPunct/>
        <w:topLinePunct w:val="0"/>
        <w:autoSpaceDE/>
        <w:autoSpaceDN/>
        <w:bidi w:val="0"/>
        <w:spacing w:line="400" w:lineRule="exact"/>
        <w:jc w:val="center"/>
        <w:rPr>
          <w:rFonts w:ascii="宋体" w:hAnsi="宋体" w:cs="宋体"/>
          <w:b/>
          <w:sz w:val="30"/>
          <w:szCs w:val="30"/>
        </w:rPr>
      </w:pPr>
    </w:p>
    <w:p w14:paraId="063B6E96">
      <w:pPr>
        <w:pageBreakBefore w:val="0"/>
        <w:kinsoku/>
        <w:wordWrap/>
        <w:overflowPunct/>
        <w:topLinePunct w:val="0"/>
        <w:autoSpaceDE/>
        <w:autoSpaceDN/>
        <w:bidi w:val="0"/>
        <w:spacing w:line="400" w:lineRule="exact"/>
        <w:jc w:val="center"/>
        <w:rPr>
          <w:rFonts w:ascii="宋体" w:hAnsi="宋体" w:cs="宋体"/>
          <w:b/>
          <w:sz w:val="30"/>
          <w:szCs w:val="30"/>
        </w:rPr>
      </w:pPr>
    </w:p>
    <w:p w14:paraId="68649F2E">
      <w:pPr>
        <w:pageBreakBefore w:val="0"/>
        <w:kinsoku/>
        <w:wordWrap/>
        <w:overflowPunct/>
        <w:topLinePunct w:val="0"/>
        <w:autoSpaceDE/>
        <w:autoSpaceDN/>
        <w:bidi w:val="0"/>
        <w:spacing w:line="400" w:lineRule="exact"/>
        <w:jc w:val="center"/>
        <w:rPr>
          <w:rFonts w:ascii="宋体" w:hAnsi="宋体" w:cs="宋体"/>
          <w:b/>
          <w:sz w:val="30"/>
          <w:szCs w:val="30"/>
        </w:rPr>
      </w:pPr>
    </w:p>
    <w:p w14:paraId="6A47B4E7">
      <w:pPr>
        <w:pageBreakBefore w:val="0"/>
        <w:kinsoku/>
        <w:wordWrap/>
        <w:overflowPunct/>
        <w:topLinePunct w:val="0"/>
        <w:autoSpaceDE/>
        <w:autoSpaceDN/>
        <w:bidi w:val="0"/>
        <w:spacing w:line="400" w:lineRule="exact"/>
        <w:jc w:val="center"/>
        <w:rPr>
          <w:rFonts w:ascii="宋体" w:hAnsi="宋体" w:cs="宋体"/>
          <w:b/>
          <w:sz w:val="30"/>
          <w:szCs w:val="30"/>
        </w:rPr>
      </w:pPr>
    </w:p>
    <w:p w14:paraId="35DF7107">
      <w:pPr>
        <w:pageBreakBefore w:val="0"/>
        <w:kinsoku/>
        <w:wordWrap/>
        <w:overflowPunct/>
        <w:topLinePunct w:val="0"/>
        <w:autoSpaceDE/>
        <w:autoSpaceDN/>
        <w:bidi w:val="0"/>
        <w:spacing w:line="400" w:lineRule="exact"/>
        <w:jc w:val="center"/>
        <w:rPr>
          <w:rFonts w:ascii="宋体" w:hAnsi="宋体" w:cs="宋体"/>
          <w:b/>
          <w:sz w:val="30"/>
          <w:szCs w:val="30"/>
        </w:rPr>
      </w:pPr>
    </w:p>
    <w:p w14:paraId="25AE6274">
      <w:pPr>
        <w:pageBreakBefore w:val="0"/>
        <w:kinsoku/>
        <w:wordWrap/>
        <w:overflowPunct/>
        <w:topLinePunct w:val="0"/>
        <w:autoSpaceDE/>
        <w:autoSpaceDN/>
        <w:bidi w:val="0"/>
        <w:spacing w:line="400" w:lineRule="exact"/>
        <w:jc w:val="center"/>
        <w:rPr>
          <w:rFonts w:ascii="宋体" w:hAnsi="宋体" w:cs="宋体"/>
          <w:b/>
          <w:sz w:val="30"/>
          <w:szCs w:val="30"/>
        </w:rPr>
      </w:pPr>
    </w:p>
    <w:p w14:paraId="789BAA0E">
      <w:pPr>
        <w:pageBreakBefore w:val="0"/>
        <w:kinsoku/>
        <w:wordWrap/>
        <w:overflowPunct/>
        <w:topLinePunct w:val="0"/>
        <w:autoSpaceDE/>
        <w:autoSpaceDN/>
        <w:bidi w:val="0"/>
        <w:spacing w:line="400" w:lineRule="exact"/>
        <w:jc w:val="center"/>
        <w:rPr>
          <w:rFonts w:ascii="宋体" w:hAnsi="宋体" w:cs="宋体"/>
          <w:b/>
          <w:sz w:val="30"/>
          <w:szCs w:val="30"/>
        </w:rPr>
      </w:pPr>
    </w:p>
    <w:p w14:paraId="2AB3F83C">
      <w:pPr>
        <w:pageBreakBefore w:val="0"/>
        <w:kinsoku/>
        <w:wordWrap/>
        <w:overflowPunct/>
        <w:topLinePunct w:val="0"/>
        <w:autoSpaceDE/>
        <w:autoSpaceDN/>
        <w:bidi w:val="0"/>
        <w:spacing w:line="400" w:lineRule="exact"/>
        <w:jc w:val="center"/>
        <w:rPr>
          <w:rFonts w:ascii="宋体" w:hAnsi="宋体" w:cs="宋体"/>
          <w:b/>
          <w:sz w:val="30"/>
          <w:szCs w:val="30"/>
        </w:rPr>
      </w:pPr>
    </w:p>
    <w:p w14:paraId="057DDB02">
      <w:pPr>
        <w:pageBreakBefore w:val="0"/>
        <w:kinsoku/>
        <w:wordWrap/>
        <w:overflowPunct/>
        <w:topLinePunct w:val="0"/>
        <w:autoSpaceDE/>
        <w:autoSpaceDN/>
        <w:bidi w:val="0"/>
        <w:spacing w:line="400" w:lineRule="exact"/>
        <w:jc w:val="center"/>
        <w:rPr>
          <w:rFonts w:ascii="宋体" w:hAnsi="宋体" w:cs="宋体"/>
          <w:b/>
          <w:sz w:val="30"/>
          <w:szCs w:val="30"/>
        </w:rPr>
      </w:pPr>
    </w:p>
    <w:p w14:paraId="247E6F6D">
      <w:pPr>
        <w:pageBreakBefore w:val="0"/>
        <w:kinsoku/>
        <w:wordWrap/>
        <w:overflowPunct/>
        <w:topLinePunct w:val="0"/>
        <w:autoSpaceDE/>
        <w:autoSpaceDN/>
        <w:bidi w:val="0"/>
        <w:spacing w:line="400" w:lineRule="exact"/>
        <w:jc w:val="left"/>
        <w:rPr>
          <w:rFonts w:ascii="宋体" w:hAnsi="宋体" w:cs="宋体"/>
          <w:b/>
          <w:sz w:val="30"/>
          <w:szCs w:val="30"/>
        </w:rPr>
      </w:pPr>
      <w:r>
        <w:rPr>
          <w:rFonts w:hint="eastAsia" w:ascii="宋体" w:hAnsi="宋体" w:cs="宋体"/>
          <w:b/>
          <w:sz w:val="30"/>
          <w:szCs w:val="30"/>
        </w:rPr>
        <w:br w:type="page"/>
      </w:r>
    </w:p>
    <w:p w14:paraId="02639455">
      <w:pPr>
        <w:pageBreakBefore w:val="0"/>
        <w:kinsoku/>
        <w:wordWrap/>
        <w:overflowPunct/>
        <w:topLinePunct w:val="0"/>
        <w:autoSpaceDE/>
        <w:autoSpaceDN/>
        <w:bidi w:val="0"/>
        <w:spacing w:line="400" w:lineRule="exact"/>
        <w:jc w:val="center"/>
        <w:rPr>
          <w:rFonts w:ascii="宋体" w:hAnsi="宋体" w:cs="宋体"/>
          <w:sz w:val="24"/>
        </w:rPr>
      </w:pPr>
      <w:r>
        <w:rPr>
          <w:rFonts w:hint="eastAsia" w:ascii="宋体" w:hAnsi="宋体" w:cs="宋体"/>
          <w:b/>
          <w:sz w:val="30"/>
          <w:szCs w:val="30"/>
        </w:rPr>
        <w:t>商务需求响应表</w:t>
      </w:r>
    </w:p>
    <w:p w14:paraId="02785F47">
      <w:pPr>
        <w:pageBreakBefore w:val="0"/>
        <w:kinsoku/>
        <w:wordWrap/>
        <w:overflowPunct/>
        <w:topLinePunct w:val="0"/>
        <w:autoSpaceDE/>
        <w:autoSpaceDN/>
        <w:bidi w:val="0"/>
        <w:spacing w:line="400" w:lineRule="exact"/>
        <w:rPr>
          <w:rFonts w:ascii="宋体" w:hAnsi="宋体" w:cs="宋体"/>
          <w:sz w:val="24"/>
          <w:u w:val="single"/>
        </w:rPr>
      </w:pPr>
      <w:r>
        <w:rPr>
          <w:rFonts w:hint="eastAsia" w:ascii="宋体" w:hAnsi="宋体" w:cs="宋体"/>
          <w:sz w:val="24"/>
        </w:rPr>
        <w:t>采购项目名称:</w:t>
      </w:r>
      <w:r>
        <w:rPr>
          <w:rFonts w:hint="eastAsia" w:ascii="宋体" w:hAnsi="宋体" w:cs="宋体"/>
          <w:sz w:val="24"/>
          <w:u w:val="single"/>
        </w:rPr>
        <w:t xml:space="preserve">               </w:t>
      </w:r>
    </w:p>
    <w:p w14:paraId="530C6FD4">
      <w:pPr>
        <w:pageBreakBefore w:val="0"/>
        <w:kinsoku/>
        <w:wordWrap/>
        <w:overflowPunct/>
        <w:topLinePunct w:val="0"/>
        <w:autoSpaceDE/>
        <w:autoSpaceDN/>
        <w:bidi w:val="0"/>
        <w:spacing w:line="400" w:lineRule="exact"/>
        <w:rPr>
          <w:rFonts w:hAnsi="宋体" w:cs="宋体"/>
          <w:sz w:val="24"/>
          <w:u w:val="single"/>
        </w:rPr>
      </w:pPr>
      <w:r>
        <w:rPr>
          <w:rFonts w:hint="eastAsia" w:hAnsi="宋体" w:cs="宋体"/>
          <w:sz w:val="24"/>
        </w:rPr>
        <w:t>采购项目编号</w:t>
      </w:r>
      <w:r>
        <w:rPr>
          <w:rFonts w:hint="eastAsia" w:ascii="宋体" w:hAnsi="宋体" w:cs="宋体"/>
          <w:sz w:val="24"/>
        </w:rPr>
        <w:t>:</w:t>
      </w:r>
      <w:r>
        <w:rPr>
          <w:rFonts w:hint="eastAsia" w:hAnsi="宋体" w:cs="宋体"/>
          <w:sz w:val="24"/>
          <w:u w:val="single"/>
        </w:rPr>
        <w:t xml:space="preserve">               </w:t>
      </w:r>
    </w:p>
    <w:p w14:paraId="644B5A16">
      <w:pPr>
        <w:pStyle w:val="4"/>
        <w:pageBreakBefore w:val="0"/>
        <w:kinsoku/>
        <w:wordWrap/>
        <w:overflowPunct/>
        <w:topLinePunct w:val="0"/>
        <w:autoSpaceDE/>
        <w:autoSpaceDN/>
        <w:bidi w:val="0"/>
        <w:spacing w:line="400" w:lineRule="exact"/>
        <w:ind w:left="0"/>
        <w:rPr>
          <w:rFonts w:ascii="宋体" w:hAnsi="宋体" w:cs="宋体"/>
          <w:sz w:val="24"/>
        </w:rPr>
      </w:pPr>
    </w:p>
    <w:tbl>
      <w:tblPr>
        <w:tblStyle w:val="15"/>
        <w:tblW w:w="10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5640"/>
        <w:gridCol w:w="2496"/>
        <w:gridCol w:w="741"/>
      </w:tblGrid>
      <w:tr w14:paraId="20D1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25" w:type="dxa"/>
            <w:shd w:val="clear" w:color="auto" w:fill="auto"/>
            <w:vAlign w:val="center"/>
          </w:tcPr>
          <w:p w14:paraId="78DD0A83">
            <w:pPr>
              <w:pageBreakBefore w:val="0"/>
              <w:kinsoku/>
              <w:wordWrap/>
              <w:overflowPunct/>
              <w:topLinePunct w:val="0"/>
              <w:autoSpaceDE/>
              <w:autoSpaceDN/>
              <w:bidi w:val="0"/>
              <w:snapToGrid w:val="0"/>
              <w:spacing w:line="400" w:lineRule="exact"/>
              <w:jc w:val="center"/>
              <w:rPr>
                <w:rFonts w:ascii="宋体" w:hAnsi="宋体" w:cs="宋体"/>
                <w:b/>
                <w:szCs w:val="21"/>
              </w:rPr>
            </w:pPr>
            <w:r>
              <w:rPr>
                <w:rFonts w:hint="eastAsia" w:ascii="宋体" w:hAnsi="宋体" w:cs="宋体"/>
                <w:b/>
                <w:szCs w:val="21"/>
              </w:rPr>
              <w:t>服务要求</w:t>
            </w:r>
          </w:p>
        </w:tc>
        <w:tc>
          <w:tcPr>
            <w:tcW w:w="5640" w:type="dxa"/>
            <w:shd w:val="clear" w:color="auto" w:fill="auto"/>
            <w:vAlign w:val="center"/>
          </w:tcPr>
          <w:p w14:paraId="0D54CDCB">
            <w:pPr>
              <w:pageBreakBefore w:val="0"/>
              <w:kinsoku/>
              <w:wordWrap/>
              <w:overflowPunct/>
              <w:topLinePunct w:val="0"/>
              <w:autoSpaceDE/>
              <w:autoSpaceDN/>
              <w:bidi w:val="0"/>
              <w:snapToGrid w:val="0"/>
              <w:spacing w:line="400" w:lineRule="exact"/>
              <w:jc w:val="center"/>
              <w:rPr>
                <w:rFonts w:ascii="宋体" w:hAnsi="宋体" w:cs="宋体"/>
                <w:b/>
                <w:szCs w:val="21"/>
              </w:rPr>
            </w:pPr>
            <w:r>
              <w:rPr>
                <w:rFonts w:hint="eastAsia" w:ascii="宋体" w:hAnsi="宋体" w:cs="宋体"/>
                <w:b/>
                <w:szCs w:val="21"/>
              </w:rPr>
              <w:t>服务要求内容</w:t>
            </w:r>
          </w:p>
        </w:tc>
        <w:tc>
          <w:tcPr>
            <w:tcW w:w="2496" w:type="dxa"/>
            <w:shd w:val="clear" w:color="auto" w:fill="auto"/>
            <w:vAlign w:val="center"/>
          </w:tcPr>
          <w:p w14:paraId="50A84A9A">
            <w:pPr>
              <w:pageBreakBefore w:val="0"/>
              <w:kinsoku/>
              <w:wordWrap/>
              <w:overflowPunct/>
              <w:topLinePunct w:val="0"/>
              <w:autoSpaceDE/>
              <w:autoSpaceDN/>
              <w:bidi w:val="0"/>
              <w:snapToGrid w:val="0"/>
              <w:spacing w:line="400" w:lineRule="exact"/>
              <w:jc w:val="center"/>
              <w:rPr>
                <w:rFonts w:ascii="宋体" w:hAnsi="宋体" w:cs="宋体"/>
                <w:b/>
                <w:szCs w:val="21"/>
              </w:rPr>
            </w:pPr>
            <w:r>
              <w:rPr>
                <w:rFonts w:hint="eastAsia" w:ascii="宋体" w:hAnsi="宋体" w:cs="宋体"/>
                <w:b/>
                <w:szCs w:val="21"/>
              </w:rPr>
              <w:t>响应内容</w:t>
            </w:r>
          </w:p>
        </w:tc>
        <w:tc>
          <w:tcPr>
            <w:tcW w:w="741" w:type="dxa"/>
            <w:shd w:val="clear" w:color="auto" w:fill="auto"/>
            <w:vAlign w:val="center"/>
          </w:tcPr>
          <w:p w14:paraId="515912AF">
            <w:pPr>
              <w:pageBreakBefore w:val="0"/>
              <w:kinsoku/>
              <w:wordWrap/>
              <w:overflowPunct/>
              <w:topLinePunct w:val="0"/>
              <w:autoSpaceDE/>
              <w:autoSpaceDN/>
              <w:bidi w:val="0"/>
              <w:snapToGrid w:val="0"/>
              <w:spacing w:line="400" w:lineRule="exact"/>
              <w:jc w:val="center"/>
              <w:rPr>
                <w:rFonts w:ascii="宋体" w:hAnsi="宋体" w:cs="宋体"/>
                <w:b/>
                <w:szCs w:val="21"/>
              </w:rPr>
            </w:pPr>
            <w:r>
              <w:rPr>
                <w:rFonts w:hint="eastAsia" w:ascii="宋体" w:hAnsi="宋体" w:cs="宋体"/>
                <w:b/>
                <w:szCs w:val="21"/>
              </w:rPr>
              <w:t>响应情况</w:t>
            </w:r>
          </w:p>
        </w:tc>
      </w:tr>
      <w:tr w14:paraId="4A7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5" w:hRule="atLeast"/>
          <w:jc w:val="center"/>
        </w:trPr>
        <w:tc>
          <w:tcPr>
            <w:tcW w:w="1125" w:type="dxa"/>
            <w:shd w:val="clear" w:color="auto" w:fill="auto"/>
            <w:vAlign w:val="center"/>
          </w:tcPr>
          <w:p w14:paraId="5F9705D9">
            <w:pPr>
              <w:pageBreakBefore w:val="0"/>
              <w:widowControl/>
              <w:kinsoku/>
              <w:wordWrap/>
              <w:overflowPunct/>
              <w:topLinePunct w:val="0"/>
              <w:autoSpaceDE/>
              <w:autoSpaceDN/>
              <w:bidi w:val="0"/>
              <w:spacing w:line="400" w:lineRule="exact"/>
              <w:jc w:val="left"/>
              <w:rPr>
                <w:rFonts w:ascii="宋体" w:hAnsi="宋体" w:cs="宋体"/>
                <w:szCs w:val="21"/>
              </w:rPr>
            </w:pPr>
            <w:r>
              <w:rPr>
                <w:rFonts w:hint="eastAsia" w:ascii="宋体" w:hAnsi="宋体" w:cs="宋体"/>
                <w:szCs w:val="21"/>
              </w:rPr>
              <w:t>（一）售后服务要求</w:t>
            </w:r>
          </w:p>
        </w:tc>
        <w:tc>
          <w:tcPr>
            <w:tcW w:w="5640" w:type="dxa"/>
            <w:shd w:val="clear" w:color="auto" w:fill="auto"/>
            <w:vAlign w:val="center"/>
          </w:tcPr>
          <w:p w14:paraId="67879A89">
            <w:pPr>
              <w:pageBreakBefore w:val="0"/>
              <w:kinsoku/>
              <w:wordWrap/>
              <w:overflowPunct/>
              <w:topLinePunct w:val="0"/>
              <w:autoSpaceDE/>
              <w:autoSpaceDN/>
              <w:bidi w:val="0"/>
              <w:spacing w:line="400" w:lineRule="exact"/>
            </w:pPr>
            <w:r>
              <w:rPr>
                <w:rFonts w:hint="eastAsia"/>
              </w:rPr>
              <w:t>1.按国家有关产品“三包”规定执行“三包”，提供≥1年免费维保服务。</w:t>
            </w:r>
          </w:p>
          <w:p w14:paraId="795A3D1B">
            <w:pPr>
              <w:pageBreakBefore w:val="0"/>
              <w:kinsoku/>
              <w:wordWrap/>
              <w:overflowPunct/>
              <w:topLinePunct w:val="0"/>
              <w:autoSpaceDE/>
              <w:autoSpaceDN/>
              <w:bidi w:val="0"/>
              <w:spacing w:line="400" w:lineRule="exact"/>
            </w:pPr>
            <w:r>
              <w:rPr>
                <w:rFonts w:hint="eastAsia"/>
              </w:rPr>
              <w:t>2.免费送货上门、提供免费技术培训（须提供详细的项目培训计划；对系统使用人员、系统运行维护管理人员等不同对象的培训计划；培训课程安排、培训方式及时间；地点场所由采购人提供；提供系统操作培训：主要面向医院医务人员及相关管理部门等使用系统的人员，提供操作培训；提供系统日常维护系统培训：主要面向医院信息管理技术人员进行培训，使其具备独立进行系统日常维护、故障的诊断与处理等方面的培训）。</w:t>
            </w:r>
          </w:p>
          <w:p w14:paraId="6FF2D38C">
            <w:pPr>
              <w:pageBreakBefore w:val="0"/>
              <w:kinsoku/>
              <w:wordWrap/>
              <w:overflowPunct/>
              <w:topLinePunct w:val="0"/>
              <w:autoSpaceDE/>
              <w:autoSpaceDN/>
              <w:bidi w:val="0"/>
              <w:spacing w:line="400" w:lineRule="exact"/>
            </w:pPr>
            <w:r>
              <w:rPr>
                <w:rFonts w:hint="eastAsia"/>
              </w:rPr>
              <w:t>3.提供≥1年的7*24小时售后技术服务，维保期内均提供免费上门维护、升级服务，故障响应时间：2小时内进行响应，12小时以内到现场，24小时以内解决问题。包括免费升级、功能完善、故障排除、性能调优、技术咨询等。</w:t>
            </w:r>
          </w:p>
          <w:p w14:paraId="13484AD3">
            <w:pPr>
              <w:pageBreakBefore w:val="0"/>
              <w:kinsoku/>
              <w:wordWrap/>
              <w:overflowPunct/>
              <w:topLinePunct w:val="0"/>
              <w:autoSpaceDE/>
              <w:autoSpaceDN/>
              <w:bidi w:val="0"/>
              <w:spacing w:line="400" w:lineRule="exact"/>
            </w:pPr>
            <w:r>
              <w:rPr>
                <w:rFonts w:hint="eastAsia"/>
              </w:rPr>
              <w:t>4.免费质保期内，需要更换配件的，要求更换的配件应跟被更换的品牌、类型相一致或者是同类同档次的替代品，后者需征得用户方管理人员同意。</w:t>
            </w:r>
          </w:p>
          <w:p w14:paraId="5730E9EF">
            <w:pPr>
              <w:pageBreakBefore w:val="0"/>
              <w:kinsoku/>
              <w:wordWrap/>
              <w:overflowPunct/>
              <w:topLinePunct w:val="0"/>
              <w:autoSpaceDE/>
              <w:autoSpaceDN/>
              <w:bidi w:val="0"/>
              <w:spacing w:line="400" w:lineRule="exact"/>
            </w:pPr>
            <w:r>
              <w:rPr>
                <w:rFonts w:hint="eastAsia"/>
              </w:rPr>
              <w:t>5.免费安装调试：中标人负责本项目所有设备的安装、调试工作。</w:t>
            </w:r>
          </w:p>
          <w:p w14:paraId="093E6868">
            <w:pPr>
              <w:pageBreakBefore w:val="0"/>
              <w:widowControl/>
              <w:kinsoku/>
              <w:wordWrap/>
              <w:overflowPunct/>
              <w:topLinePunct w:val="0"/>
              <w:autoSpaceDE/>
              <w:autoSpaceDN/>
              <w:bidi w:val="0"/>
              <w:spacing w:line="400" w:lineRule="exact"/>
              <w:jc w:val="left"/>
              <w:rPr>
                <w:rFonts w:ascii="宋体" w:hAnsi="宋体"/>
                <w:szCs w:val="21"/>
              </w:rPr>
            </w:pPr>
            <w:r>
              <w:rPr>
                <w:rFonts w:hint="eastAsia"/>
              </w:rPr>
              <w:t>6.投标人请在投标文件中提供具体的售后服务方案。</w:t>
            </w:r>
          </w:p>
        </w:tc>
        <w:tc>
          <w:tcPr>
            <w:tcW w:w="2496" w:type="dxa"/>
            <w:shd w:val="clear" w:color="auto" w:fill="auto"/>
            <w:vAlign w:val="center"/>
          </w:tcPr>
          <w:p w14:paraId="0EDF9DDD">
            <w:pPr>
              <w:pageBreakBefore w:val="0"/>
              <w:kinsoku/>
              <w:wordWrap/>
              <w:overflowPunct/>
              <w:topLinePunct w:val="0"/>
              <w:autoSpaceDE/>
              <w:autoSpaceDN/>
              <w:bidi w:val="0"/>
              <w:snapToGrid w:val="0"/>
              <w:spacing w:line="400" w:lineRule="exact"/>
              <w:jc w:val="center"/>
              <w:rPr>
                <w:rFonts w:ascii="宋体" w:hAnsi="宋体" w:cs="宋体"/>
                <w:b/>
                <w:szCs w:val="21"/>
              </w:rPr>
            </w:pPr>
          </w:p>
        </w:tc>
        <w:tc>
          <w:tcPr>
            <w:tcW w:w="741" w:type="dxa"/>
            <w:shd w:val="clear" w:color="auto" w:fill="auto"/>
            <w:vAlign w:val="center"/>
          </w:tcPr>
          <w:p w14:paraId="15884FBD">
            <w:pPr>
              <w:pageBreakBefore w:val="0"/>
              <w:kinsoku/>
              <w:wordWrap/>
              <w:overflowPunct/>
              <w:topLinePunct w:val="0"/>
              <w:autoSpaceDE/>
              <w:autoSpaceDN/>
              <w:bidi w:val="0"/>
              <w:snapToGrid w:val="0"/>
              <w:spacing w:line="400" w:lineRule="exact"/>
              <w:jc w:val="center"/>
              <w:rPr>
                <w:rFonts w:ascii="宋体" w:hAnsi="宋体" w:cs="宋体"/>
                <w:b/>
                <w:szCs w:val="21"/>
              </w:rPr>
            </w:pPr>
          </w:p>
        </w:tc>
      </w:tr>
      <w:tr w14:paraId="0265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1125" w:type="dxa"/>
            <w:shd w:val="clear" w:color="auto" w:fill="auto"/>
            <w:vAlign w:val="center"/>
          </w:tcPr>
          <w:p w14:paraId="5ED000FE">
            <w:pPr>
              <w:pageBreakBefore w:val="0"/>
              <w:widowControl/>
              <w:kinsoku/>
              <w:wordWrap/>
              <w:overflowPunct/>
              <w:topLinePunct w:val="0"/>
              <w:autoSpaceDE/>
              <w:autoSpaceDN/>
              <w:bidi w:val="0"/>
              <w:spacing w:line="400" w:lineRule="exact"/>
              <w:jc w:val="left"/>
              <w:rPr>
                <w:rFonts w:ascii="宋体" w:hAnsi="宋体" w:cs="宋体"/>
                <w:szCs w:val="21"/>
              </w:rPr>
            </w:pPr>
            <w:r>
              <w:rPr>
                <w:rFonts w:hint="eastAsia" w:ascii="宋体" w:hAnsi="宋体" w:cs="宋体"/>
                <w:szCs w:val="21"/>
              </w:rPr>
              <w:t>（二）交付期及地点</w:t>
            </w:r>
          </w:p>
        </w:tc>
        <w:tc>
          <w:tcPr>
            <w:tcW w:w="5640" w:type="dxa"/>
            <w:shd w:val="clear" w:color="auto" w:fill="auto"/>
            <w:vAlign w:val="center"/>
          </w:tcPr>
          <w:p w14:paraId="4DD03C21">
            <w:pPr>
              <w:pageBreakBefore w:val="0"/>
              <w:kinsoku/>
              <w:wordWrap/>
              <w:overflowPunct/>
              <w:topLinePunct w:val="0"/>
              <w:autoSpaceDE/>
              <w:autoSpaceDN/>
              <w:bidi w:val="0"/>
              <w:spacing w:line="400" w:lineRule="exact"/>
            </w:pPr>
            <w:r>
              <w:rPr>
                <w:rFonts w:hint="eastAsia"/>
              </w:rPr>
              <w:t>1.交付期：自签订合同之日起15个工作日内验收合格并交付采购人使用。</w:t>
            </w:r>
          </w:p>
          <w:p w14:paraId="18544AF8">
            <w:pPr>
              <w:pageBreakBefore w:val="0"/>
              <w:widowControl/>
              <w:kinsoku/>
              <w:wordWrap/>
              <w:overflowPunct/>
              <w:topLinePunct w:val="0"/>
              <w:autoSpaceDE/>
              <w:autoSpaceDN/>
              <w:bidi w:val="0"/>
              <w:spacing w:line="400" w:lineRule="exact"/>
              <w:jc w:val="left"/>
              <w:rPr>
                <w:rFonts w:ascii="宋体" w:hAnsi="宋体" w:cs="宋体"/>
                <w:b/>
                <w:szCs w:val="21"/>
              </w:rPr>
            </w:pPr>
            <w:r>
              <w:rPr>
                <w:rFonts w:hint="eastAsia"/>
              </w:rPr>
              <w:t>2.交付地点：招标人指定地点。</w:t>
            </w:r>
          </w:p>
        </w:tc>
        <w:tc>
          <w:tcPr>
            <w:tcW w:w="2496" w:type="dxa"/>
            <w:shd w:val="clear" w:color="auto" w:fill="auto"/>
            <w:vAlign w:val="center"/>
          </w:tcPr>
          <w:p w14:paraId="573DDF08">
            <w:pPr>
              <w:pageBreakBefore w:val="0"/>
              <w:kinsoku/>
              <w:wordWrap/>
              <w:overflowPunct/>
              <w:topLinePunct w:val="0"/>
              <w:autoSpaceDE/>
              <w:autoSpaceDN/>
              <w:bidi w:val="0"/>
              <w:snapToGrid w:val="0"/>
              <w:spacing w:line="400" w:lineRule="exact"/>
              <w:jc w:val="center"/>
              <w:rPr>
                <w:rFonts w:ascii="宋体" w:hAnsi="宋体" w:cs="宋体"/>
                <w:b/>
                <w:szCs w:val="21"/>
              </w:rPr>
            </w:pPr>
          </w:p>
        </w:tc>
        <w:tc>
          <w:tcPr>
            <w:tcW w:w="741" w:type="dxa"/>
            <w:shd w:val="clear" w:color="auto" w:fill="auto"/>
            <w:vAlign w:val="center"/>
          </w:tcPr>
          <w:p w14:paraId="383804CD">
            <w:pPr>
              <w:pageBreakBefore w:val="0"/>
              <w:kinsoku/>
              <w:wordWrap/>
              <w:overflowPunct/>
              <w:topLinePunct w:val="0"/>
              <w:autoSpaceDE/>
              <w:autoSpaceDN/>
              <w:bidi w:val="0"/>
              <w:snapToGrid w:val="0"/>
              <w:spacing w:line="400" w:lineRule="exact"/>
              <w:jc w:val="center"/>
              <w:rPr>
                <w:rFonts w:ascii="宋体" w:hAnsi="宋体" w:cs="宋体"/>
                <w:b/>
                <w:szCs w:val="21"/>
              </w:rPr>
            </w:pPr>
          </w:p>
        </w:tc>
      </w:tr>
      <w:tr w14:paraId="0CFD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1125" w:type="dxa"/>
            <w:shd w:val="clear" w:color="auto" w:fill="auto"/>
            <w:vAlign w:val="center"/>
          </w:tcPr>
          <w:p w14:paraId="7E687AAC">
            <w:pPr>
              <w:pageBreakBefore w:val="0"/>
              <w:widowControl/>
              <w:kinsoku/>
              <w:wordWrap/>
              <w:overflowPunct/>
              <w:topLinePunct w:val="0"/>
              <w:autoSpaceDE/>
              <w:autoSpaceDN/>
              <w:bidi w:val="0"/>
              <w:spacing w:line="400" w:lineRule="exact"/>
              <w:jc w:val="left"/>
              <w:rPr>
                <w:rFonts w:ascii="宋体" w:hAnsi="宋体" w:cs="宋体"/>
                <w:szCs w:val="21"/>
              </w:rPr>
            </w:pPr>
            <w:r>
              <w:rPr>
                <w:rFonts w:hint="eastAsia" w:ascii="宋体" w:hAnsi="宋体" w:cs="宋体"/>
                <w:szCs w:val="21"/>
              </w:rPr>
              <w:t>（三）付款方式</w:t>
            </w:r>
          </w:p>
        </w:tc>
        <w:tc>
          <w:tcPr>
            <w:tcW w:w="5640" w:type="dxa"/>
            <w:shd w:val="clear" w:color="auto" w:fill="auto"/>
            <w:vAlign w:val="center"/>
          </w:tcPr>
          <w:p w14:paraId="3AA387CA">
            <w:pPr>
              <w:pageBreakBefore w:val="0"/>
              <w:kinsoku/>
              <w:wordWrap/>
              <w:overflowPunct/>
              <w:topLinePunct w:val="0"/>
              <w:autoSpaceDE/>
              <w:autoSpaceDN/>
              <w:bidi w:val="0"/>
              <w:snapToGrid w:val="0"/>
              <w:spacing w:line="400" w:lineRule="exact"/>
              <w:outlineLvl w:val="2"/>
              <w:rPr>
                <w:rFonts w:ascii="宋体" w:hAnsi="宋体" w:cs="宋体"/>
                <w:b/>
                <w:szCs w:val="21"/>
              </w:rPr>
            </w:pPr>
            <w:r>
              <w:rPr>
                <w:rFonts w:hint="eastAsia" w:ascii="宋体" w:hAnsi="宋体"/>
                <w:lang w:val="en-US" w:eastAsia="zh-CN"/>
              </w:rPr>
              <w:t>合同签订后，乙方将尽快安排入场安装，自验收合格（培训指导完成、设备、软件正式使用）收到正规等额、有效发票之日起60个工作日后支付自有资金的95%，自有资金的的5%作为履约保证金，质保期满30个工作日后付清（无息）。</w:t>
            </w:r>
          </w:p>
        </w:tc>
        <w:tc>
          <w:tcPr>
            <w:tcW w:w="2496" w:type="dxa"/>
            <w:shd w:val="clear" w:color="auto" w:fill="auto"/>
            <w:vAlign w:val="center"/>
          </w:tcPr>
          <w:p w14:paraId="619E61F8">
            <w:pPr>
              <w:pageBreakBefore w:val="0"/>
              <w:kinsoku/>
              <w:wordWrap/>
              <w:overflowPunct/>
              <w:topLinePunct w:val="0"/>
              <w:autoSpaceDE/>
              <w:autoSpaceDN/>
              <w:bidi w:val="0"/>
              <w:snapToGrid w:val="0"/>
              <w:spacing w:line="400" w:lineRule="exact"/>
              <w:jc w:val="center"/>
              <w:rPr>
                <w:rFonts w:ascii="宋体" w:hAnsi="宋体" w:cs="宋体"/>
                <w:b/>
                <w:szCs w:val="21"/>
              </w:rPr>
            </w:pPr>
          </w:p>
        </w:tc>
        <w:tc>
          <w:tcPr>
            <w:tcW w:w="741" w:type="dxa"/>
            <w:shd w:val="clear" w:color="auto" w:fill="auto"/>
            <w:vAlign w:val="center"/>
          </w:tcPr>
          <w:p w14:paraId="6C140BB3">
            <w:pPr>
              <w:pageBreakBefore w:val="0"/>
              <w:kinsoku/>
              <w:wordWrap/>
              <w:overflowPunct/>
              <w:topLinePunct w:val="0"/>
              <w:autoSpaceDE/>
              <w:autoSpaceDN/>
              <w:bidi w:val="0"/>
              <w:snapToGrid w:val="0"/>
              <w:spacing w:line="400" w:lineRule="exact"/>
              <w:jc w:val="center"/>
              <w:rPr>
                <w:rFonts w:ascii="宋体" w:hAnsi="宋体" w:cs="宋体"/>
                <w:b/>
                <w:szCs w:val="21"/>
              </w:rPr>
            </w:pPr>
          </w:p>
        </w:tc>
      </w:tr>
      <w:tr w14:paraId="19D0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25" w:type="dxa"/>
            <w:shd w:val="clear" w:color="auto" w:fill="auto"/>
            <w:vAlign w:val="center"/>
          </w:tcPr>
          <w:p w14:paraId="10FA5E91">
            <w:pPr>
              <w:pageBreakBefore w:val="0"/>
              <w:widowControl/>
              <w:kinsoku/>
              <w:wordWrap/>
              <w:overflowPunct/>
              <w:topLinePunct w:val="0"/>
              <w:autoSpaceDE/>
              <w:autoSpaceDN/>
              <w:bidi w:val="0"/>
              <w:spacing w:line="400" w:lineRule="exact"/>
              <w:jc w:val="left"/>
              <w:rPr>
                <w:rFonts w:hint="eastAsia" w:ascii="宋体" w:hAnsi="宋体" w:eastAsia="宋体" w:cs="宋体"/>
                <w:kern w:val="2"/>
                <w:sz w:val="21"/>
                <w:szCs w:val="21"/>
                <w:lang w:val="en-US" w:eastAsia="zh-CN" w:bidi="ar-SA"/>
              </w:rPr>
            </w:pPr>
            <w:r>
              <w:rPr>
                <w:rFonts w:hint="eastAsia" w:ascii="宋体" w:hAnsi="宋体" w:cs="宋体"/>
                <w:szCs w:val="21"/>
              </w:rPr>
              <w:t>（四）包装和运输</w:t>
            </w:r>
          </w:p>
        </w:tc>
        <w:tc>
          <w:tcPr>
            <w:tcW w:w="5640" w:type="dxa"/>
            <w:shd w:val="clear" w:color="auto" w:fill="auto"/>
            <w:vAlign w:val="center"/>
          </w:tcPr>
          <w:p w14:paraId="14C0B28F">
            <w:pPr>
              <w:pageBreakBefore w:val="0"/>
              <w:kinsoku/>
              <w:wordWrap/>
              <w:overflowPunct/>
              <w:topLinePunct w:val="0"/>
              <w:autoSpaceDE/>
              <w:autoSpaceDN/>
              <w:bidi w:val="0"/>
              <w:spacing w:line="400" w:lineRule="exact"/>
            </w:pPr>
            <w:r>
              <w:rPr>
                <w:rFonts w:hint="eastAsia"/>
              </w:rPr>
              <w:t>1.原厂原包装，包装完好完整、无破损、未开封。</w:t>
            </w:r>
          </w:p>
          <w:p w14:paraId="7A53B2E5">
            <w:pPr>
              <w:pageBreakBefore w:val="0"/>
              <w:kinsoku/>
              <w:wordWrap/>
              <w:overflowPunct/>
              <w:topLinePunct w:val="0"/>
              <w:autoSpaceDE/>
              <w:autoSpaceDN/>
              <w:bidi w:val="0"/>
              <w:spacing w:line="400" w:lineRule="exact"/>
            </w:pPr>
            <w:r>
              <w:rPr>
                <w:rFonts w:hint="eastAsia"/>
              </w:rPr>
              <w:t>2.包装及运输方式应综合考虑运输距离、防潮、防震、防锈和防破损装卸等要求，以保证标的安全运达招标人指定地点。国家对包装及运输有相关强制性标准或要求的，供应商应当执行。</w:t>
            </w:r>
          </w:p>
          <w:p w14:paraId="7AD6F9C0">
            <w:pPr>
              <w:pageBreakBefore w:val="0"/>
              <w:widowControl/>
              <w:kinsoku/>
              <w:wordWrap/>
              <w:overflowPunct/>
              <w:topLinePunct w:val="0"/>
              <w:autoSpaceDE/>
              <w:autoSpaceDN/>
              <w:bidi w:val="0"/>
              <w:spacing w:line="400" w:lineRule="exact"/>
              <w:jc w:val="left"/>
              <w:rPr>
                <w:rFonts w:hint="eastAsia" w:ascii="宋体" w:hAnsi="宋体" w:eastAsia="宋体" w:cs="Times New Roman"/>
                <w:kern w:val="2"/>
                <w:sz w:val="21"/>
                <w:szCs w:val="21"/>
                <w:lang w:val="en-US" w:eastAsia="zh-CN" w:bidi="ar-SA"/>
              </w:rPr>
            </w:pPr>
            <w:r>
              <w:rPr>
                <w:rFonts w:hint="eastAsia"/>
              </w:rPr>
              <w:t>3.产品（含包装）运抵采购人指定交付地点前发生损坏以及全部风险和责任均由供应商负责。</w:t>
            </w:r>
          </w:p>
        </w:tc>
        <w:tc>
          <w:tcPr>
            <w:tcW w:w="2496" w:type="dxa"/>
            <w:shd w:val="clear" w:color="auto" w:fill="auto"/>
            <w:vAlign w:val="center"/>
          </w:tcPr>
          <w:p w14:paraId="4152B540">
            <w:pPr>
              <w:pageBreakBefore w:val="0"/>
              <w:kinsoku/>
              <w:wordWrap/>
              <w:overflowPunct/>
              <w:topLinePunct w:val="0"/>
              <w:autoSpaceDE/>
              <w:autoSpaceDN/>
              <w:bidi w:val="0"/>
              <w:snapToGrid w:val="0"/>
              <w:spacing w:line="400" w:lineRule="exact"/>
              <w:jc w:val="center"/>
              <w:rPr>
                <w:rFonts w:ascii="宋体" w:hAnsi="宋体" w:eastAsia="宋体" w:cs="宋体"/>
                <w:b/>
                <w:kern w:val="2"/>
                <w:sz w:val="21"/>
                <w:szCs w:val="21"/>
                <w:lang w:val="en-US" w:eastAsia="zh-CN" w:bidi="ar-SA"/>
              </w:rPr>
            </w:pPr>
          </w:p>
        </w:tc>
        <w:tc>
          <w:tcPr>
            <w:tcW w:w="741" w:type="dxa"/>
            <w:shd w:val="clear" w:color="auto" w:fill="auto"/>
            <w:vAlign w:val="center"/>
          </w:tcPr>
          <w:p w14:paraId="2173D242">
            <w:pPr>
              <w:pageBreakBefore w:val="0"/>
              <w:kinsoku/>
              <w:wordWrap/>
              <w:overflowPunct/>
              <w:topLinePunct w:val="0"/>
              <w:autoSpaceDE/>
              <w:autoSpaceDN/>
              <w:bidi w:val="0"/>
              <w:snapToGrid w:val="0"/>
              <w:spacing w:line="400" w:lineRule="exact"/>
              <w:jc w:val="center"/>
              <w:rPr>
                <w:rFonts w:ascii="宋体" w:hAnsi="宋体" w:eastAsia="宋体" w:cs="宋体"/>
                <w:b/>
                <w:kern w:val="2"/>
                <w:sz w:val="21"/>
                <w:szCs w:val="21"/>
                <w:lang w:val="en-US" w:eastAsia="zh-CN" w:bidi="ar-SA"/>
              </w:rPr>
            </w:pPr>
          </w:p>
        </w:tc>
      </w:tr>
      <w:tr w14:paraId="7121D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25" w:type="dxa"/>
            <w:shd w:val="clear" w:color="auto" w:fill="auto"/>
            <w:vAlign w:val="center"/>
          </w:tcPr>
          <w:p w14:paraId="0D56998A">
            <w:pPr>
              <w:pageBreakBefore w:val="0"/>
              <w:widowControl/>
              <w:kinsoku/>
              <w:wordWrap/>
              <w:overflowPunct/>
              <w:topLinePunct w:val="0"/>
              <w:autoSpaceDE/>
              <w:autoSpaceDN/>
              <w:bidi w:val="0"/>
              <w:spacing w:line="400" w:lineRule="exact"/>
              <w:jc w:val="left"/>
              <w:rPr>
                <w:rFonts w:ascii="宋体" w:hAnsi="宋体" w:cs="宋体"/>
                <w:szCs w:val="21"/>
                <w:lang w:val="zh-CN"/>
              </w:rPr>
            </w:pPr>
            <w:r>
              <w:rPr>
                <w:rFonts w:hint="eastAsia" w:ascii="宋体" w:hAnsi="宋体" w:cs="宋体"/>
                <w:szCs w:val="21"/>
                <w:lang w:val="zh-CN"/>
              </w:rPr>
              <w:t>五）验收标准</w:t>
            </w:r>
          </w:p>
        </w:tc>
        <w:tc>
          <w:tcPr>
            <w:tcW w:w="5640" w:type="dxa"/>
            <w:shd w:val="clear" w:color="auto" w:fill="auto"/>
            <w:vAlign w:val="center"/>
          </w:tcPr>
          <w:p w14:paraId="68E1CFC8">
            <w:pPr>
              <w:pageBreakBefore w:val="0"/>
              <w:kinsoku/>
              <w:wordWrap/>
              <w:overflowPunct/>
              <w:topLinePunct w:val="0"/>
              <w:autoSpaceDE/>
              <w:autoSpaceDN/>
              <w:bidi w:val="0"/>
              <w:spacing w:line="400" w:lineRule="exact"/>
            </w:pPr>
            <w:r>
              <w:rPr>
                <w:rFonts w:hint="eastAsia"/>
              </w:rPr>
              <w:t>1.投标人于投标文件中必须对所有产品的技术参数要求作出真实、有效的响应和承诺。供应商所提供的产品必须为原装正品的、全新的、必须符合国家强制执行的相关质量标准要求以及产品制造厂家合格产品的出厂质量标准。</w:t>
            </w:r>
          </w:p>
          <w:p w14:paraId="2476B11C">
            <w:pPr>
              <w:pageBreakBefore w:val="0"/>
              <w:kinsoku/>
              <w:wordWrap/>
              <w:overflowPunct/>
              <w:topLinePunct w:val="0"/>
              <w:autoSpaceDE/>
              <w:autoSpaceDN/>
              <w:bidi w:val="0"/>
              <w:spacing w:line="400" w:lineRule="exact"/>
            </w:pPr>
            <w:r>
              <w:rPr>
                <w:rFonts w:hint="eastAsia"/>
              </w:rPr>
              <w:t>2.招标人现场根据招标文件要求及招标文件承诺对各项参数逐条对应进行核验，核验或检测数据不符合招标人要求及投标文件承诺的指标的，招标人有权终止合同执行并全部退货，由此造成招标人经济损失的由成交供应商负责承担全部赔偿责任并向招标人支付合同金额的30%违约赔偿金。如有异议，将交由国家认可并具有检验检测资质的第三方机构进行检验，若核验结果的各项参数指标不满足招标人要求及投标文件承诺的指标要求，所有产生的费用由中标人承担，并承担虚假投标的相关法律责任。</w:t>
            </w:r>
          </w:p>
          <w:p w14:paraId="652743C1">
            <w:pPr>
              <w:pageBreakBefore w:val="0"/>
              <w:kinsoku/>
              <w:wordWrap/>
              <w:overflowPunct/>
              <w:topLinePunct w:val="0"/>
              <w:autoSpaceDE/>
              <w:autoSpaceDN/>
              <w:bidi w:val="0"/>
              <w:spacing w:line="400" w:lineRule="exact"/>
            </w:pPr>
            <w:r>
              <w:rPr>
                <w:rFonts w:hint="eastAsia"/>
              </w:rPr>
              <w:t>3.项目完成系统建设内容，经稳定运行一周以上可提出验收，成交供应商按医院信息化项目管理制度要求提供有关材料，由采购人组织现场验收。</w:t>
            </w:r>
          </w:p>
          <w:p w14:paraId="5BDC800D">
            <w:pPr>
              <w:pageBreakBefore w:val="0"/>
              <w:widowControl/>
              <w:kinsoku/>
              <w:wordWrap/>
              <w:overflowPunct/>
              <w:topLinePunct w:val="0"/>
              <w:autoSpaceDE/>
              <w:autoSpaceDN/>
              <w:bidi w:val="0"/>
              <w:spacing w:line="400" w:lineRule="exact"/>
              <w:jc w:val="left"/>
              <w:rPr>
                <w:rFonts w:ascii="宋体" w:hAnsi="宋体" w:cs="宋体"/>
                <w:bCs/>
                <w:szCs w:val="21"/>
              </w:rPr>
            </w:pPr>
            <w:r>
              <w:rPr>
                <w:rFonts w:hint="eastAsia"/>
              </w:rPr>
              <w:t>4.验收其他要求按合同条款执行。</w:t>
            </w:r>
          </w:p>
        </w:tc>
        <w:tc>
          <w:tcPr>
            <w:tcW w:w="2496" w:type="dxa"/>
            <w:shd w:val="clear" w:color="auto" w:fill="auto"/>
            <w:vAlign w:val="center"/>
          </w:tcPr>
          <w:p w14:paraId="494F02BF">
            <w:pPr>
              <w:pageBreakBefore w:val="0"/>
              <w:kinsoku/>
              <w:wordWrap/>
              <w:overflowPunct/>
              <w:topLinePunct w:val="0"/>
              <w:autoSpaceDE/>
              <w:autoSpaceDN/>
              <w:bidi w:val="0"/>
              <w:snapToGrid w:val="0"/>
              <w:spacing w:line="400" w:lineRule="exact"/>
              <w:jc w:val="center"/>
              <w:rPr>
                <w:rFonts w:ascii="宋体" w:hAnsi="宋体" w:cs="宋体"/>
                <w:b/>
                <w:szCs w:val="21"/>
              </w:rPr>
            </w:pPr>
          </w:p>
        </w:tc>
        <w:tc>
          <w:tcPr>
            <w:tcW w:w="741" w:type="dxa"/>
            <w:shd w:val="clear" w:color="auto" w:fill="auto"/>
            <w:vAlign w:val="center"/>
          </w:tcPr>
          <w:p w14:paraId="15024AF6">
            <w:pPr>
              <w:pageBreakBefore w:val="0"/>
              <w:kinsoku/>
              <w:wordWrap/>
              <w:overflowPunct/>
              <w:topLinePunct w:val="0"/>
              <w:autoSpaceDE/>
              <w:autoSpaceDN/>
              <w:bidi w:val="0"/>
              <w:snapToGrid w:val="0"/>
              <w:spacing w:line="400" w:lineRule="exact"/>
              <w:jc w:val="center"/>
              <w:rPr>
                <w:rFonts w:ascii="宋体" w:hAnsi="宋体" w:cs="宋体"/>
                <w:b/>
                <w:szCs w:val="21"/>
              </w:rPr>
            </w:pPr>
          </w:p>
        </w:tc>
      </w:tr>
      <w:tr w14:paraId="54E1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1125" w:type="dxa"/>
            <w:shd w:val="clear" w:color="auto" w:fill="auto"/>
            <w:vAlign w:val="center"/>
          </w:tcPr>
          <w:p w14:paraId="101807E9">
            <w:pPr>
              <w:pageBreakBefore w:val="0"/>
              <w:widowControl/>
              <w:kinsoku/>
              <w:wordWrap/>
              <w:overflowPunct/>
              <w:topLinePunct w:val="0"/>
              <w:autoSpaceDE/>
              <w:autoSpaceDN/>
              <w:bidi w:val="0"/>
              <w:spacing w:line="400" w:lineRule="exact"/>
              <w:jc w:val="left"/>
              <w:rPr>
                <w:rFonts w:ascii="宋体" w:hAnsi="宋体" w:cs="宋体"/>
                <w:szCs w:val="21"/>
                <w:lang w:val="zh-CN"/>
              </w:rPr>
            </w:pPr>
            <w:r>
              <w:rPr>
                <w:rFonts w:hint="eastAsia" w:ascii="宋体" w:hAnsi="宋体" w:cs="宋体"/>
                <w:szCs w:val="21"/>
                <w:lang w:val="zh-CN"/>
              </w:rPr>
              <w:t>（六）其他要求</w:t>
            </w:r>
          </w:p>
        </w:tc>
        <w:tc>
          <w:tcPr>
            <w:tcW w:w="5640" w:type="dxa"/>
            <w:shd w:val="clear" w:color="auto" w:fill="auto"/>
            <w:vAlign w:val="center"/>
          </w:tcPr>
          <w:p w14:paraId="16237431">
            <w:pPr>
              <w:pageBreakBefore w:val="0"/>
              <w:kinsoku/>
              <w:wordWrap/>
              <w:overflowPunct/>
              <w:topLinePunct w:val="0"/>
              <w:autoSpaceDE/>
              <w:autoSpaceDN/>
              <w:bidi w:val="0"/>
              <w:spacing w:line="400" w:lineRule="exact"/>
            </w:pPr>
            <w:r>
              <w:rPr>
                <w:rFonts w:hint="eastAsia"/>
              </w:rPr>
              <w:t>1.本项目所提供的软件必须具有合法的版权或使用权，如在本项目范围内使用过程中出现版权或使用权纠纷，应由供应商负责。</w:t>
            </w:r>
          </w:p>
          <w:p w14:paraId="72E93D3B">
            <w:pPr>
              <w:pageBreakBefore w:val="0"/>
              <w:kinsoku/>
              <w:wordWrap/>
              <w:overflowPunct/>
              <w:topLinePunct w:val="0"/>
              <w:autoSpaceDE/>
              <w:autoSpaceDN/>
              <w:bidi w:val="0"/>
              <w:spacing w:line="400" w:lineRule="exact"/>
            </w:pPr>
            <w:r>
              <w:rPr>
                <w:rFonts w:hint="eastAsia"/>
              </w:rPr>
              <w:t>2.为了避免恶意竞争，保证项目的整体质量并确保服务质量，如某一供应商的报价明显低于其他通过符合性审查投标人的报价或评标委员会认定为低于成本报价时，评标委员会可要求其在规定时间内予以澄清说明，必要时可要求其提供相关证明材料，投标人不能合理说明或者不能提供相关证明材料的，视为以低于企业成本报价恶意报价，其投标文件作无效处理。</w:t>
            </w:r>
          </w:p>
          <w:p w14:paraId="750C6CBC">
            <w:pPr>
              <w:pageBreakBefore w:val="0"/>
              <w:widowControl/>
              <w:kinsoku/>
              <w:wordWrap/>
              <w:overflowPunct/>
              <w:topLinePunct w:val="0"/>
              <w:autoSpaceDE/>
              <w:autoSpaceDN/>
              <w:bidi w:val="0"/>
              <w:spacing w:line="400" w:lineRule="exact"/>
              <w:jc w:val="left"/>
              <w:rPr>
                <w:rFonts w:ascii="宋体" w:hAnsi="宋体"/>
                <w:szCs w:val="21"/>
              </w:rPr>
            </w:pPr>
            <w:r>
              <w:rPr>
                <w:rFonts w:hint="eastAsia"/>
              </w:rPr>
              <w:t>3.投标报价包括本次采购范围内所有服务、人员、材料、运输、管理费、购置费、税金、后续服务等及其他所有成本费用的总和，招标人不再支付其他任何费用。</w:t>
            </w:r>
          </w:p>
        </w:tc>
        <w:tc>
          <w:tcPr>
            <w:tcW w:w="2496" w:type="dxa"/>
            <w:shd w:val="clear" w:color="auto" w:fill="auto"/>
            <w:vAlign w:val="center"/>
          </w:tcPr>
          <w:p w14:paraId="7C6F0E1B">
            <w:pPr>
              <w:pageBreakBefore w:val="0"/>
              <w:kinsoku/>
              <w:wordWrap/>
              <w:overflowPunct/>
              <w:topLinePunct w:val="0"/>
              <w:autoSpaceDE/>
              <w:autoSpaceDN/>
              <w:bidi w:val="0"/>
              <w:snapToGrid w:val="0"/>
              <w:spacing w:line="400" w:lineRule="exact"/>
              <w:jc w:val="center"/>
              <w:rPr>
                <w:rFonts w:ascii="宋体" w:hAnsi="宋体" w:cs="宋体"/>
                <w:b/>
                <w:szCs w:val="21"/>
              </w:rPr>
            </w:pPr>
          </w:p>
        </w:tc>
        <w:tc>
          <w:tcPr>
            <w:tcW w:w="741" w:type="dxa"/>
            <w:shd w:val="clear" w:color="auto" w:fill="auto"/>
            <w:vAlign w:val="center"/>
          </w:tcPr>
          <w:p w14:paraId="525BE31F">
            <w:pPr>
              <w:pageBreakBefore w:val="0"/>
              <w:kinsoku/>
              <w:wordWrap/>
              <w:overflowPunct/>
              <w:topLinePunct w:val="0"/>
              <w:autoSpaceDE/>
              <w:autoSpaceDN/>
              <w:bidi w:val="0"/>
              <w:snapToGrid w:val="0"/>
              <w:spacing w:line="400" w:lineRule="exact"/>
              <w:jc w:val="center"/>
              <w:rPr>
                <w:rFonts w:ascii="宋体" w:hAnsi="宋体" w:cs="宋体"/>
                <w:b/>
                <w:szCs w:val="21"/>
              </w:rPr>
            </w:pPr>
          </w:p>
        </w:tc>
      </w:tr>
    </w:tbl>
    <w:p w14:paraId="4EBD9509">
      <w:pPr>
        <w:pageBreakBefore w:val="0"/>
        <w:kinsoku/>
        <w:wordWrap/>
        <w:overflowPunct/>
        <w:topLinePunct w:val="0"/>
        <w:autoSpaceDE/>
        <w:autoSpaceDN/>
        <w:bidi w:val="0"/>
        <w:spacing w:line="400" w:lineRule="exact"/>
        <w:rPr>
          <w:rFonts w:hAnsi="宋体"/>
          <w:b/>
          <w:szCs w:val="21"/>
        </w:rPr>
      </w:pPr>
    </w:p>
    <w:p w14:paraId="1A476E8A">
      <w:pPr>
        <w:pageBreakBefore w:val="0"/>
        <w:kinsoku/>
        <w:wordWrap/>
        <w:overflowPunct/>
        <w:topLinePunct w:val="0"/>
        <w:autoSpaceDE/>
        <w:autoSpaceDN/>
        <w:bidi w:val="0"/>
        <w:spacing w:line="400" w:lineRule="exact"/>
        <w:rPr>
          <w:rFonts w:hAnsi="宋体"/>
          <w:b/>
          <w:szCs w:val="21"/>
        </w:rPr>
      </w:pPr>
    </w:p>
    <w:p w14:paraId="6E604397">
      <w:pPr>
        <w:pageBreakBefore w:val="0"/>
        <w:kinsoku/>
        <w:wordWrap/>
        <w:overflowPunct/>
        <w:topLinePunct w:val="0"/>
        <w:autoSpaceDE/>
        <w:autoSpaceDN/>
        <w:bidi w:val="0"/>
        <w:spacing w:line="400" w:lineRule="exact"/>
        <w:ind w:firstLine="1606" w:firstLineChars="500"/>
        <w:jc w:val="both"/>
      </w:pPr>
      <w:r>
        <w:rPr>
          <w:rFonts w:hint="eastAsia" w:hAnsi="宋体"/>
          <w:b/>
          <w:sz w:val="32"/>
          <w:szCs w:val="32"/>
        </w:rPr>
        <w:t>投标人根据评分标准提供其他材料</w:t>
      </w:r>
    </w:p>
    <w:sectPr>
      <w:footerReference r:id="rId4" w:type="default"/>
      <w:pgSz w:w="11906" w:h="16838"/>
      <w:pgMar w:top="1304" w:right="130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5E45A">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27573D5">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227573D5">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14E85">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10BC86">
                          <w:pPr>
                            <w:pStyle w:val="11"/>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wVircYBAACb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BWKtxgEAAJsDAAAOAAAAAAAAAAEAIAAAAB4BAABkcnMvZTJvRG9jLnht&#10;bFBLBQYAAAAABgAGAFkBAABWBQAAAAA=&#10;">
              <v:fill on="f" focussize="0,0"/>
              <v:stroke on="f"/>
              <v:imagedata o:title=""/>
              <o:lock v:ext="edit" aspectratio="f"/>
              <v:textbox inset="0mm,0mm,0mm,0mm" style="mso-fit-shape-to-text:t;">
                <w:txbxContent>
                  <w:p w14:paraId="5A10BC86">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CBE92"/>
    <w:multiLevelType w:val="singleLevel"/>
    <w:tmpl w:val="FDBCBE92"/>
    <w:lvl w:ilvl="0" w:tentative="0">
      <w:start w:val="2"/>
      <w:numFmt w:val="decimal"/>
      <w:suff w:val="nothing"/>
      <w:lvlText w:val="（%1）"/>
      <w:lvlJc w:val="left"/>
    </w:lvl>
  </w:abstractNum>
  <w:abstractNum w:abstractNumId="1">
    <w:nsid w:val="50BC01A8"/>
    <w:multiLevelType w:val="multilevel"/>
    <w:tmpl w:val="50BC01A8"/>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C946299"/>
    <w:multiLevelType w:val="singleLevel"/>
    <w:tmpl w:val="5C946299"/>
    <w:lvl w:ilvl="0" w:tentative="0">
      <w:start w:val="0"/>
      <w:numFmt w:val="decimal"/>
      <w:lvlText w:val=""/>
      <w:lvlJc w:val="left"/>
    </w:lvl>
  </w:abstractNum>
  <w:abstractNum w:abstractNumId="3">
    <w:nsid w:val="6837DA62"/>
    <w:multiLevelType w:val="singleLevel"/>
    <w:tmpl w:val="6837DA62"/>
    <w:lvl w:ilvl="0" w:tentative="0">
      <w:start w:val="5"/>
      <w:numFmt w:val="decimal"/>
      <w:suff w:val="nothing"/>
      <w:lvlText w:val="%1."/>
      <w:lvlJc w:val="left"/>
    </w:lvl>
  </w:abstractNum>
  <w:abstractNum w:abstractNumId="4">
    <w:nsid w:val="685385EE"/>
    <w:multiLevelType w:val="singleLevel"/>
    <w:tmpl w:val="685385EE"/>
    <w:lvl w:ilvl="0" w:tentative="0">
      <w:start w:val="4"/>
      <w:numFmt w:val="chineseCounting"/>
      <w:suff w:val="nothing"/>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5FE5"/>
    <w:rsid w:val="00146F25"/>
    <w:rsid w:val="00172A27"/>
    <w:rsid w:val="00176967"/>
    <w:rsid w:val="0030649A"/>
    <w:rsid w:val="00330B9F"/>
    <w:rsid w:val="003A6A0B"/>
    <w:rsid w:val="004B64B0"/>
    <w:rsid w:val="00560257"/>
    <w:rsid w:val="006907EF"/>
    <w:rsid w:val="00935E4A"/>
    <w:rsid w:val="00A80F75"/>
    <w:rsid w:val="00AA614D"/>
    <w:rsid w:val="00AD505D"/>
    <w:rsid w:val="00B44791"/>
    <w:rsid w:val="00BE2051"/>
    <w:rsid w:val="00C733E3"/>
    <w:rsid w:val="00D848FE"/>
    <w:rsid w:val="00D92C57"/>
    <w:rsid w:val="00DF5253"/>
    <w:rsid w:val="00E27B28"/>
    <w:rsid w:val="00E751BA"/>
    <w:rsid w:val="00E865DB"/>
    <w:rsid w:val="00E94260"/>
    <w:rsid w:val="00FD578D"/>
    <w:rsid w:val="044A5A6C"/>
    <w:rsid w:val="04B37E5B"/>
    <w:rsid w:val="04E216FF"/>
    <w:rsid w:val="06367DD0"/>
    <w:rsid w:val="0D3075BF"/>
    <w:rsid w:val="121360D8"/>
    <w:rsid w:val="15A11C8A"/>
    <w:rsid w:val="163C346B"/>
    <w:rsid w:val="17B05A83"/>
    <w:rsid w:val="20F17693"/>
    <w:rsid w:val="224D2F3B"/>
    <w:rsid w:val="35B44143"/>
    <w:rsid w:val="35F76384"/>
    <w:rsid w:val="448228A4"/>
    <w:rsid w:val="49063ECA"/>
    <w:rsid w:val="4DE07BD1"/>
    <w:rsid w:val="505150F2"/>
    <w:rsid w:val="5BCB4962"/>
    <w:rsid w:val="5C1A23BB"/>
    <w:rsid w:val="5ED1639A"/>
    <w:rsid w:val="5EE93CD1"/>
    <w:rsid w:val="61A73945"/>
    <w:rsid w:val="61B62E3B"/>
    <w:rsid w:val="63636D7B"/>
    <w:rsid w:val="6AC94ED6"/>
    <w:rsid w:val="6F5536E8"/>
    <w:rsid w:val="72BE1AB6"/>
    <w:rsid w:val="7C0A45CB"/>
    <w:rsid w:val="7F4F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161"/>
      <w:ind w:left="218"/>
      <w:outlineLvl w:val="0"/>
    </w:pPr>
    <w:rPr>
      <w:rFonts w:ascii="宋体" w:hAnsi="宋体" w:cs="宋体"/>
      <w:b/>
      <w:bCs/>
      <w:sz w:val="24"/>
    </w:rPr>
  </w:style>
  <w:style w:type="paragraph" w:styleId="3">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index 8"/>
    <w:basedOn w:val="1"/>
    <w:next w:val="1"/>
    <w:unhideWhenUsed/>
    <w:qFormat/>
    <w:uiPriority w:val="0"/>
    <w:pPr>
      <w:ind w:left="2940"/>
    </w:pPr>
  </w:style>
  <w:style w:type="paragraph" w:styleId="5">
    <w:name w:val="annotation text"/>
    <w:basedOn w:val="1"/>
    <w:link w:val="23"/>
    <w:qFormat/>
    <w:uiPriority w:val="0"/>
    <w:pPr>
      <w:jc w:val="left"/>
    </w:pPr>
  </w:style>
  <w:style w:type="paragraph" w:styleId="6">
    <w:name w:val="Body Text"/>
    <w:basedOn w:val="1"/>
    <w:next w:val="1"/>
    <w:qFormat/>
    <w:uiPriority w:val="0"/>
    <w:pPr>
      <w:spacing w:after="120"/>
    </w:pPr>
  </w:style>
  <w:style w:type="paragraph" w:styleId="7">
    <w:name w:val="Body Text Indent"/>
    <w:basedOn w:val="1"/>
    <w:qFormat/>
    <w:uiPriority w:val="0"/>
    <w:pPr>
      <w:spacing w:line="460" w:lineRule="exact"/>
      <w:ind w:firstLine="560"/>
    </w:pPr>
    <w:rPr>
      <w:sz w:val="28"/>
      <w:szCs w:val="20"/>
    </w:rPr>
  </w:style>
  <w:style w:type="paragraph" w:styleId="8">
    <w:name w:val="toc 3"/>
    <w:basedOn w:val="1"/>
    <w:next w:val="1"/>
    <w:unhideWhenUsed/>
    <w:qFormat/>
    <w:uiPriority w:val="39"/>
    <w:pPr>
      <w:ind w:left="840" w:leftChars="400"/>
    </w:pPr>
  </w:style>
  <w:style w:type="paragraph" w:styleId="9">
    <w:name w:val="Plain Text"/>
    <w:basedOn w:val="1"/>
    <w:next w:val="4"/>
    <w:qFormat/>
    <w:uiPriority w:val="0"/>
    <w:rPr>
      <w:rFonts w:ascii="宋体" w:hAnsi="Courier New"/>
      <w:kern w:val="0"/>
      <w:sz w:val="20"/>
      <w:szCs w:val="20"/>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引用1"/>
    <w:basedOn w:val="1"/>
    <w:next w:val="1"/>
    <w:qFormat/>
    <w:uiPriority w:val="0"/>
    <w:pPr>
      <w:ind w:left="864" w:right="864"/>
      <w:jc w:val="center"/>
    </w:pPr>
    <w:rPr>
      <w:i/>
      <w:iCs/>
      <w:color w:val="404040"/>
      <w:szCs w:val="21"/>
    </w:rPr>
  </w:style>
  <w:style w:type="paragraph" w:styleId="14">
    <w:name w:val="annotation subject"/>
    <w:basedOn w:val="5"/>
    <w:next w:val="5"/>
    <w:link w:val="2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single"/>
    </w:rPr>
  </w:style>
  <w:style w:type="character" w:styleId="19">
    <w:name w:val="annotation reference"/>
    <w:basedOn w:val="17"/>
    <w:qFormat/>
    <w:uiPriority w:val="0"/>
    <w:rPr>
      <w:sz w:val="21"/>
      <w:szCs w:val="21"/>
    </w:rPr>
  </w:style>
  <w:style w:type="paragraph" w:customStyle="1" w:styleId="20">
    <w:name w:val="_Style 7"/>
    <w:basedOn w:val="2"/>
    <w:next w:val="1"/>
    <w:qFormat/>
    <w:uiPriority w:val="39"/>
    <w:pPr>
      <w:widowControl/>
      <w:spacing w:before="240" w:line="259" w:lineRule="auto"/>
      <w:jc w:val="left"/>
      <w:outlineLvl w:val="9"/>
    </w:pPr>
    <w:rPr>
      <w:rFonts w:ascii="等线 Light" w:hAnsi="等线 Light" w:eastAsia="等线 Light" w:cs="Times New Roman"/>
      <w:b w:val="0"/>
      <w:bCs w:val="0"/>
      <w:color w:val="2F5496"/>
      <w:kern w:val="0"/>
      <w:sz w:val="32"/>
      <w:szCs w:val="32"/>
    </w:rPr>
  </w:style>
  <w:style w:type="paragraph" w:customStyle="1" w:styleId="21">
    <w:name w:val="列出段落1"/>
    <w:basedOn w:val="1"/>
    <w:qFormat/>
    <w:uiPriority w:val="34"/>
    <w:pPr>
      <w:ind w:left="850"/>
    </w:pPr>
    <w:rPr>
      <w:rFonts w:ascii="Calibri" w:hAnsi="Calibri"/>
      <w:szCs w:val="21"/>
    </w:rPr>
  </w:style>
  <w:style w:type="paragraph" w:customStyle="1" w:styleId="22">
    <w:name w:val="List Paragraph_40b67d30-6b8b-4697-8f49-97c11e174001"/>
    <w:basedOn w:val="1"/>
    <w:qFormat/>
    <w:uiPriority w:val="0"/>
    <w:pPr>
      <w:ind w:firstLine="420" w:firstLineChars="200"/>
    </w:pPr>
    <w:rPr>
      <w:rFonts w:ascii="Calibri" w:hAnsi="Calibri" w:cs="宋体"/>
      <w:szCs w:val="22"/>
    </w:rPr>
  </w:style>
  <w:style w:type="character" w:customStyle="1" w:styleId="23">
    <w:name w:val="批注文字 字符"/>
    <w:basedOn w:val="17"/>
    <w:link w:val="5"/>
    <w:qFormat/>
    <w:uiPriority w:val="0"/>
    <w:rPr>
      <w:rFonts w:ascii="Times New Roman" w:hAnsi="Times New Roman" w:eastAsia="宋体" w:cs="Times New Roman"/>
      <w:kern w:val="2"/>
      <w:sz w:val="21"/>
      <w:szCs w:val="24"/>
    </w:rPr>
  </w:style>
  <w:style w:type="character" w:customStyle="1" w:styleId="24">
    <w:name w:val="批注主题 字符"/>
    <w:basedOn w:val="23"/>
    <w:link w:val="14"/>
    <w:qFormat/>
    <w:uiPriority w:val="0"/>
    <w:rPr>
      <w:rFonts w:ascii="Times New Roman" w:hAnsi="Times New Roman" w:eastAsia="宋体" w:cs="Times New Roman"/>
      <w:b/>
      <w:bCs/>
      <w:kern w:val="2"/>
      <w:sz w:val="21"/>
      <w:szCs w:val="24"/>
    </w:rPr>
  </w:style>
  <w:style w:type="character" w:customStyle="1" w:styleId="25">
    <w:name w:val="批注框文本 字符"/>
    <w:basedOn w:val="17"/>
    <w:link w:val="10"/>
    <w:qFormat/>
    <w:uiPriority w:val="0"/>
    <w:rPr>
      <w:rFonts w:ascii="Times New Roman" w:hAnsi="Times New Roman" w:eastAsia="宋体" w:cs="Times New Roman"/>
      <w:kern w:val="2"/>
      <w:sz w:val="18"/>
      <w:szCs w:val="18"/>
    </w:rPr>
  </w:style>
  <w:style w:type="paragraph" w:customStyle="1" w:styleId="26">
    <w:name w:val="无间隔1"/>
    <w:basedOn w:val="1"/>
    <w:qFormat/>
    <w:uiPriority w:val="0"/>
    <w:pPr>
      <w:widowControl/>
      <w:jc w:val="left"/>
    </w:pPr>
    <w:rPr>
      <w:rFonts w:eastAsia="Times New Roman"/>
      <w:kern w:val="0"/>
      <w:sz w:val="2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13199</Words>
  <Characters>14056</Characters>
  <Lines>111</Lines>
  <Paragraphs>31</Paragraphs>
  <TotalTime>1</TotalTime>
  <ScaleCrop>false</ScaleCrop>
  <LinksUpToDate>false</LinksUpToDate>
  <CharactersWithSpaces>14843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2025-06-18T12:52:00Z</dcterms:created>
  <dc:creator>水晶海豚</dc:creator>
  <cp:lastModifiedBy>水晶海豚</cp:lastModifiedBy>
  <dcterms:modified xsi:type="dcterms:W3CDTF">2025-07-31T02:31:13Z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4A6D06BF2CC34F36A25BDB33BD676777_13</vt:lpwstr>
  </property>
  <property fmtid="{D5CDD505-2E9C-101B-9397-08002B2CF9AE}" pid="4" name="KSOTemplateDocerSaveRecord">
    <vt:lpwstr>eyJoZGlkIjoiMjU4OGYyYzk4NzIyNWIxNDRlYWY3YTgyY2I2YzVmNzgiLCJ1c2VySWQiOiIyNzI4OTA3MjUifQ==</vt:lpwstr>
  </property>
</Properties>
</file>