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635E82">
      <w:pPr>
        <w:spacing w:line="360" w:lineRule="auto"/>
        <w:jc w:val="center"/>
        <w:rPr>
          <w:rFonts w:ascii="宋体" w:hAnsi="宋体" w:eastAsia="宋体"/>
          <w:b/>
          <w:sz w:val="28"/>
          <w:szCs w:val="24"/>
        </w:rPr>
      </w:pPr>
      <w:r>
        <w:rPr>
          <w:rFonts w:hint="eastAsia" w:ascii="宋体" w:hAnsi="宋体" w:eastAsia="宋体"/>
          <w:b/>
          <w:sz w:val="28"/>
          <w:szCs w:val="24"/>
        </w:rPr>
        <w:t>肺功能测试系统功能招标参数</w:t>
      </w:r>
    </w:p>
    <w:p w14:paraId="426411A4">
      <w:pPr>
        <w:spacing w:line="360" w:lineRule="auto"/>
        <w:jc w:val="left"/>
        <w:rPr>
          <w:rFonts w:ascii="宋体" w:hAnsi="宋体" w:eastAsia="宋体"/>
          <w:sz w:val="24"/>
          <w:szCs w:val="24"/>
        </w:rPr>
      </w:pPr>
    </w:p>
    <w:p w14:paraId="49EB27D9">
      <w:pPr>
        <w:pStyle w:val="7"/>
        <w:numPr>
          <w:ilvl w:val="0"/>
          <w:numId w:val="1"/>
        </w:numPr>
        <w:spacing w:line="360" w:lineRule="auto"/>
        <w:ind w:firstLineChars="0"/>
        <w:jc w:val="left"/>
        <w:rPr>
          <w:rFonts w:ascii="宋体" w:hAnsi="宋体" w:eastAsia="宋体"/>
          <w:sz w:val="24"/>
          <w:szCs w:val="24"/>
        </w:rPr>
      </w:pPr>
      <w:r>
        <w:rPr>
          <w:rFonts w:hint="eastAsia" w:ascii="宋体" w:hAnsi="宋体" w:eastAsia="宋体"/>
          <w:sz w:val="24"/>
          <w:szCs w:val="24"/>
        </w:rPr>
        <w:t>设备名称：肺功能测试系统。</w:t>
      </w:r>
    </w:p>
    <w:p w14:paraId="1E65F509">
      <w:pPr>
        <w:pStyle w:val="7"/>
        <w:numPr>
          <w:ilvl w:val="0"/>
          <w:numId w:val="1"/>
        </w:numPr>
        <w:spacing w:line="360" w:lineRule="auto"/>
        <w:ind w:left="357" w:hanging="357" w:firstLineChars="0"/>
        <w:jc w:val="left"/>
        <w:rPr>
          <w:rFonts w:ascii="宋体" w:hAnsi="宋体" w:eastAsia="宋体"/>
          <w:sz w:val="24"/>
          <w:szCs w:val="24"/>
        </w:rPr>
      </w:pPr>
      <w:r>
        <w:rPr>
          <w:rFonts w:hint="eastAsia" w:ascii="宋体" w:hAnsi="宋体" w:eastAsia="宋体"/>
          <w:sz w:val="24"/>
          <w:szCs w:val="24"/>
        </w:rPr>
        <w:t>用途：能满足4岁及以上可以配合的儿童及成人的肺功能检查。（需提供检验报告或注册证证明）</w:t>
      </w:r>
    </w:p>
    <w:p w14:paraId="052C96EC">
      <w:pPr>
        <w:pStyle w:val="7"/>
        <w:numPr>
          <w:ilvl w:val="0"/>
          <w:numId w:val="1"/>
        </w:numPr>
        <w:spacing w:line="360" w:lineRule="auto"/>
        <w:ind w:left="357" w:hanging="357" w:firstLineChars="0"/>
        <w:jc w:val="left"/>
        <w:rPr>
          <w:rFonts w:ascii="宋体" w:hAnsi="宋体" w:eastAsia="宋体"/>
          <w:sz w:val="24"/>
          <w:szCs w:val="24"/>
        </w:rPr>
      </w:pPr>
      <w:r>
        <w:rPr>
          <w:rFonts w:hint="eastAsia" w:ascii="宋体" w:hAnsi="宋体" w:eastAsia="宋体"/>
          <w:sz w:val="24"/>
          <w:szCs w:val="24"/>
        </w:rPr>
        <w:t>功能指标</w:t>
      </w:r>
    </w:p>
    <w:p w14:paraId="37080FF7">
      <w:pPr>
        <w:pStyle w:val="7"/>
        <w:numPr>
          <w:ilvl w:val="0"/>
          <w:numId w:val="2"/>
        </w:numPr>
        <w:spacing w:line="360" w:lineRule="auto"/>
        <w:ind w:firstLineChars="0"/>
        <w:jc w:val="left"/>
        <w:rPr>
          <w:rFonts w:ascii="宋体" w:hAnsi="宋体" w:eastAsia="宋体"/>
          <w:sz w:val="24"/>
          <w:szCs w:val="24"/>
        </w:rPr>
      </w:pPr>
      <w:r>
        <w:rPr>
          <w:rFonts w:ascii="宋体" w:hAnsi="宋体" w:eastAsia="宋体"/>
          <w:sz w:val="24"/>
          <w:szCs w:val="24"/>
        </w:rPr>
        <w:t>慢通气功能包含最大肺活量VCmax、潮气量VT、呼吸频率 BF、 每分通气量 MV、补呼气量ERV、深吸气量IC等</w:t>
      </w:r>
      <w:r>
        <w:rPr>
          <w:rFonts w:hint="eastAsia" w:ascii="宋体" w:hAnsi="宋体" w:eastAsia="宋体"/>
          <w:sz w:val="24"/>
          <w:szCs w:val="24"/>
        </w:rPr>
        <w:t>。（需提供检验报告或技术要求证明）</w:t>
      </w:r>
    </w:p>
    <w:p w14:paraId="59EE05E0">
      <w:pPr>
        <w:pStyle w:val="7"/>
        <w:numPr>
          <w:ilvl w:val="0"/>
          <w:numId w:val="2"/>
        </w:numPr>
        <w:spacing w:line="360" w:lineRule="auto"/>
        <w:ind w:firstLineChars="0"/>
        <w:jc w:val="left"/>
        <w:rPr>
          <w:rFonts w:ascii="宋体" w:hAnsi="宋体" w:eastAsia="宋体"/>
          <w:sz w:val="24"/>
          <w:szCs w:val="24"/>
        </w:rPr>
      </w:pPr>
      <w:r>
        <w:rPr>
          <w:rFonts w:hint="eastAsia" w:ascii="宋体" w:hAnsi="宋体" w:eastAsia="宋体"/>
          <w:sz w:val="24"/>
          <w:szCs w:val="24"/>
        </w:rPr>
        <w:t>流量容积环和用力时间肺活量包含用力肺活量</w:t>
      </w:r>
      <w:r>
        <w:rPr>
          <w:rFonts w:ascii="宋体" w:hAnsi="宋体" w:eastAsia="宋体"/>
          <w:sz w:val="24"/>
          <w:szCs w:val="24"/>
        </w:rPr>
        <w:t>FVCex、一秒量 FEV1、峰流量 PEF、25%呼气流量MEF25、MEF50、MEF75、中段呼气流量 MEF25-75、一秒率FEV1%FVC等</w:t>
      </w:r>
      <w:r>
        <w:rPr>
          <w:rFonts w:hint="eastAsia" w:ascii="宋体" w:hAnsi="宋体" w:eastAsia="宋体"/>
          <w:sz w:val="24"/>
          <w:szCs w:val="24"/>
        </w:rPr>
        <w:t>。（需提供检验报告或技术要求证明）</w:t>
      </w:r>
    </w:p>
    <w:p w14:paraId="2403D7E2">
      <w:pPr>
        <w:pStyle w:val="7"/>
        <w:numPr>
          <w:ilvl w:val="0"/>
          <w:numId w:val="2"/>
        </w:numPr>
        <w:spacing w:line="360" w:lineRule="auto"/>
        <w:ind w:firstLineChars="0"/>
        <w:jc w:val="left"/>
        <w:rPr>
          <w:rFonts w:ascii="宋体" w:hAnsi="宋体" w:eastAsia="宋体"/>
          <w:sz w:val="24"/>
          <w:szCs w:val="24"/>
        </w:rPr>
      </w:pPr>
      <w:r>
        <w:rPr>
          <w:rFonts w:hint="eastAsia" w:ascii="宋体" w:hAnsi="宋体" w:eastAsia="宋体"/>
          <w:sz w:val="24"/>
          <w:szCs w:val="24"/>
        </w:rPr>
        <w:t>用力肺活量检查：</w:t>
      </w:r>
      <w:r>
        <w:rPr>
          <w:rFonts w:ascii="宋体" w:hAnsi="宋体" w:eastAsia="宋体"/>
          <w:sz w:val="24"/>
          <w:szCs w:val="24"/>
        </w:rPr>
        <w:t>FVC、FEV1、</w:t>
      </w:r>
      <w:r>
        <w:rPr>
          <w:rFonts w:hint="eastAsia" w:ascii="宋体" w:hAnsi="宋体" w:eastAsia="宋体"/>
          <w:sz w:val="24"/>
          <w:szCs w:val="24"/>
        </w:rPr>
        <w:t>PEF、</w:t>
      </w:r>
      <w:r>
        <w:rPr>
          <w:rFonts w:ascii="宋体" w:hAnsi="宋体" w:eastAsia="宋体"/>
          <w:sz w:val="24"/>
          <w:szCs w:val="24"/>
        </w:rPr>
        <w:t>FEF25、FEF50、FEF75、MMEF、FEV1/FVC、FEV1/VC Max、PEF、VEXP、FET等</w:t>
      </w:r>
      <w:r>
        <w:rPr>
          <w:rFonts w:hint="eastAsia" w:ascii="宋体" w:hAnsi="宋体" w:eastAsia="宋体"/>
          <w:sz w:val="24"/>
          <w:szCs w:val="24"/>
        </w:rPr>
        <w:t>。（需提供检验报告或技术要求证明）</w:t>
      </w:r>
    </w:p>
    <w:p w14:paraId="7C00CAA2">
      <w:pPr>
        <w:pStyle w:val="7"/>
        <w:numPr>
          <w:ilvl w:val="0"/>
          <w:numId w:val="2"/>
        </w:numPr>
        <w:spacing w:line="360" w:lineRule="auto"/>
        <w:ind w:firstLineChars="0"/>
        <w:jc w:val="left"/>
        <w:rPr>
          <w:rFonts w:ascii="宋体" w:hAnsi="宋体" w:eastAsia="宋体"/>
          <w:sz w:val="24"/>
          <w:szCs w:val="24"/>
        </w:rPr>
      </w:pPr>
      <w:r>
        <w:rPr>
          <w:rFonts w:hint="eastAsia" w:ascii="宋体" w:hAnsi="宋体" w:eastAsia="宋体"/>
          <w:sz w:val="24"/>
          <w:szCs w:val="24"/>
        </w:rPr>
        <w:t>每分最大通气量包含最大通气量</w:t>
      </w:r>
      <w:r>
        <w:rPr>
          <w:rFonts w:ascii="宋体" w:hAnsi="宋体" w:eastAsia="宋体"/>
          <w:sz w:val="24"/>
          <w:szCs w:val="24"/>
        </w:rPr>
        <w:t>MVV、</w:t>
      </w:r>
      <w:r>
        <w:rPr>
          <w:rFonts w:hint="eastAsia" w:ascii="宋体" w:hAnsi="宋体" w:eastAsia="宋体"/>
          <w:sz w:val="24"/>
          <w:szCs w:val="24"/>
        </w:rPr>
        <w:t>VT</w:t>
      </w:r>
      <w:r>
        <w:rPr>
          <w:rFonts w:ascii="宋体" w:hAnsi="宋体" w:eastAsia="宋体"/>
          <w:sz w:val="24"/>
          <w:szCs w:val="24"/>
        </w:rPr>
        <w:t xml:space="preserve"> MVV、BF等</w:t>
      </w:r>
      <w:r>
        <w:rPr>
          <w:rFonts w:hint="eastAsia" w:ascii="宋体" w:hAnsi="宋体" w:eastAsia="宋体"/>
          <w:sz w:val="24"/>
          <w:szCs w:val="24"/>
        </w:rPr>
        <w:t>。（需提供检验报告或技术要求证明）</w:t>
      </w:r>
    </w:p>
    <w:p w14:paraId="22E7DDFB">
      <w:pPr>
        <w:pStyle w:val="7"/>
        <w:numPr>
          <w:ilvl w:val="0"/>
          <w:numId w:val="2"/>
        </w:numPr>
        <w:spacing w:line="360" w:lineRule="auto"/>
        <w:ind w:firstLineChars="0"/>
        <w:jc w:val="left"/>
        <w:rPr>
          <w:rFonts w:ascii="宋体" w:hAnsi="宋体" w:eastAsia="宋体"/>
          <w:sz w:val="24"/>
          <w:szCs w:val="24"/>
        </w:rPr>
      </w:pPr>
      <w:r>
        <w:rPr>
          <w:rFonts w:hint="eastAsia" w:ascii="宋体" w:hAnsi="宋体" w:eastAsia="宋体"/>
          <w:sz w:val="24"/>
          <w:szCs w:val="24"/>
        </w:rPr>
        <w:t>具备分钟测量通气量MV。（需提供检验报告或技术要求证明）</w:t>
      </w:r>
    </w:p>
    <w:p w14:paraId="770D5BD6">
      <w:pPr>
        <w:pStyle w:val="7"/>
        <w:numPr>
          <w:ilvl w:val="0"/>
          <w:numId w:val="2"/>
        </w:numPr>
        <w:spacing w:line="360" w:lineRule="auto"/>
        <w:ind w:firstLineChars="0"/>
        <w:jc w:val="left"/>
        <w:rPr>
          <w:rFonts w:ascii="宋体" w:hAnsi="宋体" w:eastAsia="宋体"/>
          <w:sz w:val="24"/>
          <w:szCs w:val="24"/>
        </w:rPr>
      </w:pPr>
      <w:r>
        <w:rPr>
          <w:rFonts w:hint="eastAsia" w:ascii="宋体" w:hAnsi="宋体" w:eastAsia="宋体"/>
          <w:sz w:val="24"/>
          <w:szCs w:val="24"/>
        </w:rPr>
        <w:t>实时快速一口气气体稀释法残气测定，包括</w:t>
      </w:r>
      <w:r>
        <w:rPr>
          <w:rFonts w:ascii="宋体" w:hAnsi="宋体" w:eastAsia="宋体"/>
          <w:sz w:val="24"/>
          <w:szCs w:val="24"/>
        </w:rPr>
        <w:t>RV-SB 一口气弥散残气、TLC-SB 一口气法肺总量、RV%TLC-SB 残总比等等</w:t>
      </w:r>
      <w:r>
        <w:rPr>
          <w:rFonts w:hint="eastAsia" w:ascii="宋体" w:hAnsi="宋体" w:eastAsia="宋体"/>
          <w:sz w:val="24"/>
          <w:szCs w:val="24"/>
        </w:rPr>
        <w:t>。（需提供检验报告或技术要求证明）</w:t>
      </w:r>
    </w:p>
    <w:p w14:paraId="539380D1">
      <w:pPr>
        <w:pStyle w:val="7"/>
        <w:numPr>
          <w:ilvl w:val="0"/>
          <w:numId w:val="2"/>
        </w:numPr>
        <w:spacing w:line="360" w:lineRule="auto"/>
        <w:ind w:firstLineChars="0"/>
        <w:jc w:val="left"/>
        <w:rPr>
          <w:rFonts w:ascii="宋体" w:hAnsi="宋体" w:eastAsia="宋体"/>
          <w:sz w:val="24"/>
          <w:szCs w:val="24"/>
        </w:rPr>
      </w:pPr>
      <w:r>
        <w:rPr>
          <w:rFonts w:hint="eastAsia" w:ascii="宋体" w:hAnsi="宋体" w:eastAsia="宋体"/>
          <w:sz w:val="24"/>
          <w:szCs w:val="24"/>
        </w:rPr>
        <w:t>实时快速一口气法弥散功能检查：</w:t>
      </w:r>
      <w:r>
        <w:rPr>
          <w:rFonts w:ascii="宋体" w:hAnsi="宋体" w:eastAsia="宋体"/>
          <w:sz w:val="24"/>
          <w:szCs w:val="24"/>
        </w:rPr>
        <w:t>%CO Hb 一氧化碳血红蛋白、DLCO-SB 一口气弥散量、KCO 比弥散（弥散率）即每升肺泡容积的一氧化碳弥散量，肺泡量、FICO 吸气一氧化碳浓度、DLCOc-SB 血红蛋白矫正后一口气弥散量、KCOc 血红蛋白矫正后弥散率、Hb Hemoglobin，血红蛋白等</w:t>
      </w:r>
      <w:r>
        <w:rPr>
          <w:rFonts w:hint="eastAsia" w:ascii="宋体" w:hAnsi="宋体" w:eastAsia="宋体"/>
          <w:sz w:val="24"/>
          <w:szCs w:val="24"/>
        </w:rPr>
        <w:t>。（需提供检验报告或技术要求证明）</w:t>
      </w:r>
    </w:p>
    <w:p w14:paraId="376269B1">
      <w:pPr>
        <w:pStyle w:val="7"/>
        <w:numPr>
          <w:ilvl w:val="0"/>
          <w:numId w:val="2"/>
        </w:numPr>
        <w:spacing w:line="360" w:lineRule="auto"/>
        <w:ind w:firstLineChars="0"/>
        <w:jc w:val="left"/>
        <w:rPr>
          <w:rFonts w:ascii="宋体" w:hAnsi="宋体" w:eastAsia="宋体"/>
          <w:sz w:val="24"/>
          <w:szCs w:val="24"/>
        </w:rPr>
      </w:pPr>
      <w:r>
        <w:rPr>
          <w:rFonts w:hint="eastAsia" w:ascii="宋体" w:hAnsi="宋体" w:eastAsia="宋体"/>
          <w:sz w:val="24"/>
          <w:szCs w:val="24"/>
        </w:rPr>
        <w:t>具备支持支气管舒张试验，用药前后对比及改善率。</w:t>
      </w:r>
    </w:p>
    <w:p w14:paraId="36BB642C">
      <w:pPr>
        <w:pStyle w:val="7"/>
        <w:numPr>
          <w:ilvl w:val="0"/>
          <w:numId w:val="2"/>
        </w:numPr>
        <w:spacing w:line="360" w:lineRule="auto"/>
        <w:ind w:firstLineChars="0"/>
        <w:jc w:val="left"/>
        <w:rPr>
          <w:rFonts w:ascii="宋体" w:hAnsi="宋体" w:eastAsia="宋体"/>
          <w:sz w:val="24"/>
          <w:szCs w:val="24"/>
        </w:rPr>
      </w:pPr>
      <w:r>
        <w:rPr>
          <w:rFonts w:hint="eastAsia" w:ascii="宋体" w:hAnsi="宋体" w:eastAsia="宋体"/>
          <w:sz w:val="24"/>
          <w:szCs w:val="24"/>
        </w:rPr>
        <w:t>具备气道过敏反应测试系统（激发试验），包含软件功能及硬件激发给药装置（需提供检验报告或注册证证明）。</w:t>
      </w:r>
    </w:p>
    <w:p w14:paraId="74B9AF53">
      <w:pPr>
        <w:pStyle w:val="7"/>
        <w:numPr>
          <w:ilvl w:val="0"/>
          <w:numId w:val="2"/>
        </w:numPr>
        <w:spacing w:line="360" w:lineRule="auto"/>
        <w:ind w:firstLineChars="0"/>
        <w:jc w:val="left"/>
        <w:rPr>
          <w:rFonts w:ascii="宋体" w:hAnsi="宋体" w:eastAsia="宋体"/>
          <w:sz w:val="24"/>
          <w:szCs w:val="24"/>
        </w:rPr>
      </w:pPr>
      <w:r>
        <w:rPr>
          <w:rFonts w:hint="eastAsia" w:ascii="宋体" w:hAnsi="宋体" w:eastAsia="宋体"/>
          <w:sz w:val="24"/>
          <w:szCs w:val="24"/>
        </w:rPr>
        <w:t>具有连续频率脉冲振荡法气道阻力和无创肺顺应性测定，可测试至少</w:t>
      </w:r>
      <w:r>
        <w:rPr>
          <w:rFonts w:ascii="宋体" w:hAnsi="宋体" w:eastAsia="宋体"/>
          <w:sz w:val="24"/>
          <w:szCs w:val="24"/>
        </w:rPr>
        <w:t>R5、R10、R15、R20、R25、R35、X5、X10、X15、X20、X25、X35、Rp、Rc，具备潮气呼吸阻抗图，频谱分析图，结构参数图，微分均值图。</w:t>
      </w:r>
      <w:r>
        <w:rPr>
          <w:rFonts w:hint="eastAsia" w:ascii="宋体" w:hAnsi="宋体" w:eastAsia="宋体"/>
          <w:sz w:val="24"/>
          <w:szCs w:val="24"/>
        </w:rPr>
        <w:t>（需提供检验报告或技术要求证明）</w:t>
      </w:r>
    </w:p>
    <w:p w14:paraId="6495EAC6">
      <w:pPr>
        <w:pStyle w:val="7"/>
        <w:numPr>
          <w:ilvl w:val="0"/>
          <w:numId w:val="2"/>
        </w:numPr>
        <w:spacing w:line="360" w:lineRule="auto"/>
        <w:ind w:firstLineChars="0"/>
        <w:jc w:val="left"/>
        <w:rPr>
          <w:rFonts w:ascii="宋体" w:hAnsi="宋体" w:eastAsia="宋体"/>
          <w:sz w:val="24"/>
          <w:szCs w:val="24"/>
        </w:rPr>
      </w:pPr>
      <w:r>
        <w:rPr>
          <w:rFonts w:hint="eastAsia" w:ascii="宋体" w:hAnsi="宋体" w:eastAsia="宋体"/>
          <w:sz w:val="24"/>
          <w:szCs w:val="24"/>
        </w:rPr>
        <w:t>支持呼吸肌力测试（M</w:t>
      </w:r>
      <w:r>
        <w:rPr>
          <w:rFonts w:ascii="宋体" w:hAnsi="宋体" w:eastAsia="宋体"/>
          <w:sz w:val="24"/>
          <w:szCs w:val="24"/>
        </w:rPr>
        <w:t>IP</w:t>
      </w:r>
      <w:r>
        <w:rPr>
          <w:rFonts w:hint="eastAsia" w:ascii="宋体" w:hAnsi="宋体" w:eastAsia="宋体"/>
          <w:sz w:val="24"/>
          <w:szCs w:val="24"/>
        </w:rPr>
        <w:t>、</w:t>
      </w:r>
      <w:r>
        <w:rPr>
          <w:rFonts w:ascii="宋体" w:hAnsi="宋体" w:eastAsia="宋体"/>
          <w:sz w:val="24"/>
          <w:szCs w:val="24"/>
        </w:rPr>
        <w:t>MEP</w:t>
      </w:r>
      <w:r>
        <w:rPr>
          <w:rFonts w:hint="eastAsia" w:ascii="宋体" w:hAnsi="宋体" w:eastAsia="宋体"/>
          <w:sz w:val="24"/>
          <w:szCs w:val="24"/>
        </w:rPr>
        <w:t>）。（需提供检验报告或技术要求证明）</w:t>
      </w:r>
    </w:p>
    <w:p w14:paraId="46F7A04D">
      <w:pPr>
        <w:pStyle w:val="7"/>
        <w:numPr>
          <w:ilvl w:val="0"/>
          <w:numId w:val="2"/>
        </w:numPr>
        <w:spacing w:line="360" w:lineRule="auto"/>
        <w:ind w:firstLineChars="0"/>
        <w:jc w:val="left"/>
        <w:rPr>
          <w:rFonts w:ascii="宋体" w:hAnsi="宋体" w:eastAsia="宋体"/>
          <w:sz w:val="24"/>
          <w:szCs w:val="24"/>
        </w:rPr>
      </w:pPr>
      <w:r>
        <w:rPr>
          <w:rFonts w:hint="eastAsia" w:ascii="宋体" w:hAnsi="宋体" w:eastAsia="宋体"/>
          <w:sz w:val="24"/>
          <w:szCs w:val="24"/>
        </w:rPr>
        <w:t>配备专业肺功能测试软件系统，具备报告管理功能，可进行报告的审核和统计。</w:t>
      </w:r>
    </w:p>
    <w:p w14:paraId="35CA3099">
      <w:pPr>
        <w:pStyle w:val="7"/>
        <w:numPr>
          <w:ilvl w:val="0"/>
          <w:numId w:val="1"/>
        </w:numPr>
        <w:spacing w:line="360" w:lineRule="auto"/>
        <w:ind w:right="-239" w:rightChars="-114" w:firstLineChars="0"/>
        <w:jc w:val="left"/>
        <w:rPr>
          <w:rFonts w:ascii="宋体" w:hAnsi="宋体" w:eastAsia="宋体"/>
          <w:sz w:val="24"/>
          <w:szCs w:val="24"/>
        </w:rPr>
      </w:pPr>
      <w:r>
        <w:rPr>
          <w:rFonts w:hint="eastAsia" w:ascii="宋体" w:hAnsi="宋体" w:eastAsia="宋体"/>
          <w:sz w:val="24"/>
          <w:szCs w:val="24"/>
        </w:rPr>
        <w:t>主要技术参数</w:t>
      </w:r>
    </w:p>
    <w:p w14:paraId="622FCBC9">
      <w:pPr>
        <w:pStyle w:val="7"/>
        <w:numPr>
          <w:ilvl w:val="0"/>
          <w:numId w:val="3"/>
        </w:numPr>
        <w:spacing w:line="360" w:lineRule="auto"/>
        <w:ind w:firstLineChars="0"/>
        <w:jc w:val="left"/>
        <w:rPr>
          <w:rFonts w:ascii="宋体" w:hAnsi="宋体" w:eastAsia="宋体"/>
          <w:sz w:val="24"/>
          <w:szCs w:val="24"/>
        </w:rPr>
      </w:pPr>
      <w:r>
        <w:rPr>
          <w:rFonts w:hint="eastAsia" w:ascii="宋体" w:hAnsi="宋体" w:eastAsia="宋体"/>
          <w:sz w:val="24"/>
          <w:szCs w:val="24"/>
        </w:rPr>
        <w:t>采用数字积分双向筛网压差式金属材料流速传感器或热线式流速传感或自动定标的密闭滚筒型容量传感器；（提供产品厂家公开的技术资料、产品彩页等证明）</w:t>
      </w:r>
    </w:p>
    <w:p w14:paraId="6999C0E7">
      <w:pPr>
        <w:pStyle w:val="7"/>
        <w:numPr>
          <w:ilvl w:val="0"/>
          <w:numId w:val="3"/>
        </w:numPr>
        <w:spacing w:line="360" w:lineRule="auto"/>
        <w:ind w:firstLineChars="0"/>
        <w:jc w:val="left"/>
        <w:rPr>
          <w:rFonts w:ascii="宋体" w:hAnsi="宋体" w:eastAsia="宋体"/>
          <w:sz w:val="24"/>
          <w:szCs w:val="24"/>
        </w:rPr>
      </w:pPr>
      <w:r>
        <w:rPr>
          <w:rFonts w:hint="eastAsia" w:ascii="宋体" w:hAnsi="宋体" w:eastAsia="宋体"/>
          <w:sz w:val="24"/>
          <w:szCs w:val="24"/>
        </w:rPr>
        <w:t>传感器恒温电加热，温度自动补偿可防冷凝；（提供产品厂家公开的技术资料、产品彩页等证明）</w:t>
      </w:r>
    </w:p>
    <w:p w14:paraId="4149F49B">
      <w:pPr>
        <w:pStyle w:val="7"/>
        <w:numPr>
          <w:ilvl w:val="0"/>
          <w:numId w:val="3"/>
        </w:numPr>
        <w:spacing w:line="360" w:lineRule="auto"/>
        <w:ind w:firstLineChars="0"/>
        <w:jc w:val="left"/>
        <w:rPr>
          <w:rFonts w:ascii="宋体" w:hAnsi="宋体" w:eastAsia="宋体"/>
          <w:sz w:val="24"/>
          <w:szCs w:val="24"/>
        </w:rPr>
      </w:pPr>
      <w:r>
        <w:rPr>
          <w:rFonts w:hint="eastAsia" w:ascii="宋体" w:hAnsi="宋体" w:eastAsia="宋体"/>
          <w:sz w:val="24"/>
          <w:szCs w:val="24"/>
        </w:rPr>
        <w:t xml:space="preserve"> 配备多通道换向阀，结构简单反应灵敏，无需额外设置减速装置，换向阀可拆卸清洗；（提供产品厂家公开的技术资料、产品彩页等证明）</w:t>
      </w:r>
    </w:p>
    <w:p w14:paraId="6895D6D7">
      <w:pPr>
        <w:pStyle w:val="7"/>
        <w:numPr>
          <w:ilvl w:val="0"/>
          <w:numId w:val="3"/>
        </w:numPr>
        <w:spacing w:line="360" w:lineRule="auto"/>
        <w:ind w:firstLineChars="0"/>
        <w:jc w:val="left"/>
        <w:rPr>
          <w:rFonts w:ascii="宋体" w:hAnsi="宋体" w:eastAsia="宋体"/>
          <w:sz w:val="24"/>
          <w:szCs w:val="24"/>
        </w:rPr>
      </w:pPr>
      <w:r>
        <w:rPr>
          <w:rFonts w:hint="eastAsia" w:ascii="宋体" w:hAnsi="宋体" w:eastAsia="宋体"/>
          <w:sz w:val="24"/>
          <w:szCs w:val="24"/>
        </w:rPr>
        <w:t>具备容积、流速和弥散气体校准，配备</w:t>
      </w:r>
      <w:r>
        <w:rPr>
          <w:rFonts w:ascii="宋体" w:hAnsi="宋体" w:eastAsia="宋体"/>
          <w:sz w:val="24"/>
          <w:szCs w:val="24"/>
        </w:rPr>
        <w:t>3</w:t>
      </w:r>
      <w:r>
        <w:rPr>
          <w:rFonts w:hint="eastAsia" w:ascii="宋体" w:hAnsi="宋体" w:eastAsia="宋体"/>
          <w:sz w:val="24"/>
          <w:szCs w:val="24"/>
        </w:rPr>
        <w:t>L定标桶，满足呼吸质控要求；</w:t>
      </w:r>
    </w:p>
    <w:p w14:paraId="17B670B5">
      <w:pPr>
        <w:pStyle w:val="7"/>
        <w:numPr>
          <w:ilvl w:val="0"/>
          <w:numId w:val="3"/>
        </w:numPr>
        <w:spacing w:line="360" w:lineRule="auto"/>
        <w:ind w:firstLineChars="0"/>
        <w:jc w:val="left"/>
        <w:rPr>
          <w:rFonts w:ascii="宋体" w:hAnsi="宋体" w:eastAsia="宋体"/>
          <w:sz w:val="24"/>
          <w:szCs w:val="24"/>
        </w:rPr>
      </w:pPr>
      <w:r>
        <w:rPr>
          <w:rFonts w:hint="eastAsia" w:ascii="宋体" w:hAnsi="宋体" w:eastAsia="宋体"/>
          <w:sz w:val="24"/>
          <w:szCs w:val="24"/>
        </w:rPr>
        <w:t>具备符合质控要求的测试指引线，提高临床质控水平；</w:t>
      </w:r>
    </w:p>
    <w:p w14:paraId="12FA04A1">
      <w:pPr>
        <w:pStyle w:val="7"/>
        <w:numPr>
          <w:ilvl w:val="0"/>
          <w:numId w:val="3"/>
        </w:numPr>
        <w:spacing w:line="360" w:lineRule="auto"/>
        <w:ind w:firstLineChars="0"/>
        <w:jc w:val="left"/>
        <w:rPr>
          <w:rFonts w:ascii="宋体" w:hAnsi="宋体" w:eastAsia="宋体"/>
          <w:sz w:val="24"/>
          <w:szCs w:val="24"/>
        </w:rPr>
      </w:pPr>
      <w:r>
        <w:rPr>
          <w:rFonts w:hint="eastAsia" w:ascii="宋体" w:hAnsi="宋体" w:eastAsia="宋体"/>
          <w:sz w:val="24"/>
          <w:szCs w:val="24"/>
        </w:rPr>
        <w:t>自动</w:t>
      </w:r>
      <w:r>
        <w:rPr>
          <w:rFonts w:ascii="宋体" w:hAnsi="宋体" w:eastAsia="宋体"/>
          <w:sz w:val="24"/>
          <w:szCs w:val="24"/>
        </w:rPr>
        <w:t>APS</w:t>
      </w:r>
      <w:r>
        <w:rPr>
          <w:rFonts w:hint="eastAsia" w:ascii="宋体" w:hAnsi="宋体" w:eastAsia="宋体"/>
          <w:sz w:val="24"/>
          <w:szCs w:val="24"/>
        </w:rPr>
        <w:t>激发系统具备三种质控校准方法：低流速容积校准（2</w:t>
      </w:r>
      <w:r>
        <w:rPr>
          <w:rFonts w:ascii="宋体" w:hAnsi="宋体" w:eastAsia="宋体"/>
          <w:sz w:val="24"/>
          <w:szCs w:val="24"/>
        </w:rPr>
        <w:t>L/s</w:t>
      </w:r>
      <w:r>
        <w:rPr>
          <w:rFonts w:hint="eastAsia" w:ascii="宋体" w:hAnsi="宋体" w:eastAsia="宋体"/>
          <w:sz w:val="24"/>
          <w:szCs w:val="24"/>
        </w:rPr>
        <w:t>）、雾化率及空压机定标校准功能（需提供检验报告或技术要求证明）</w:t>
      </w:r>
    </w:p>
    <w:p w14:paraId="633DAC38">
      <w:pPr>
        <w:pStyle w:val="7"/>
        <w:numPr>
          <w:ilvl w:val="0"/>
          <w:numId w:val="3"/>
        </w:numPr>
        <w:spacing w:line="360" w:lineRule="auto"/>
        <w:ind w:firstLineChars="0"/>
        <w:jc w:val="left"/>
        <w:rPr>
          <w:rFonts w:ascii="宋体" w:hAnsi="宋体" w:eastAsia="宋体"/>
          <w:sz w:val="24"/>
          <w:szCs w:val="24"/>
        </w:rPr>
      </w:pPr>
      <w:r>
        <w:rPr>
          <w:rFonts w:hint="eastAsia" w:ascii="宋体" w:hAnsi="宋体" w:eastAsia="宋体"/>
          <w:sz w:val="24"/>
          <w:szCs w:val="24"/>
        </w:rPr>
        <w:t>呼吸流量及容积测定，采用流量积分法</w:t>
      </w:r>
    </w:p>
    <w:p w14:paraId="69A0C920">
      <w:pPr>
        <w:pStyle w:val="7"/>
        <w:numPr>
          <w:ilvl w:val="1"/>
          <w:numId w:val="3"/>
        </w:numPr>
        <w:spacing w:line="360" w:lineRule="auto"/>
        <w:ind w:firstLineChars="0"/>
        <w:jc w:val="left"/>
        <w:rPr>
          <w:rFonts w:ascii="宋体" w:hAnsi="宋体" w:eastAsia="宋体"/>
          <w:sz w:val="24"/>
          <w:szCs w:val="24"/>
        </w:rPr>
      </w:pPr>
      <w:r>
        <w:rPr>
          <w:rFonts w:ascii="宋体" w:hAnsi="宋体" w:eastAsia="宋体"/>
          <w:sz w:val="24"/>
          <w:szCs w:val="24"/>
        </w:rPr>
        <w:t xml:space="preserve"> </w:t>
      </w:r>
      <w:r>
        <w:rPr>
          <w:rFonts w:hint="eastAsia" w:ascii="宋体" w:hAnsi="宋体" w:eastAsia="宋体"/>
          <w:sz w:val="24"/>
          <w:szCs w:val="24"/>
        </w:rPr>
        <w:t>流量范围0-</w:t>
      </w:r>
      <w:r>
        <w:rPr>
          <w:rFonts w:ascii="宋体" w:hAnsi="宋体" w:eastAsia="宋体"/>
          <w:sz w:val="24"/>
          <w:szCs w:val="24"/>
        </w:rPr>
        <w:t xml:space="preserve">18 </w:t>
      </w:r>
      <w:r>
        <w:rPr>
          <w:rFonts w:hint="eastAsia" w:ascii="宋体" w:hAnsi="宋体" w:eastAsia="宋体"/>
          <w:sz w:val="24"/>
          <w:szCs w:val="24"/>
        </w:rPr>
        <w:t>L/s，分辨率</w:t>
      </w:r>
      <w:r>
        <w:rPr>
          <w:rFonts w:ascii="宋体" w:hAnsi="宋体" w:eastAsia="宋体"/>
          <w:sz w:val="24"/>
          <w:szCs w:val="24"/>
        </w:rPr>
        <w:t>0.01L</w:t>
      </w:r>
      <w:r>
        <w:rPr>
          <w:rFonts w:hint="eastAsia" w:ascii="宋体" w:hAnsi="宋体" w:eastAsia="宋体"/>
          <w:sz w:val="24"/>
          <w:szCs w:val="24"/>
        </w:rPr>
        <w:t>/</w:t>
      </w:r>
      <w:r>
        <w:rPr>
          <w:rFonts w:ascii="宋体" w:hAnsi="宋体" w:eastAsia="宋体"/>
          <w:sz w:val="24"/>
          <w:szCs w:val="24"/>
        </w:rPr>
        <w:t>s</w:t>
      </w:r>
      <w:r>
        <w:rPr>
          <w:rFonts w:hint="eastAsia" w:ascii="宋体" w:hAnsi="宋体" w:eastAsia="宋体"/>
          <w:sz w:val="24"/>
          <w:szCs w:val="24"/>
        </w:rPr>
        <w:t>，在0-±1</w:t>
      </w:r>
      <w:r>
        <w:rPr>
          <w:rFonts w:ascii="宋体" w:hAnsi="宋体" w:eastAsia="宋体"/>
          <w:sz w:val="24"/>
          <w:szCs w:val="24"/>
        </w:rPr>
        <w:t>6</w:t>
      </w:r>
      <w:r>
        <w:rPr>
          <w:rFonts w:hint="eastAsia" w:ascii="宋体" w:hAnsi="宋体" w:eastAsia="宋体"/>
          <w:sz w:val="24"/>
          <w:szCs w:val="24"/>
        </w:rPr>
        <w:t xml:space="preserve"> L</w:t>
      </w:r>
      <w:r>
        <w:rPr>
          <w:rFonts w:ascii="宋体" w:hAnsi="宋体" w:eastAsia="宋体"/>
          <w:sz w:val="24"/>
          <w:szCs w:val="24"/>
        </w:rPr>
        <w:t>/s</w:t>
      </w:r>
      <w:r>
        <w:rPr>
          <w:rFonts w:hint="eastAsia" w:ascii="宋体" w:hAnsi="宋体" w:eastAsia="宋体"/>
          <w:sz w:val="24"/>
          <w:szCs w:val="24"/>
        </w:rPr>
        <w:t>范围下，</w:t>
      </w:r>
      <w:r>
        <w:rPr>
          <w:rFonts w:ascii="宋体" w:hAnsi="宋体" w:eastAsia="宋体"/>
          <w:sz w:val="24"/>
          <w:szCs w:val="24"/>
        </w:rPr>
        <w:t>其精度为±2%</w:t>
      </w:r>
      <w:r>
        <w:rPr>
          <w:rFonts w:hint="eastAsia" w:ascii="宋体" w:hAnsi="宋体" w:eastAsia="宋体"/>
          <w:sz w:val="24"/>
          <w:szCs w:val="24"/>
        </w:rPr>
        <w:t>；（需提供检验报告或技术要求证明）</w:t>
      </w:r>
    </w:p>
    <w:p w14:paraId="6233104D">
      <w:pPr>
        <w:pStyle w:val="7"/>
        <w:numPr>
          <w:ilvl w:val="1"/>
          <w:numId w:val="3"/>
        </w:numPr>
        <w:spacing w:line="360" w:lineRule="auto"/>
        <w:ind w:firstLineChars="0"/>
        <w:jc w:val="left"/>
        <w:rPr>
          <w:rFonts w:ascii="宋体" w:hAnsi="宋体" w:eastAsia="宋体"/>
          <w:sz w:val="24"/>
          <w:szCs w:val="24"/>
        </w:rPr>
      </w:pPr>
      <w:r>
        <w:rPr>
          <w:rFonts w:ascii="宋体" w:hAnsi="宋体" w:eastAsia="宋体"/>
          <w:sz w:val="24"/>
          <w:szCs w:val="24"/>
        </w:rPr>
        <w:t xml:space="preserve"> </w:t>
      </w:r>
      <w:r>
        <w:rPr>
          <w:rFonts w:hint="eastAsia" w:ascii="宋体" w:hAnsi="宋体" w:eastAsia="宋体"/>
          <w:sz w:val="24"/>
          <w:szCs w:val="24"/>
        </w:rPr>
        <w:t>容积</w:t>
      </w:r>
      <w:r>
        <w:rPr>
          <w:rFonts w:ascii="宋体" w:hAnsi="宋体" w:eastAsia="宋体"/>
          <w:sz w:val="24"/>
          <w:szCs w:val="24"/>
        </w:rPr>
        <w:t>0</w:t>
      </w:r>
      <w:r>
        <w:rPr>
          <w:rFonts w:hint="eastAsia" w:ascii="宋体" w:hAnsi="宋体" w:eastAsia="宋体"/>
          <w:sz w:val="24"/>
          <w:szCs w:val="24"/>
        </w:rPr>
        <w:t>-</w:t>
      </w:r>
      <w:r>
        <w:rPr>
          <w:rFonts w:ascii="宋体" w:hAnsi="宋体" w:eastAsia="宋体"/>
          <w:sz w:val="24"/>
          <w:szCs w:val="24"/>
        </w:rPr>
        <w:t>20</w:t>
      </w:r>
      <w:r>
        <w:rPr>
          <w:rFonts w:hint="eastAsia" w:ascii="宋体" w:hAnsi="宋体" w:eastAsia="宋体"/>
          <w:sz w:val="24"/>
          <w:szCs w:val="24"/>
        </w:rPr>
        <w:t>L，分辨率0</w:t>
      </w:r>
      <w:r>
        <w:rPr>
          <w:rFonts w:ascii="宋体" w:hAnsi="宋体" w:eastAsia="宋体"/>
          <w:sz w:val="24"/>
          <w:szCs w:val="24"/>
        </w:rPr>
        <w:t>.001</w:t>
      </w:r>
      <w:r>
        <w:rPr>
          <w:rFonts w:hint="eastAsia" w:ascii="宋体" w:hAnsi="宋体" w:eastAsia="宋体"/>
          <w:sz w:val="24"/>
          <w:szCs w:val="24"/>
        </w:rPr>
        <w:t>L，精度±</w:t>
      </w:r>
      <w:r>
        <w:rPr>
          <w:rFonts w:ascii="宋体" w:hAnsi="宋体" w:eastAsia="宋体"/>
          <w:sz w:val="24"/>
          <w:szCs w:val="24"/>
        </w:rPr>
        <w:t>3</w:t>
      </w:r>
      <w:r>
        <w:rPr>
          <w:rFonts w:hint="eastAsia" w:ascii="宋体" w:hAnsi="宋体" w:eastAsia="宋体"/>
          <w:sz w:val="24"/>
          <w:szCs w:val="24"/>
        </w:rPr>
        <w:t>%；（需提供检验报告或技术要求证明）</w:t>
      </w:r>
    </w:p>
    <w:p w14:paraId="40308127">
      <w:pPr>
        <w:pStyle w:val="7"/>
        <w:numPr>
          <w:ilvl w:val="0"/>
          <w:numId w:val="3"/>
        </w:numPr>
        <w:spacing w:line="360" w:lineRule="auto"/>
        <w:ind w:firstLineChars="0"/>
        <w:jc w:val="left"/>
        <w:rPr>
          <w:rFonts w:ascii="宋体" w:hAnsi="宋体" w:eastAsia="宋体"/>
          <w:sz w:val="24"/>
          <w:szCs w:val="24"/>
        </w:rPr>
      </w:pPr>
      <w:r>
        <w:rPr>
          <w:rFonts w:hint="eastAsia" w:ascii="宋体" w:hAnsi="宋体" w:eastAsia="宋体"/>
          <w:sz w:val="24"/>
          <w:szCs w:val="24"/>
        </w:rPr>
        <w:t>弥散功能测试</w:t>
      </w:r>
    </w:p>
    <w:p w14:paraId="0003738F">
      <w:pPr>
        <w:pStyle w:val="7"/>
        <w:numPr>
          <w:ilvl w:val="1"/>
          <w:numId w:val="3"/>
        </w:numPr>
        <w:spacing w:line="360" w:lineRule="auto"/>
        <w:ind w:right="-313" w:rightChars="-149" w:firstLineChars="0"/>
        <w:jc w:val="left"/>
        <w:rPr>
          <w:rFonts w:ascii="宋体" w:hAnsi="宋体" w:eastAsia="宋体"/>
          <w:sz w:val="24"/>
          <w:szCs w:val="24"/>
        </w:rPr>
      </w:pPr>
      <w:r>
        <w:rPr>
          <w:rFonts w:ascii="宋体" w:hAnsi="宋体" w:eastAsia="宋体"/>
          <w:sz w:val="24"/>
          <w:szCs w:val="24"/>
        </w:rPr>
        <w:t xml:space="preserve"> </w:t>
      </w:r>
      <w:r>
        <w:rPr>
          <w:rFonts w:hint="eastAsia" w:ascii="宋体" w:hAnsi="宋体" w:eastAsia="宋体"/>
          <w:sz w:val="24"/>
          <w:szCs w:val="24"/>
        </w:rPr>
        <w:t>采用一口气呼吸法，弥散实时监测气体浓度，无需等待弥散检测分析时间；</w:t>
      </w:r>
    </w:p>
    <w:p w14:paraId="4A6BB062">
      <w:pPr>
        <w:pStyle w:val="7"/>
        <w:numPr>
          <w:ilvl w:val="1"/>
          <w:numId w:val="3"/>
        </w:numPr>
        <w:spacing w:line="360" w:lineRule="auto"/>
        <w:ind w:right="-313" w:rightChars="-149" w:firstLineChars="0"/>
        <w:jc w:val="left"/>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具备测试指引线，能自由调整气体采样分析区间，提高质控水平；</w:t>
      </w:r>
    </w:p>
    <w:p w14:paraId="77E5673E">
      <w:pPr>
        <w:pStyle w:val="7"/>
        <w:numPr>
          <w:ilvl w:val="1"/>
          <w:numId w:val="3"/>
        </w:numPr>
        <w:spacing w:line="360" w:lineRule="auto"/>
        <w:ind w:right="-313" w:rightChars="-149" w:firstLineChars="0"/>
        <w:jc w:val="left"/>
        <w:rPr>
          <w:rFonts w:ascii="宋体" w:hAnsi="宋体" w:eastAsia="宋体"/>
          <w:sz w:val="24"/>
          <w:szCs w:val="24"/>
        </w:rPr>
      </w:pPr>
      <w:r>
        <w:rPr>
          <w:rFonts w:ascii="宋体" w:hAnsi="宋体" w:eastAsia="宋体"/>
          <w:sz w:val="24"/>
          <w:szCs w:val="24"/>
        </w:rPr>
        <w:t xml:space="preserve">  </w:t>
      </w:r>
      <w:r>
        <w:rPr>
          <w:rFonts w:hint="eastAsia" w:ascii="宋体" w:hAnsi="宋体" w:eastAsia="宋体"/>
          <w:sz w:val="24"/>
          <w:szCs w:val="24"/>
        </w:rPr>
        <w:t>弥散检测同步弥散残气测定，参数结果同时获取；</w:t>
      </w:r>
    </w:p>
    <w:p w14:paraId="358B1FB4">
      <w:pPr>
        <w:pStyle w:val="7"/>
        <w:numPr>
          <w:ilvl w:val="1"/>
          <w:numId w:val="3"/>
        </w:numPr>
        <w:spacing w:line="360" w:lineRule="auto"/>
        <w:ind w:firstLineChars="0"/>
        <w:jc w:val="left"/>
        <w:rPr>
          <w:rFonts w:ascii="宋体" w:hAnsi="宋体" w:eastAsia="宋体"/>
          <w:sz w:val="24"/>
          <w:szCs w:val="24"/>
        </w:rPr>
      </w:pPr>
      <w:r>
        <w:rPr>
          <w:rFonts w:ascii="宋体" w:hAnsi="宋体" w:eastAsia="宋体"/>
          <w:sz w:val="24"/>
          <w:szCs w:val="24"/>
        </w:rPr>
        <w:t xml:space="preserve"> </w:t>
      </w:r>
      <w:r>
        <w:rPr>
          <w:rFonts w:hint="eastAsia" w:ascii="宋体" w:hAnsi="宋体" w:eastAsia="宋体"/>
          <w:sz w:val="24"/>
          <w:szCs w:val="24"/>
          <w:lang w:val="en-US" w:eastAsia="zh-CN"/>
        </w:rPr>
        <w:t xml:space="preserve"> </w:t>
      </w:r>
      <w:r>
        <w:rPr>
          <w:rFonts w:hint="eastAsia" w:ascii="宋体" w:hAnsi="宋体" w:eastAsia="宋体" w:cs="Arial"/>
          <w:color w:val="000000"/>
          <w:kern w:val="0"/>
          <w:sz w:val="24"/>
          <w:szCs w:val="24"/>
        </w:rPr>
        <w:t>弥散检测采用高精度红外传感器，抗干扰能力强，测量范围0-</w:t>
      </w:r>
      <w:r>
        <w:rPr>
          <w:rFonts w:ascii="宋体" w:hAnsi="宋体" w:eastAsia="宋体" w:cs="Arial"/>
          <w:color w:val="000000"/>
          <w:kern w:val="0"/>
          <w:sz w:val="24"/>
          <w:szCs w:val="24"/>
        </w:rPr>
        <w:t>0.3</w:t>
      </w:r>
      <w:r>
        <w:rPr>
          <w:rFonts w:hint="eastAsia" w:ascii="宋体" w:hAnsi="宋体" w:eastAsia="宋体" w:cs="Arial"/>
          <w:color w:val="000000"/>
          <w:kern w:val="0"/>
          <w:sz w:val="24"/>
          <w:szCs w:val="24"/>
        </w:rPr>
        <w:t>%，精度±0</w:t>
      </w:r>
      <w:r>
        <w:rPr>
          <w:rFonts w:ascii="宋体" w:hAnsi="宋体" w:eastAsia="宋体" w:cs="Arial"/>
          <w:color w:val="000000"/>
          <w:kern w:val="0"/>
          <w:sz w:val="24"/>
          <w:szCs w:val="24"/>
        </w:rPr>
        <w:t>.1</w:t>
      </w:r>
      <w:r>
        <w:rPr>
          <w:rFonts w:hint="eastAsia" w:ascii="宋体" w:hAnsi="宋体" w:eastAsia="宋体" w:cs="Arial"/>
          <w:color w:val="000000"/>
          <w:kern w:val="0"/>
          <w:sz w:val="24"/>
          <w:szCs w:val="24"/>
        </w:rPr>
        <w:t>%，分辨率0</w:t>
      </w:r>
      <w:r>
        <w:rPr>
          <w:rFonts w:ascii="宋体" w:hAnsi="宋体" w:eastAsia="宋体" w:cs="Arial"/>
          <w:color w:val="000000"/>
          <w:kern w:val="0"/>
          <w:sz w:val="24"/>
          <w:szCs w:val="24"/>
        </w:rPr>
        <w:t>.1</w:t>
      </w:r>
      <w:r>
        <w:rPr>
          <w:rFonts w:hint="eastAsia" w:ascii="宋体" w:hAnsi="宋体" w:eastAsia="宋体" w:cs="Arial"/>
          <w:color w:val="000000"/>
          <w:kern w:val="0"/>
          <w:sz w:val="24"/>
          <w:szCs w:val="24"/>
        </w:rPr>
        <w:t>%，采用CO、CH4或CO、He的混合一瓶气体作为弥散残气的测试气体；</w:t>
      </w:r>
      <w:r>
        <w:rPr>
          <w:rFonts w:hint="eastAsia" w:ascii="宋体" w:hAnsi="宋体" w:eastAsia="宋体"/>
          <w:sz w:val="24"/>
          <w:szCs w:val="24"/>
        </w:rPr>
        <w:t>（需提供检验报告或技术要求证明）</w:t>
      </w:r>
    </w:p>
    <w:p w14:paraId="60DA5273">
      <w:pPr>
        <w:pStyle w:val="7"/>
        <w:numPr>
          <w:ilvl w:val="1"/>
          <w:numId w:val="3"/>
        </w:numPr>
        <w:spacing w:line="360" w:lineRule="auto"/>
        <w:ind w:firstLineChars="0"/>
        <w:jc w:val="left"/>
        <w:rPr>
          <w:rFonts w:ascii="宋体" w:hAnsi="宋体" w:eastAsia="宋体"/>
          <w:sz w:val="24"/>
          <w:szCs w:val="24"/>
        </w:rPr>
      </w:pPr>
      <w:r>
        <w:rPr>
          <w:rFonts w:hint="eastAsia" w:ascii="宋体" w:hAnsi="宋体" w:eastAsia="宋体"/>
          <w:sz w:val="24"/>
          <w:szCs w:val="24"/>
        </w:rPr>
        <w:t xml:space="preserve"> 支持自动化给气程序，智能定位肺容量质控点，具备吸气质控标准，实时监测口腔压及呼吸流速；</w:t>
      </w:r>
    </w:p>
    <w:p w14:paraId="69DA91B8">
      <w:pPr>
        <w:pStyle w:val="7"/>
        <w:numPr>
          <w:ilvl w:val="1"/>
          <w:numId w:val="3"/>
        </w:numPr>
        <w:spacing w:line="360" w:lineRule="auto"/>
        <w:ind w:firstLineChars="0"/>
        <w:jc w:val="left"/>
        <w:rPr>
          <w:rFonts w:ascii="宋体" w:hAnsi="宋体" w:eastAsia="宋体"/>
          <w:sz w:val="24"/>
          <w:szCs w:val="24"/>
        </w:rPr>
      </w:pPr>
      <w:r>
        <w:rPr>
          <w:rFonts w:ascii="宋体" w:hAnsi="宋体" w:eastAsia="宋体"/>
          <w:sz w:val="24"/>
          <w:szCs w:val="24"/>
        </w:rPr>
        <w:t xml:space="preserve"> </w:t>
      </w:r>
      <w:r>
        <w:rPr>
          <w:rFonts w:hint="eastAsia" w:ascii="宋体" w:hAnsi="宋体" w:eastAsia="宋体"/>
          <w:sz w:val="24"/>
          <w:szCs w:val="24"/>
        </w:rPr>
        <w:t>系统智能化控制，具备指引、质量控制、结果判读、释义等功能，实时弥散检测操作，配备弥散训练模式，方便患者理解操作，有效提高质控等级；</w:t>
      </w:r>
    </w:p>
    <w:p w14:paraId="5A6E54BC">
      <w:pPr>
        <w:pStyle w:val="7"/>
        <w:numPr>
          <w:ilvl w:val="0"/>
          <w:numId w:val="3"/>
        </w:numPr>
        <w:spacing w:line="360" w:lineRule="auto"/>
        <w:ind w:left="782" w:hanging="357" w:firstLineChars="0"/>
        <w:jc w:val="left"/>
        <w:rPr>
          <w:rFonts w:ascii="宋体" w:hAnsi="宋体" w:eastAsia="宋体"/>
          <w:sz w:val="24"/>
          <w:szCs w:val="24"/>
        </w:rPr>
      </w:pPr>
      <w:r>
        <w:rPr>
          <w:rFonts w:hint="eastAsia" w:ascii="宋体" w:hAnsi="宋体" w:eastAsia="宋体"/>
          <w:sz w:val="24"/>
          <w:szCs w:val="24"/>
        </w:rPr>
        <w:t>支气管反应性测定</w:t>
      </w:r>
    </w:p>
    <w:p w14:paraId="7208EB6F">
      <w:pPr>
        <w:pStyle w:val="7"/>
        <w:spacing w:line="360" w:lineRule="auto"/>
        <w:ind w:left="1145" w:firstLine="0" w:firstLineChars="0"/>
        <w:jc w:val="left"/>
        <w:rPr>
          <w:rFonts w:ascii="宋体" w:hAnsi="宋体" w:eastAsia="宋体"/>
          <w:sz w:val="24"/>
          <w:szCs w:val="24"/>
        </w:rPr>
      </w:pPr>
      <w:r>
        <w:rPr>
          <w:rFonts w:ascii="宋体" w:hAnsi="宋体" w:eastAsia="宋体"/>
          <w:sz w:val="24"/>
          <w:szCs w:val="24"/>
        </w:rPr>
        <w:t xml:space="preserve">9.1 </w:t>
      </w:r>
      <w:r>
        <w:rPr>
          <w:rFonts w:hint="eastAsia" w:ascii="宋体" w:hAnsi="宋体" w:eastAsia="宋体"/>
          <w:sz w:val="24"/>
          <w:szCs w:val="24"/>
        </w:rPr>
        <w:t>支气管激发、舒张试验，PC</w:t>
      </w:r>
      <w:r>
        <w:rPr>
          <w:rFonts w:ascii="宋体" w:hAnsi="宋体" w:eastAsia="宋体"/>
          <w:sz w:val="24"/>
          <w:szCs w:val="24"/>
        </w:rPr>
        <w:t>20</w:t>
      </w:r>
      <w:r>
        <w:rPr>
          <w:rFonts w:hint="eastAsia" w:ascii="宋体" w:hAnsi="宋体" w:eastAsia="宋体"/>
          <w:sz w:val="24"/>
          <w:szCs w:val="24"/>
        </w:rPr>
        <w:t>、PD</w:t>
      </w:r>
      <w:r>
        <w:rPr>
          <w:rFonts w:ascii="宋体" w:hAnsi="宋体" w:eastAsia="宋体"/>
          <w:sz w:val="24"/>
          <w:szCs w:val="24"/>
        </w:rPr>
        <w:t>20</w:t>
      </w:r>
      <w:r>
        <w:rPr>
          <w:rFonts w:hint="eastAsia" w:ascii="宋体" w:hAnsi="宋体" w:eastAsia="宋体"/>
          <w:sz w:val="24"/>
          <w:szCs w:val="24"/>
        </w:rPr>
        <w:t>测算，具备肺功能测试系统控制的一体化给药系统，软硬件一体无需外接； （需提供检验报告或技术要求证明）</w:t>
      </w:r>
    </w:p>
    <w:p w14:paraId="3129F036">
      <w:pPr>
        <w:pStyle w:val="7"/>
        <w:spacing w:line="360" w:lineRule="auto"/>
        <w:ind w:left="1145" w:firstLine="0" w:firstLineChars="0"/>
        <w:jc w:val="left"/>
        <w:rPr>
          <w:rFonts w:ascii="宋体" w:hAnsi="宋体" w:eastAsia="宋体"/>
          <w:sz w:val="24"/>
          <w:szCs w:val="24"/>
        </w:rPr>
      </w:pPr>
      <w:r>
        <w:rPr>
          <w:rFonts w:ascii="宋体" w:hAnsi="宋体" w:eastAsia="宋体"/>
          <w:sz w:val="24"/>
          <w:szCs w:val="24"/>
        </w:rPr>
        <w:t xml:space="preserve">9.2 </w:t>
      </w:r>
      <w:r>
        <w:rPr>
          <w:rFonts w:hint="eastAsia" w:ascii="宋体" w:hAnsi="宋体" w:eastAsia="宋体"/>
          <w:sz w:val="24"/>
          <w:szCs w:val="24"/>
        </w:rPr>
        <w:t>配备自动雾化给药设备，平均颗粒直径＜</w:t>
      </w:r>
      <w:r>
        <w:rPr>
          <w:rFonts w:ascii="宋体" w:hAnsi="宋体" w:eastAsia="宋体"/>
          <w:sz w:val="24"/>
          <w:szCs w:val="24"/>
        </w:rPr>
        <w:t>6</w:t>
      </w:r>
      <w:r>
        <w:rPr>
          <w:rFonts w:hint="eastAsia" w:ascii="宋体" w:hAnsi="宋体" w:eastAsia="宋体"/>
          <w:sz w:val="24"/>
          <w:szCs w:val="24"/>
        </w:rPr>
        <w:t>μm；（需提供检验报告或技术要求证明）</w:t>
      </w:r>
    </w:p>
    <w:p w14:paraId="18ECEC18">
      <w:pPr>
        <w:pStyle w:val="7"/>
        <w:spacing w:line="360" w:lineRule="auto"/>
        <w:ind w:left="1145" w:firstLine="0" w:firstLineChars="0"/>
        <w:jc w:val="left"/>
        <w:rPr>
          <w:rFonts w:ascii="宋体" w:hAnsi="宋体" w:eastAsia="宋体"/>
          <w:sz w:val="24"/>
          <w:szCs w:val="24"/>
        </w:rPr>
      </w:pPr>
      <w:r>
        <w:rPr>
          <w:rFonts w:ascii="宋体" w:hAnsi="宋体" w:eastAsia="宋体"/>
          <w:sz w:val="24"/>
          <w:szCs w:val="24"/>
        </w:rPr>
        <w:t>9.3</w:t>
      </w:r>
      <w:r>
        <w:rPr>
          <w:rFonts w:hint="eastAsia" w:ascii="宋体" w:hAnsi="宋体" w:eastAsia="宋体"/>
          <w:sz w:val="24"/>
          <w:szCs w:val="24"/>
        </w:rPr>
        <w:t xml:space="preserve">雾化残留液量≤ </w:t>
      </w:r>
      <w:r>
        <w:rPr>
          <w:rFonts w:ascii="宋体" w:hAnsi="宋体" w:eastAsia="宋体"/>
          <w:sz w:val="24"/>
          <w:szCs w:val="24"/>
        </w:rPr>
        <w:t xml:space="preserve">2 </w:t>
      </w:r>
      <w:r>
        <w:rPr>
          <w:rFonts w:hint="eastAsia" w:ascii="宋体" w:hAnsi="宋体" w:eastAsia="宋体"/>
          <w:sz w:val="24"/>
          <w:szCs w:val="24"/>
        </w:rPr>
        <w:t>ml</w:t>
      </w:r>
      <w:r>
        <w:rPr>
          <w:rFonts w:ascii="宋体" w:hAnsi="宋体" w:eastAsia="宋体"/>
          <w:sz w:val="24"/>
          <w:szCs w:val="24"/>
        </w:rPr>
        <w:t>;</w:t>
      </w:r>
      <w:r>
        <w:rPr>
          <w:rFonts w:hint="eastAsia" w:ascii="宋体" w:hAnsi="宋体" w:eastAsia="宋体"/>
          <w:sz w:val="24"/>
          <w:szCs w:val="24"/>
        </w:rPr>
        <w:t xml:space="preserve"> （需提供检验报告或技术要求证明）</w:t>
      </w:r>
    </w:p>
    <w:p w14:paraId="51464D1A">
      <w:pPr>
        <w:pStyle w:val="7"/>
        <w:spacing w:line="360" w:lineRule="auto"/>
        <w:ind w:left="1145" w:firstLine="0" w:firstLineChars="0"/>
        <w:jc w:val="left"/>
        <w:rPr>
          <w:rFonts w:ascii="宋体" w:hAnsi="宋体" w:eastAsia="宋体"/>
          <w:sz w:val="24"/>
          <w:szCs w:val="24"/>
        </w:rPr>
      </w:pPr>
      <w:r>
        <w:rPr>
          <w:rFonts w:ascii="宋体" w:hAnsi="宋体" w:eastAsia="宋体"/>
          <w:sz w:val="24"/>
          <w:szCs w:val="24"/>
        </w:rPr>
        <w:t>9.4</w:t>
      </w:r>
      <w:r>
        <w:rPr>
          <w:rFonts w:hint="eastAsia" w:ascii="宋体" w:hAnsi="宋体" w:eastAsia="宋体"/>
          <w:sz w:val="24"/>
          <w:szCs w:val="24"/>
        </w:rPr>
        <w:t>具备自动药物补偿功能，系统可显示实际累积剂量，可便于医生掌握患者吸药情况，根据患者吸药情况一键补偿不足的药物，协助患者达到激发操作要求；</w:t>
      </w:r>
      <w:r>
        <w:rPr>
          <w:rFonts w:ascii="宋体" w:hAnsi="宋体" w:eastAsia="宋体"/>
          <w:sz w:val="24"/>
          <w:szCs w:val="24"/>
        </w:rPr>
        <w:t xml:space="preserve"> </w:t>
      </w:r>
    </w:p>
    <w:p w14:paraId="1A134AF6">
      <w:pPr>
        <w:pStyle w:val="7"/>
        <w:spacing w:line="360" w:lineRule="auto"/>
        <w:ind w:left="1145" w:right="105" w:rightChars="50" w:firstLine="0" w:firstLineChars="0"/>
        <w:jc w:val="left"/>
        <w:rPr>
          <w:rFonts w:ascii="宋体" w:hAnsi="宋体" w:eastAsia="宋体"/>
          <w:sz w:val="24"/>
          <w:szCs w:val="24"/>
        </w:rPr>
      </w:pPr>
      <w:r>
        <w:rPr>
          <w:rFonts w:ascii="宋体" w:hAnsi="宋体" w:eastAsia="宋体"/>
          <w:sz w:val="24"/>
          <w:szCs w:val="24"/>
        </w:rPr>
        <w:t xml:space="preserve">9.5 </w:t>
      </w:r>
      <w:r>
        <w:rPr>
          <w:rFonts w:hint="eastAsia" w:ascii="宋体" w:hAnsi="宋体" w:eastAsia="宋体"/>
          <w:sz w:val="24"/>
          <w:szCs w:val="24"/>
        </w:rPr>
        <w:t>系统控制给药，支持支气管舒张、支气管激发给药，可设置给药过程中的雾化触发条件、雾化时间、雾化呼吸间隔等信息、实时显示趋势图，有用药间隔计时器提醒，结果显示药前药后肺功能对比，不同颜色标记等；</w:t>
      </w:r>
    </w:p>
    <w:p w14:paraId="0AF056D0">
      <w:pPr>
        <w:pStyle w:val="7"/>
        <w:spacing w:line="360" w:lineRule="auto"/>
        <w:ind w:left="1145" w:firstLine="0" w:firstLineChars="0"/>
        <w:jc w:val="left"/>
        <w:rPr>
          <w:rFonts w:ascii="宋体" w:hAnsi="宋体" w:eastAsia="宋体"/>
          <w:sz w:val="24"/>
          <w:szCs w:val="24"/>
        </w:rPr>
      </w:pPr>
      <w:r>
        <w:rPr>
          <w:rFonts w:ascii="宋体" w:hAnsi="宋体" w:eastAsia="宋体"/>
          <w:sz w:val="24"/>
          <w:szCs w:val="24"/>
        </w:rPr>
        <w:t xml:space="preserve">9.6 </w:t>
      </w:r>
      <w:r>
        <w:rPr>
          <w:rFonts w:hint="eastAsia" w:ascii="宋体" w:hAnsi="宋体" w:eastAsia="宋体"/>
          <w:sz w:val="24"/>
          <w:szCs w:val="24"/>
        </w:rPr>
        <w:t>内置激发、舒张协议，用户也可添加及编辑院内常用协议程序；</w:t>
      </w:r>
    </w:p>
    <w:p w14:paraId="6DCA1F65">
      <w:pPr>
        <w:pStyle w:val="7"/>
        <w:spacing w:line="360" w:lineRule="auto"/>
        <w:ind w:left="1145" w:firstLine="0" w:firstLineChars="0"/>
        <w:jc w:val="left"/>
        <w:rPr>
          <w:rFonts w:ascii="宋体" w:hAnsi="宋体" w:eastAsia="宋体"/>
          <w:sz w:val="24"/>
          <w:szCs w:val="24"/>
        </w:rPr>
      </w:pPr>
      <w:r>
        <w:rPr>
          <w:rFonts w:ascii="宋体" w:hAnsi="宋体" w:eastAsia="宋体"/>
          <w:sz w:val="24"/>
          <w:szCs w:val="24"/>
        </w:rPr>
        <w:t xml:space="preserve">9.7 </w:t>
      </w:r>
      <w:r>
        <w:rPr>
          <w:rFonts w:hint="eastAsia" w:ascii="宋体" w:hAnsi="宋体" w:eastAsia="宋体"/>
          <w:sz w:val="24"/>
          <w:szCs w:val="24"/>
        </w:rPr>
        <w:t>具备用药计时功能，用药后自动计时，检测更便捷；</w:t>
      </w:r>
    </w:p>
    <w:p w14:paraId="6F89F96A">
      <w:pPr>
        <w:pStyle w:val="7"/>
        <w:numPr>
          <w:ilvl w:val="0"/>
          <w:numId w:val="3"/>
        </w:numPr>
        <w:spacing w:line="360" w:lineRule="auto"/>
        <w:ind w:firstLineChars="0"/>
        <w:rPr>
          <w:rFonts w:ascii="宋体" w:hAnsi="宋体" w:eastAsia="宋体"/>
          <w:sz w:val="24"/>
          <w:szCs w:val="24"/>
        </w:rPr>
      </w:pPr>
      <w:r>
        <w:rPr>
          <w:rFonts w:hint="eastAsia" w:ascii="宋体" w:hAnsi="宋体" w:eastAsia="宋体"/>
          <w:sz w:val="24"/>
          <w:szCs w:val="24"/>
        </w:rPr>
        <w:t>脉冲震荡模块</w:t>
      </w:r>
    </w:p>
    <w:p w14:paraId="315C9B6D">
      <w:pPr>
        <w:pStyle w:val="7"/>
        <w:spacing w:line="360" w:lineRule="auto"/>
        <w:ind w:left="785" w:firstLine="0" w:firstLineChars="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 xml:space="preserve">0.1 </w:t>
      </w:r>
      <w:r>
        <w:rPr>
          <w:rFonts w:hint="eastAsia" w:ascii="宋体" w:hAnsi="宋体" w:eastAsia="宋体"/>
          <w:sz w:val="24"/>
          <w:szCs w:val="24"/>
        </w:rPr>
        <w:t>气道阻力能准确区分大、小气道的阻力，不需病人特殊配合即可完成测试。</w:t>
      </w:r>
      <w:r>
        <w:rPr>
          <w:rFonts w:ascii="宋体" w:hAnsi="宋体" w:eastAsia="宋体"/>
          <w:sz w:val="24"/>
          <w:szCs w:val="24"/>
        </w:rPr>
        <w:t>可以定位阻力产生的部位，并提供各种图表、图形显示。</w:t>
      </w:r>
    </w:p>
    <w:p w14:paraId="7F47EB90">
      <w:pPr>
        <w:pStyle w:val="7"/>
        <w:spacing w:line="360" w:lineRule="auto"/>
        <w:ind w:left="785" w:firstLine="0" w:firstLineChars="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 xml:space="preserve">0.2 </w:t>
      </w:r>
      <w:r>
        <w:rPr>
          <w:rFonts w:hint="eastAsia" w:ascii="宋体" w:hAnsi="宋体" w:eastAsia="宋体"/>
          <w:sz w:val="24"/>
          <w:szCs w:val="24"/>
        </w:rPr>
        <w:t>中心气道阻力、总气道阻力、</w:t>
      </w:r>
      <w:r>
        <w:rPr>
          <w:rFonts w:ascii="宋体" w:hAnsi="宋体" w:eastAsia="宋体"/>
          <w:sz w:val="24"/>
          <w:szCs w:val="24"/>
        </w:rPr>
        <w:t>周边弹性阻力</w:t>
      </w:r>
      <w:r>
        <w:rPr>
          <w:rFonts w:hint="eastAsia" w:ascii="宋体" w:hAnsi="宋体" w:eastAsia="宋体"/>
          <w:sz w:val="24"/>
          <w:szCs w:val="24"/>
        </w:rPr>
        <w:t>和</w:t>
      </w:r>
      <w:r>
        <w:rPr>
          <w:rFonts w:ascii="宋体" w:hAnsi="宋体" w:eastAsia="宋体"/>
          <w:sz w:val="24"/>
          <w:szCs w:val="24"/>
        </w:rPr>
        <w:t>阻抗-容积分布(同时获得)</w:t>
      </w:r>
    </w:p>
    <w:p w14:paraId="70C99918">
      <w:pPr>
        <w:pStyle w:val="7"/>
        <w:spacing w:line="360" w:lineRule="auto"/>
        <w:ind w:left="785" w:firstLine="0" w:firstLineChars="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 xml:space="preserve">0.3 </w:t>
      </w:r>
      <w:bookmarkStart w:id="0" w:name="_GoBack"/>
      <w:bookmarkEnd w:id="0"/>
      <w:r>
        <w:rPr>
          <w:rFonts w:hint="eastAsia" w:ascii="宋体" w:hAnsi="宋体" w:eastAsia="宋体"/>
          <w:sz w:val="24"/>
          <w:szCs w:val="24"/>
        </w:rPr>
        <w:t>脉冲振荡平静口腔压</w:t>
      </w:r>
      <w:r>
        <w:rPr>
          <w:rFonts w:ascii="宋体" w:hAnsi="宋体" w:eastAsia="宋体"/>
          <w:sz w:val="24"/>
          <w:szCs w:val="24"/>
        </w:rPr>
        <w:t xml:space="preserve">:测试范围：-2 </w:t>
      </w:r>
      <w:r>
        <w:rPr>
          <w:rFonts w:hint="eastAsia" w:ascii="宋体" w:hAnsi="宋体" w:eastAsia="宋体"/>
          <w:sz w:val="24"/>
          <w:szCs w:val="24"/>
        </w:rPr>
        <w:t>-</w:t>
      </w:r>
      <w:r>
        <w:rPr>
          <w:rFonts w:ascii="宋体" w:hAnsi="宋体" w:eastAsia="宋体"/>
          <w:sz w:val="24"/>
          <w:szCs w:val="24"/>
        </w:rPr>
        <w:t xml:space="preserve"> 2KPa；分辨率：0.001KPa；测试精度：±2%或±0.05KPa，取大者。</w:t>
      </w:r>
      <w:r>
        <w:rPr>
          <w:rFonts w:hint="eastAsia" w:ascii="宋体" w:hAnsi="宋体" w:eastAsia="宋体"/>
          <w:sz w:val="24"/>
          <w:szCs w:val="24"/>
        </w:rPr>
        <w:t>（需提供检验报告或技术要求证明）</w:t>
      </w:r>
    </w:p>
    <w:p w14:paraId="5C27F4E9">
      <w:pPr>
        <w:pStyle w:val="7"/>
        <w:spacing w:line="360" w:lineRule="auto"/>
        <w:ind w:left="785" w:firstLine="0" w:firstLineChars="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 xml:space="preserve">0.4 </w:t>
      </w:r>
      <w:r>
        <w:rPr>
          <w:rFonts w:hint="eastAsia" w:ascii="宋体" w:hAnsi="宋体" w:eastAsia="宋体"/>
          <w:sz w:val="24"/>
          <w:szCs w:val="24"/>
        </w:rPr>
        <w:t>可自动进行通气模块的切换，不需要手动调节。</w:t>
      </w:r>
    </w:p>
    <w:p w14:paraId="724D2E36">
      <w:pPr>
        <w:pStyle w:val="7"/>
        <w:spacing w:line="360" w:lineRule="auto"/>
        <w:ind w:left="785" w:firstLine="0" w:firstLineChars="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 xml:space="preserve">0.5 </w:t>
      </w:r>
      <w:r>
        <w:rPr>
          <w:rFonts w:hint="eastAsia" w:ascii="宋体" w:hAnsi="宋体" w:eastAsia="宋体"/>
          <w:sz w:val="24"/>
          <w:szCs w:val="24"/>
        </w:rPr>
        <w:t>呼吸管路可拆卸进行清洗和消毒，避免交叉感染。</w:t>
      </w:r>
    </w:p>
    <w:p w14:paraId="1B41B7D9">
      <w:pPr>
        <w:pStyle w:val="7"/>
        <w:numPr>
          <w:ilvl w:val="0"/>
          <w:numId w:val="3"/>
        </w:numPr>
        <w:spacing w:line="360" w:lineRule="auto"/>
        <w:ind w:left="782" w:hanging="357" w:firstLineChars="0"/>
        <w:rPr>
          <w:rFonts w:ascii="宋体" w:hAnsi="宋体" w:eastAsia="宋体"/>
          <w:sz w:val="24"/>
          <w:szCs w:val="24"/>
        </w:rPr>
      </w:pPr>
      <w:r>
        <w:rPr>
          <w:rFonts w:hint="eastAsia" w:ascii="宋体" w:hAnsi="宋体" w:eastAsia="宋体"/>
          <w:sz w:val="24"/>
          <w:szCs w:val="24"/>
        </w:rPr>
        <w:t>开机自动校准，支持</w:t>
      </w:r>
      <w:r>
        <w:rPr>
          <w:rFonts w:ascii="宋体" w:hAnsi="宋体" w:eastAsia="宋体"/>
          <w:sz w:val="24"/>
          <w:szCs w:val="24"/>
        </w:rPr>
        <w:t>BTPS校正</w:t>
      </w:r>
      <w:r>
        <w:rPr>
          <w:rFonts w:hint="eastAsia" w:ascii="宋体" w:hAnsi="宋体" w:eastAsia="宋体"/>
          <w:sz w:val="24"/>
          <w:szCs w:val="24"/>
        </w:rPr>
        <w:t>，具备</w:t>
      </w:r>
      <w:r>
        <w:rPr>
          <w:rFonts w:ascii="宋体" w:hAnsi="宋体" w:eastAsia="宋体"/>
          <w:sz w:val="24"/>
          <w:szCs w:val="24"/>
        </w:rPr>
        <w:t>环境参数传感器，</w:t>
      </w:r>
      <w:r>
        <w:rPr>
          <w:rFonts w:hint="eastAsia" w:ascii="宋体" w:hAnsi="宋体" w:eastAsia="宋体"/>
          <w:sz w:val="24"/>
          <w:szCs w:val="24"/>
        </w:rPr>
        <w:t>大气压5</w:t>
      </w:r>
      <w:r>
        <w:rPr>
          <w:rFonts w:ascii="宋体" w:hAnsi="宋体" w:eastAsia="宋体"/>
          <w:sz w:val="24"/>
          <w:szCs w:val="24"/>
        </w:rPr>
        <w:t>00</w:t>
      </w:r>
      <w:r>
        <w:rPr>
          <w:rFonts w:hint="eastAsia" w:ascii="宋体" w:hAnsi="宋体" w:eastAsia="宋体"/>
          <w:sz w:val="24"/>
          <w:szCs w:val="24"/>
        </w:rPr>
        <w:t>-</w:t>
      </w:r>
      <w:r>
        <w:rPr>
          <w:rFonts w:ascii="宋体" w:hAnsi="宋体" w:eastAsia="宋体"/>
          <w:sz w:val="24"/>
          <w:szCs w:val="24"/>
        </w:rPr>
        <w:t>1200</w:t>
      </w:r>
      <w:r>
        <w:rPr>
          <w:rFonts w:hint="eastAsia" w:ascii="宋体" w:hAnsi="宋体" w:eastAsia="宋体"/>
          <w:sz w:val="24"/>
          <w:szCs w:val="24"/>
        </w:rPr>
        <w:t>h</w:t>
      </w:r>
      <w:r>
        <w:rPr>
          <w:rFonts w:ascii="宋体" w:hAnsi="宋体" w:eastAsia="宋体"/>
          <w:sz w:val="24"/>
          <w:szCs w:val="24"/>
        </w:rPr>
        <w:t>Pa</w:t>
      </w:r>
      <w:r>
        <w:rPr>
          <w:rFonts w:hint="eastAsia" w:ascii="宋体" w:hAnsi="宋体" w:eastAsia="宋体"/>
          <w:sz w:val="24"/>
          <w:szCs w:val="24"/>
        </w:rPr>
        <w:t>，温度0-</w:t>
      </w:r>
      <w:r>
        <w:rPr>
          <w:rFonts w:ascii="宋体" w:hAnsi="宋体" w:eastAsia="宋体"/>
          <w:sz w:val="24"/>
          <w:szCs w:val="24"/>
        </w:rPr>
        <w:t>40</w:t>
      </w:r>
      <w:r>
        <w:rPr>
          <w:rFonts w:hint="eastAsia" w:ascii="宋体" w:hAnsi="宋体" w:eastAsia="宋体"/>
          <w:sz w:val="24"/>
          <w:szCs w:val="24"/>
        </w:rPr>
        <w:t>℃，湿度0-</w:t>
      </w:r>
      <w:r>
        <w:rPr>
          <w:rFonts w:ascii="宋体" w:hAnsi="宋体" w:eastAsia="宋体"/>
          <w:sz w:val="24"/>
          <w:szCs w:val="24"/>
        </w:rPr>
        <w:t>90</w:t>
      </w:r>
      <w:r>
        <w:rPr>
          <w:rFonts w:hint="eastAsia" w:ascii="宋体" w:hAnsi="宋体" w:eastAsia="宋体"/>
          <w:sz w:val="24"/>
          <w:szCs w:val="24"/>
        </w:rPr>
        <w:t>%；</w:t>
      </w:r>
    </w:p>
    <w:p w14:paraId="1FF155B8">
      <w:pPr>
        <w:pStyle w:val="7"/>
        <w:numPr>
          <w:ilvl w:val="0"/>
          <w:numId w:val="3"/>
        </w:numPr>
        <w:spacing w:line="360" w:lineRule="auto"/>
        <w:ind w:firstLineChars="0"/>
        <w:rPr>
          <w:rFonts w:ascii="宋体" w:hAnsi="宋体" w:eastAsia="宋体"/>
          <w:sz w:val="24"/>
          <w:szCs w:val="24"/>
        </w:rPr>
      </w:pPr>
      <w:r>
        <w:rPr>
          <w:rFonts w:hint="eastAsia" w:ascii="宋体" w:hAnsi="宋体" w:eastAsia="宋体"/>
          <w:sz w:val="24"/>
          <w:szCs w:val="24"/>
        </w:rPr>
        <w:t>呼吸肌力模块：最大呼气压、最大吸气压。测试范围</w:t>
      </w:r>
      <w:r>
        <w:rPr>
          <w:rFonts w:ascii="宋体" w:hAnsi="宋体" w:eastAsia="宋体"/>
          <w:sz w:val="24"/>
          <w:szCs w:val="24"/>
        </w:rPr>
        <w:t>:-20-20KPa;分辨率:0.01KPa;测试精度:士3%或士0.1KPa，取大者。</w:t>
      </w:r>
    </w:p>
    <w:p w14:paraId="787113DC">
      <w:pPr>
        <w:pStyle w:val="7"/>
        <w:numPr>
          <w:ilvl w:val="0"/>
          <w:numId w:val="3"/>
        </w:numPr>
        <w:spacing w:line="360" w:lineRule="auto"/>
        <w:ind w:left="782" w:hanging="357" w:firstLineChars="0"/>
        <w:rPr>
          <w:rFonts w:ascii="宋体" w:hAnsi="宋体" w:eastAsia="宋体"/>
          <w:sz w:val="24"/>
          <w:szCs w:val="24"/>
        </w:rPr>
      </w:pPr>
      <w:r>
        <w:rPr>
          <w:rFonts w:hint="eastAsia" w:ascii="宋体" w:hAnsi="宋体" w:eastAsia="宋体"/>
          <w:sz w:val="24"/>
          <w:szCs w:val="24"/>
        </w:rPr>
        <w:t>自定义检测报告，设置报告模板内容及排版，可显示多项检测结果、功能参数、质控等级、疾病分级等信息，参数可重命名符合判读习惯，满足临床及科研需求；（提供产品厂家公开的技术资料、产品彩页等证明）</w:t>
      </w:r>
    </w:p>
    <w:p w14:paraId="4BDFA98D">
      <w:pPr>
        <w:pStyle w:val="7"/>
        <w:numPr>
          <w:ilvl w:val="0"/>
          <w:numId w:val="3"/>
        </w:numPr>
        <w:spacing w:line="360" w:lineRule="auto"/>
        <w:ind w:left="782" w:hanging="357" w:firstLineChars="0"/>
        <w:rPr>
          <w:rFonts w:ascii="宋体" w:hAnsi="宋体" w:eastAsia="宋体"/>
          <w:sz w:val="24"/>
          <w:szCs w:val="24"/>
        </w:rPr>
      </w:pPr>
      <w:r>
        <w:rPr>
          <w:rFonts w:hint="eastAsia" w:ascii="宋体" w:hAnsi="宋体" w:eastAsia="宋体"/>
          <w:sz w:val="24"/>
          <w:szCs w:val="24"/>
        </w:rPr>
        <w:t>开放式预计值系统设计，含有多项中国人预计值数据，用户可增加、删除、自定义预计值公式，设置最优排序，且可合并预计值公式，方便判断及临床研究使用；（提供产品厂家公开的技术资料、产品彩页等证明）</w:t>
      </w:r>
    </w:p>
    <w:p w14:paraId="50F471E2">
      <w:pPr>
        <w:pStyle w:val="7"/>
        <w:numPr>
          <w:ilvl w:val="0"/>
          <w:numId w:val="3"/>
        </w:numPr>
        <w:spacing w:line="360" w:lineRule="auto"/>
        <w:ind w:firstLineChars="0"/>
        <w:rPr>
          <w:rFonts w:ascii="宋体" w:hAnsi="宋体" w:eastAsia="宋体"/>
          <w:sz w:val="24"/>
          <w:szCs w:val="24"/>
        </w:rPr>
      </w:pPr>
      <w:r>
        <w:rPr>
          <w:rFonts w:hint="eastAsia" w:ascii="宋体" w:hAnsi="宋体" w:eastAsia="宋体"/>
          <w:sz w:val="24"/>
          <w:szCs w:val="24"/>
        </w:rPr>
        <w:t>具备数据导出功能，测试数据可以excel表格导出，满足科研临床需求；</w:t>
      </w:r>
    </w:p>
    <w:p w14:paraId="01E6EC1D">
      <w:pPr>
        <w:pStyle w:val="7"/>
        <w:numPr>
          <w:ilvl w:val="0"/>
          <w:numId w:val="3"/>
        </w:numPr>
        <w:spacing w:line="360" w:lineRule="auto"/>
        <w:ind w:left="782" w:hanging="357" w:firstLineChars="0"/>
        <w:rPr>
          <w:rFonts w:ascii="宋体" w:hAnsi="宋体" w:eastAsia="宋体"/>
          <w:sz w:val="24"/>
          <w:szCs w:val="24"/>
        </w:rPr>
      </w:pPr>
      <w:r>
        <w:rPr>
          <w:rFonts w:hint="eastAsia" w:ascii="宋体" w:hAnsi="宋体" w:eastAsia="宋体"/>
          <w:sz w:val="24"/>
          <w:szCs w:val="24"/>
        </w:rPr>
        <w:t>系统数据分析，检测曲线实时显示，离线存储患者检测报告及记录,历史检测数据及曲线可同一报告对比，数据库可在不同设备互相导入，多设备数据统一管理，并自动备份。</w:t>
      </w:r>
    </w:p>
    <w:p w14:paraId="4EFB8232">
      <w:pPr>
        <w:pStyle w:val="7"/>
        <w:numPr>
          <w:ilvl w:val="0"/>
          <w:numId w:val="3"/>
        </w:numPr>
        <w:spacing w:line="360" w:lineRule="auto"/>
        <w:ind w:left="782" w:hanging="357" w:firstLineChars="0"/>
        <w:rPr>
          <w:rFonts w:ascii="宋体" w:hAnsi="宋体" w:eastAsia="宋体"/>
          <w:sz w:val="24"/>
          <w:szCs w:val="24"/>
        </w:rPr>
      </w:pPr>
      <w:r>
        <w:rPr>
          <w:rFonts w:hint="eastAsia" w:ascii="宋体" w:hAnsi="宋体" w:eastAsia="宋体"/>
          <w:sz w:val="24"/>
          <w:szCs w:val="24"/>
        </w:rPr>
        <w:t>具备报告管理功能，可实现上下级审核、数据导出及分析，工作量统计等功能，无需外接其他系统；</w:t>
      </w:r>
    </w:p>
    <w:p w14:paraId="7597B788">
      <w:pPr>
        <w:pStyle w:val="7"/>
        <w:numPr>
          <w:ilvl w:val="0"/>
          <w:numId w:val="3"/>
        </w:numPr>
        <w:spacing w:line="360" w:lineRule="auto"/>
        <w:ind w:left="782" w:hanging="357" w:firstLineChars="0"/>
        <w:rPr>
          <w:rFonts w:ascii="宋体" w:hAnsi="宋体" w:eastAsia="宋体"/>
          <w:sz w:val="24"/>
          <w:szCs w:val="24"/>
        </w:rPr>
      </w:pPr>
      <w:r>
        <w:rPr>
          <w:rFonts w:hint="eastAsia" w:ascii="宋体" w:hAnsi="宋体" w:eastAsia="宋体"/>
          <w:sz w:val="24"/>
          <w:szCs w:val="24"/>
        </w:rPr>
        <w:t>配备电脑工作站，电脑屏幕≥2</w:t>
      </w:r>
      <w:r>
        <w:rPr>
          <w:rFonts w:ascii="宋体" w:hAnsi="宋体" w:eastAsia="宋体"/>
          <w:sz w:val="24"/>
          <w:szCs w:val="24"/>
        </w:rPr>
        <w:t>7</w:t>
      </w:r>
      <w:r>
        <w:rPr>
          <w:rFonts w:hint="eastAsia" w:ascii="宋体" w:hAnsi="宋体" w:eastAsia="宋体"/>
          <w:sz w:val="24"/>
          <w:szCs w:val="24"/>
        </w:rPr>
        <w:t>寸，I</w:t>
      </w:r>
      <w:r>
        <w:rPr>
          <w:rFonts w:ascii="宋体" w:hAnsi="宋体" w:eastAsia="宋体"/>
          <w:sz w:val="24"/>
          <w:szCs w:val="24"/>
        </w:rPr>
        <w:t>3</w:t>
      </w:r>
      <w:r>
        <w:rPr>
          <w:rFonts w:hint="eastAsia" w:ascii="宋体" w:hAnsi="宋体" w:eastAsia="宋体"/>
          <w:sz w:val="24"/>
          <w:szCs w:val="24"/>
        </w:rPr>
        <w:t>及以上处理器系统，固态硬盘≥5</w:t>
      </w:r>
      <w:r>
        <w:rPr>
          <w:rFonts w:ascii="宋体" w:hAnsi="宋体" w:eastAsia="宋体"/>
          <w:sz w:val="24"/>
          <w:szCs w:val="24"/>
        </w:rPr>
        <w:t>12</w:t>
      </w:r>
      <w:r>
        <w:rPr>
          <w:rFonts w:hint="eastAsia" w:ascii="宋体" w:hAnsi="宋体" w:eastAsia="宋体"/>
          <w:sz w:val="24"/>
          <w:szCs w:val="24"/>
        </w:rPr>
        <w:t>G内存；可配置打印机；</w:t>
      </w:r>
    </w:p>
    <w:p w14:paraId="56433499">
      <w:pPr>
        <w:pStyle w:val="7"/>
        <w:numPr>
          <w:ilvl w:val="0"/>
          <w:numId w:val="3"/>
        </w:numPr>
        <w:spacing w:line="360" w:lineRule="auto"/>
        <w:ind w:left="782" w:hanging="357" w:firstLineChars="0"/>
        <w:rPr>
          <w:rFonts w:ascii="宋体" w:hAnsi="宋体" w:eastAsia="宋体"/>
          <w:sz w:val="24"/>
          <w:szCs w:val="24"/>
        </w:rPr>
      </w:pPr>
      <w:r>
        <w:rPr>
          <w:rFonts w:hint="eastAsia" w:ascii="宋体" w:hAnsi="宋体" w:eastAsia="宋体"/>
          <w:sz w:val="24"/>
          <w:szCs w:val="24"/>
        </w:rPr>
        <w:t>配备一体化多功能台车，可移动，方便用户操作；</w:t>
      </w:r>
    </w:p>
    <w:p w14:paraId="36EC13BF">
      <w:pPr>
        <w:pStyle w:val="7"/>
        <w:numPr>
          <w:ilvl w:val="0"/>
          <w:numId w:val="3"/>
        </w:numPr>
        <w:spacing w:line="360" w:lineRule="auto"/>
        <w:ind w:left="782" w:hanging="357" w:firstLineChars="0"/>
        <w:rPr>
          <w:rFonts w:ascii="宋体" w:hAnsi="宋体" w:eastAsia="宋体"/>
          <w:sz w:val="24"/>
          <w:szCs w:val="24"/>
        </w:rPr>
      </w:pPr>
      <w:r>
        <w:rPr>
          <w:rFonts w:hint="eastAsia" w:ascii="宋体" w:hAnsi="宋体" w:eastAsia="宋体"/>
          <w:sz w:val="24"/>
          <w:szCs w:val="24"/>
        </w:rPr>
        <w:t>可开发拓展FENO检测模块等。</w:t>
      </w:r>
    </w:p>
    <w:p w14:paraId="324F0463">
      <w:pPr>
        <w:widowControl/>
        <w:jc w:val="left"/>
        <w:rPr>
          <w:rFonts w:ascii="宋体" w:hAnsi="宋体" w:eastAsia="宋体"/>
          <w:sz w:val="28"/>
          <w:szCs w:val="24"/>
        </w:rPr>
      </w:pPr>
      <w:r>
        <w:rPr>
          <w:rFonts w:ascii="宋体" w:hAnsi="宋体" w:eastAsia="宋体"/>
          <w:sz w:val="28"/>
          <w:szCs w:val="24"/>
        </w:rPr>
        <w:br w:type="page"/>
      </w:r>
    </w:p>
    <w:p w14:paraId="1B68B68D">
      <w:pPr>
        <w:spacing w:line="360" w:lineRule="auto"/>
        <w:jc w:val="center"/>
        <w:rPr>
          <w:rFonts w:ascii="宋体" w:hAnsi="宋体" w:eastAsia="宋体"/>
          <w:b/>
          <w:sz w:val="28"/>
          <w:szCs w:val="24"/>
        </w:rPr>
      </w:pPr>
      <w:r>
        <w:rPr>
          <w:rFonts w:hint="eastAsia" w:ascii="宋体" w:hAnsi="宋体" w:eastAsia="宋体"/>
          <w:b/>
          <w:sz w:val="28"/>
          <w:szCs w:val="24"/>
        </w:rPr>
        <w:t>大型肺功能测试系统配置清单</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1" w:type="dxa"/>
          <w:bottom w:w="0" w:type="dxa"/>
          <w:right w:w="71" w:type="dxa"/>
        </w:tblCellMar>
      </w:tblPr>
      <w:tblGrid>
        <w:gridCol w:w="1075"/>
        <w:gridCol w:w="6523"/>
        <w:gridCol w:w="994"/>
        <w:gridCol w:w="844"/>
      </w:tblGrid>
      <w:tr w14:paraId="2EAC0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1" w:type="dxa"/>
            <w:bottom w:w="0" w:type="dxa"/>
            <w:right w:w="71" w:type="dxa"/>
          </w:tblCellMar>
        </w:tblPrEx>
        <w:trPr>
          <w:trHeight w:val="467" w:hRule="atLeast"/>
        </w:trPr>
        <w:tc>
          <w:tcPr>
            <w:tcW w:w="9436" w:type="dxa"/>
            <w:gridSpan w:val="4"/>
            <w:vAlign w:val="center"/>
          </w:tcPr>
          <w:p w14:paraId="0F3F41F3">
            <w:pPr>
              <w:spacing w:line="360" w:lineRule="auto"/>
              <w:rPr>
                <w:rFonts w:ascii="仿宋" w:hAnsi="仿宋" w:eastAsia="仿宋"/>
                <w:b/>
                <w:caps/>
                <w:szCs w:val="21"/>
                <w:lang w:val="fr-FR"/>
              </w:rPr>
            </w:pPr>
            <w:r>
              <w:rPr>
                <w:rFonts w:hint="eastAsia" w:ascii="仿宋" w:hAnsi="仿宋" w:eastAsia="仿宋"/>
                <w:b/>
                <w:szCs w:val="21"/>
                <w:lang w:val="fr-FR"/>
              </w:rPr>
              <w:t>一、单台设备配置</w:t>
            </w:r>
          </w:p>
        </w:tc>
      </w:tr>
      <w:tr w14:paraId="1BEB7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1" w:type="dxa"/>
            <w:bottom w:w="0" w:type="dxa"/>
            <w:right w:w="71" w:type="dxa"/>
          </w:tblCellMar>
        </w:tblPrEx>
        <w:trPr>
          <w:trHeight w:val="467" w:hRule="atLeast"/>
        </w:trPr>
        <w:tc>
          <w:tcPr>
            <w:tcW w:w="1075" w:type="dxa"/>
            <w:vAlign w:val="center"/>
          </w:tcPr>
          <w:p w14:paraId="43E55325">
            <w:pPr>
              <w:spacing w:line="360" w:lineRule="auto"/>
              <w:jc w:val="center"/>
              <w:rPr>
                <w:rFonts w:ascii="仿宋" w:hAnsi="仿宋" w:eastAsia="仿宋"/>
                <w:szCs w:val="21"/>
                <w:lang w:val="fr-FR"/>
              </w:rPr>
            </w:pPr>
            <w:r>
              <w:rPr>
                <w:rFonts w:hint="eastAsia" w:ascii="仿宋" w:hAnsi="仿宋" w:eastAsia="仿宋"/>
                <w:szCs w:val="21"/>
                <w:lang w:val="fr-FR"/>
              </w:rPr>
              <w:t>序号</w:t>
            </w:r>
          </w:p>
        </w:tc>
        <w:tc>
          <w:tcPr>
            <w:tcW w:w="6523" w:type="dxa"/>
            <w:vAlign w:val="center"/>
          </w:tcPr>
          <w:p w14:paraId="184E1759">
            <w:pPr>
              <w:spacing w:line="360" w:lineRule="auto"/>
              <w:ind w:left="-70" w:firstLine="282"/>
              <w:jc w:val="center"/>
              <w:rPr>
                <w:rFonts w:ascii="仿宋" w:hAnsi="仿宋" w:eastAsia="仿宋"/>
                <w:szCs w:val="21"/>
                <w:lang w:val="fr-FR"/>
              </w:rPr>
            </w:pPr>
            <w:r>
              <w:rPr>
                <w:rFonts w:hint="eastAsia" w:ascii="仿宋" w:hAnsi="仿宋" w:eastAsia="仿宋"/>
                <w:szCs w:val="21"/>
                <w:lang w:val="fr-FR"/>
              </w:rPr>
              <w:t>配件名称</w:t>
            </w:r>
          </w:p>
        </w:tc>
        <w:tc>
          <w:tcPr>
            <w:tcW w:w="994" w:type="dxa"/>
            <w:vAlign w:val="center"/>
          </w:tcPr>
          <w:p w14:paraId="6521B219">
            <w:pPr>
              <w:spacing w:line="360" w:lineRule="auto"/>
              <w:jc w:val="center"/>
              <w:rPr>
                <w:rFonts w:ascii="仿宋" w:hAnsi="仿宋" w:eastAsia="仿宋"/>
                <w:caps/>
                <w:szCs w:val="21"/>
                <w:lang w:val="fr-FR"/>
              </w:rPr>
            </w:pPr>
            <w:r>
              <w:rPr>
                <w:rFonts w:hint="eastAsia" w:ascii="仿宋" w:hAnsi="仿宋" w:eastAsia="仿宋"/>
                <w:caps/>
                <w:szCs w:val="21"/>
                <w:lang w:val="fr-FR"/>
              </w:rPr>
              <w:t>数量</w:t>
            </w:r>
          </w:p>
        </w:tc>
        <w:tc>
          <w:tcPr>
            <w:tcW w:w="844" w:type="dxa"/>
            <w:vAlign w:val="center"/>
          </w:tcPr>
          <w:p w14:paraId="701DFDAF">
            <w:pPr>
              <w:spacing w:line="360" w:lineRule="auto"/>
              <w:jc w:val="center"/>
              <w:rPr>
                <w:rFonts w:ascii="仿宋" w:hAnsi="仿宋" w:eastAsia="仿宋"/>
                <w:caps/>
                <w:szCs w:val="21"/>
                <w:lang w:val="fr-FR"/>
              </w:rPr>
            </w:pPr>
            <w:r>
              <w:rPr>
                <w:rFonts w:hint="eastAsia" w:ascii="仿宋" w:hAnsi="仿宋" w:eastAsia="仿宋"/>
                <w:caps/>
                <w:szCs w:val="21"/>
                <w:lang w:val="fr-FR"/>
              </w:rPr>
              <w:t>单位</w:t>
            </w:r>
          </w:p>
        </w:tc>
      </w:tr>
      <w:tr w14:paraId="60795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1" w:type="dxa"/>
            <w:bottom w:w="0" w:type="dxa"/>
            <w:right w:w="71" w:type="dxa"/>
          </w:tblCellMar>
        </w:tblPrEx>
        <w:trPr>
          <w:trHeight w:val="467" w:hRule="atLeast"/>
        </w:trPr>
        <w:tc>
          <w:tcPr>
            <w:tcW w:w="1075" w:type="dxa"/>
            <w:vAlign w:val="center"/>
          </w:tcPr>
          <w:p w14:paraId="1671E650">
            <w:pPr>
              <w:spacing w:line="360" w:lineRule="auto"/>
              <w:jc w:val="center"/>
              <w:rPr>
                <w:rFonts w:ascii="仿宋" w:hAnsi="仿宋" w:eastAsia="仿宋"/>
                <w:b/>
                <w:caps/>
                <w:szCs w:val="21"/>
                <w:lang w:val="fr-FR"/>
              </w:rPr>
            </w:pPr>
            <w:r>
              <w:rPr>
                <w:rFonts w:ascii="仿宋" w:hAnsi="仿宋" w:eastAsia="仿宋"/>
                <w:b/>
                <w:szCs w:val="21"/>
                <w:lang w:val="en-GB"/>
              </w:rPr>
              <w:t>1</w:t>
            </w:r>
          </w:p>
        </w:tc>
        <w:tc>
          <w:tcPr>
            <w:tcW w:w="6523" w:type="dxa"/>
            <w:vAlign w:val="center"/>
          </w:tcPr>
          <w:p w14:paraId="7C5EFC08">
            <w:pPr>
              <w:spacing w:line="360" w:lineRule="auto"/>
              <w:rPr>
                <w:rFonts w:ascii="仿宋" w:hAnsi="仿宋" w:eastAsia="仿宋"/>
                <w:b/>
                <w:szCs w:val="21"/>
                <w:lang w:val="fr-FR"/>
              </w:rPr>
            </w:pPr>
            <w:r>
              <w:rPr>
                <w:rFonts w:hint="eastAsia" w:ascii="仿宋" w:hAnsi="仿宋" w:eastAsia="仿宋"/>
                <w:b/>
                <w:szCs w:val="21"/>
                <w:lang w:val="fr-FR"/>
              </w:rPr>
              <w:t>通气测试模块</w:t>
            </w:r>
          </w:p>
        </w:tc>
        <w:tc>
          <w:tcPr>
            <w:tcW w:w="994" w:type="dxa"/>
            <w:vAlign w:val="center"/>
          </w:tcPr>
          <w:p w14:paraId="50F44A71">
            <w:pPr>
              <w:spacing w:line="360" w:lineRule="auto"/>
              <w:jc w:val="center"/>
              <w:rPr>
                <w:rFonts w:ascii="仿宋" w:hAnsi="仿宋" w:eastAsia="仿宋"/>
                <w:szCs w:val="21"/>
                <w:lang w:val="en-GB"/>
              </w:rPr>
            </w:pPr>
            <w:r>
              <w:rPr>
                <w:rFonts w:hint="eastAsia" w:ascii="仿宋" w:hAnsi="仿宋" w:eastAsia="仿宋"/>
                <w:szCs w:val="21"/>
                <w:lang w:val="en-GB"/>
              </w:rPr>
              <w:t>1</w:t>
            </w:r>
          </w:p>
        </w:tc>
        <w:tc>
          <w:tcPr>
            <w:tcW w:w="844" w:type="dxa"/>
            <w:vAlign w:val="center"/>
          </w:tcPr>
          <w:p w14:paraId="069F4A27">
            <w:pPr>
              <w:spacing w:line="360" w:lineRule="auto"/>
              <w:jc w:val="center"/>
              <w:rPr>
                <w:rFonts w:ascii="仿宋" w:hAnsi="仿宋" w:eastAsia="仿宋"/>
                <w:szCs w:val="21"/>
                <w:lang w:val="en-GB"/>
              </w:rPr>
            </w:pPr>
            <w:r>
              <w:rPr>
                <w:rFonts w:hint="eastAsia" w:ascii="仿宋" w:hAnsi="仿宋" w:eastAsia="仿宋"/>
                <w:szCs w:val="21"/>
                <w:lang w:val="en-GB"/>
              </w:rPr>
              <w:t>个</w:t>
            </w:r>
          </w:p>
        </w:tc>
      </w:tr>
      <w:tr w14:paraId="05628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1" w:type="dxa"/>
            <w:bottom w:w="0" w:type="dxa"/>
            <w:right w:w="71" w:type="dxa"/>
          </w:tblCellMar>
        </w:tblPrEx>
        <w:trPr>
          <w:trHeight w:val="467" w:hRule="atLeast"/>
        </w:trPr>
        <w:tc>
          <w:tcPr>
            <w:tcW w:w="1075" w:type="dxa"/>
            <w:vAlign w:val="center"/>
          </w:tcPr>
          <w:p w14:paraId="41E4A284">
            <w:pPr>
              <w:spacing w:line="360" w:lineRule="auto"/>
              <w:jc w:val="center"/>
              <w:rPr>
                <w:rFonts w:ascii="仿宋" w:hAnsi="仿宋" w:eastAsia="仿宋"/>
                <w:bCs/>
                <w:szCs w:val="21"/>
                <w:lang w:val="fr-FR"/>
              </w:rPr>
            </w:pPr>
            <w:r>
              <w:rPr>
                <w:rFonts w:ascii="仿宋" w:hAnsi="仿宋" w:eastAsia="仿宋"/>
                <w:b/>
                <w:szCs w:val="21"/>
                <w:lang w:val="en-GB"/>
              </w:rPr>
              <w:t>2</w:t>
            </w:r>
          </w:p>
        </w:tc>
        <w:tc>
          <w:tcPr>
            <w:tcW w:w="6523" w:type="dxa"/>
            <w:vAlign w:val="center"/>
          </w:tcPr>
          <w:p w14:paraId="54EB330F">
            <w:pPr>
              <w:spacing w:line="360" w:lineRule="auto"/>
              <w:rPr>
                <w:rFonts w:ascii="仿宋" w:hAnsi="仿宋" w:eastAsia="仿宋"/>
                <w:b/>
                <w:szCs w:val="21"/>
                <w:lang w:val="en-GB"/>
              </w:rPr>
            </w:pPr>
            <w:r>
              <w:rPr>
                <w:rFonts w:hint="eastAsia" w:ascii="仿宋" w:hAnsi="仿宋" w:eastAsia="仿宋"/>
                <w:b/>
                <w:szCs w:val="21"/>
                <w:lang w:val="en-GB"/>
              </w:rPr>
              <w:t>弥散测试模块</w:t>
            </w:r>
          </w:p>
        </w:tc>
        <w:tc>
          <w:tcPr>
            <w:tcW w:w="994" w:type="dxa"/>
            <w:vAlign w:val="center"/>
          </w:tcPr>
          <w:p w14:paraId="6A7F5C83">
            <w:pPr>
              <w:spacing w:line="360" w:lineRule="auto"/>
              <w:jc w:val="center"/>
              <w:rPr>
                <w:rFonts w:ascii="仿宋" w:hAnsi="仿宋" w:eastAsia="仿宋"/>
                <w:szCs w:val="21"/>
                <w:lang w:val="en-GB"/>
              </w:rPr>
            </w:pPr>
            <w:r>
              <w:rPr>
                <w:rFonts w:hint="eastAsia" w:ascii="仿宋" w:hAnsi="仿宋" w:eastAsia="仿宋"/>
                <w:szCs w:val="21"/>
                <w:lang w:val="en-GB"/>
              </w:rPr>
              <w:t>1</w:t>
            </w:r>
          </w:p>
        </w:tc>
        <w:tc>
          <w:tcPr>
            <w:tcW w:w="844" w:type="dxa"/>
            <w:vAlign w:val="center"/>
          </w:tcPr>
          <w:p w14:paraId="3ED6BCBB">
            <w:pPr>
              <w:spacing w:line="360" w:lineRule="auto"/>
              <w:jc w:val="center"/>
              <w:rPr>
                <w:rFonts w:ascii="仿宋" w:hAnsi="仿宋" w:eastAsia="仿宋"/>
                <w:szCs w:val="21"/>
                <w:lang w:val="en-GB"/>
              </w:rPr>
            </w:pPr>
            <w:r>
              <w:rPr>
                <w:rFonts w:hint="eastAsia" w:ascii="仿宋" w:hAnsi="仿宋" w:eastAsia="仿宋"/>
                <w:szCs w:val="21"/>
                <w:lang w:val="en-GB"/>
              </w:rPr>
              <w:t>个</w:t>
            </w:r>
          </w:p>
        </w:tc>
      </w:tr>
      <w:tr w14:paraId="57B7B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1" w:type="dxa"/>
            <w:bottom w:w="0" w:type="dxa"/>
            <w:right w:w="71" w:type="dxa"/>
          </w:tblCellMar>
        </w:tblPrEx>
        <w:trPr>
          <w:trHeight w:val="467" w:hRule="atLeast"/>
        </w:trPr>
        <w:tc>
          <w:tcPr>
            <w:tcW w:w="1075" w:type="dxa"/>
            <w:vAlign w:val="center"/>
          </w:tcPr>
          <w:p w14:paraId="16D6033F">
            <w:pPr>
              <w:spacing w:line="360" w:lineRule="auto"/>
              <w:jc w:val="center"/>
              <w:rPr>
                <w:rFonts w:ascii="仿宋" w:hAnsi="仿宋" w:eastAsia="仿宋"/>
                <w:szCs w:val="21"/>
                <w:lang w:val="en-GB"/>
              </w:rPr>
            </w:pPr>
            <w:r>
              <w:rPr>
                <w:rFonts w:ascii="仿宋" w:hAnsi="仿宋" w:eastAsia="仿宋"/>
                <w:b/>
                <w:szCs w:val="21"/>
                <w:lang w:val="en-GB"/>
              </w:rPr>
              <w:t>3</w:t>
            </w:r>
          </w:p>
        </w:tc>
        <w:tc>
          <w:tcPr>
            <w:tcW w:w="6523" w:type="dxa"/>
            <w:vAlign w:val="center"/>
          </w:tcPr>
          <w:p w14:paraId="3A6B5B10">
            <w:pPr>
              <w:spacing w:line="360" w:lineRule="auto"/>
              <w:rPr>
                <w:rFonts w:ascii="仿宋" w:hAnsi="仿宋" w:eastAsia="仿宋"/>
                <w:b/>
                <w:szCs w:val="21"/>
                <w:lang w:val="en-GB"/>
              </w:rPr>
            </w:pPr>
            <w:r>
              <w:rPr>
                <w:rFonts w:ascii="仿宋" w:hAnsi="仿宋" w:eastAsia="仿宋"/>
                <w:b/>
                <w:szCs w:val="21"/>
                <w:lang w:val="en-GB"/>
              </w:rPr>
              <w:t>I</w:t>
            </w:r>
            <w:r>
              <w:rPr>
                <w:rFonts w:hint="eastAsia" w:ascii="仿宋" w:hAnsi="仿宋" w:eastAsia="仿宋"/>
                <w:b/>
                <w:szCs w:val="21"/>
              </w:rPr>
              <w:t>OS</w:t>
            </w:r>
            <w:r>
              <w:rPr>
                <w:rFonts w:hint="eastAsia" w:ascii="仿宋" w:hAnsi="仿宋" w:eastAsia="仿宋"/>
                <w:b/>
                <w:szCs w:val="21"/>
                <w:lang w:val="en-GB"/>
              </w:rPr>
              <w:t>脉冲震荡模块</w:t>
            </w:r>
          </w:p>
        </w:tc>
        <w:tc>
          <w:tcPr>
            <w:tcW w:w="994" w:type="dxa"/>
            <w:vAlign w:val="center"/>
          </w:tcPr>
          <w:p w14:paraId="1FA14772">
            <w:pPr>
              <w:spacing w:line="360" w:lineRule="auto"/>
              <w:jc w:val="center"/>
              <w:rPr>
                <w:rFonts w:ascii="仿宋" w:hAnsi="仿宋" w:eastAsia="仿宋"/>
                <w:szCs w:val="21"/>
                <w:lang w:val="en-GB"/>
              </w:rPr>
            </w:pPr>
            <w:r>
              <w:rPr>
                <w:rFonts w:hint="eastAsia" w:ascii="仿宋" w:hAnsi="仿宋" w:eastAsia="仿宋"/>
                <w:szCs w:val="21"/>
                <w:lang w:val="en-GB"/>
              </w:rPr>
              <w:t>1</w:t>
            </w:r>
          </w:p>
        </w:tc>
        <w:tc>
          <w:tcPr>
            <w:tcW w:w="844" w:type="dxa"/>
            <w:vAlign w:val="center"/>
          </w:tcPr>
          <w:p w14:paraId="2CEB2678">
            <w:pPr>
              <w:spacing w:line="360" w:lineRule="auto"/>
              <w:jc w:val="center"/>
              <w:rPr>
                <w:rFonts w:ascii="仿宋" w:hAnsi="仿宋" w:eastAsia="仿宋"/>
                <w:szCs w:val="21"/>
                <w:lang w:val="en-GB"/>
              </w:rPr>
            </w:pPr>
            <w:r>
              <w:rPr>
                <w:rFonts w:hint="eastAsia" w:ascii="仿宋" w:hAnsi="仿宋" w:eastAsia="仿宋"/>
                <w:szCs w:val="21"/>
                <w:lang w:val="en-GB"/>
              </w:rPr>
              <w:t>个</w:t>
            </w:r>
          </w:p>
        </w:tc>
      </w:tr>
      <w:tr w14:paraId="6F306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1" w:type="dxa"/>
            <w:bottom w:w="0" w:type="dxa"/>
            <w:right w:w="71" w:type="dxa"/>
          </w:tblCellMar>
        </w:tblPrEx>
        <w:trPr>
          <w:trHeight w:val="467" w:hRule="atLeast"/>
        </w:trPr>
        <w:tc>
          <w:tcPr>
            <w:tcW w:w="1075" w:type="dxa"/>
            <w:vAlign w:val="center"/>
          </w:tcPr>
          <w:p w14:paraId="76BF570E">
            <w:pPr>
              <w:spacing w:line="360" w:lineRule="auto"/>
              <w:jc w:val="center"/>
              <w:rPr>
                <w:rFonts w:ascii="仿宋" w:hAnsi="仿宋" w:eastAsia="仿宋"/>
                <w:szCs w:val="21"/>
                <w:lang w:val="en-GB"/>
              </w:rPr>
            </w:pPr>
            <w:r>
              <w:rPr>
                <w:rFonts w:ascii="仿宋" w:hAnsi="仿宋" w:eastAsia="仿宋"/>
                <w:b/>
                <w:szCs w:val="21"/>
                <w:lang w:val="en-GB"/>
              </w:rPr>
              <w:t>4</w:t>
            </w:r>
          </w:p>
        </w:tc>
        <w:tc>
          <w:tcPr>
            <w:tcW w:w="6523" w:type="dxa"/>
            <w:vAlign w:val="center"/>
          </w:tcPr>
          <w:p w14:paraId="3914C5AF">
            <w:pPr>
              <w:spacing w:line="360" w:lineRule="auto"/>
              <w:rPr>
                <w:rFonts w:ascii="仿宋" w:hAnsi="仿宋" w:eastAsia="仿宋"/>
                <w:b/>
                <w:szCs w:val="21"/>
                <w:lang w:val="en-GB"/>
              </w:rPr>
            </w:pPr>
            <w:r>
              <w:rPr>
                <w:rFonts w:hint="eastAsia" w:ascii="仿宋" w:hAnsi="仿宋" w:eastAsia="仿宋"/>
                <w:b/>
                <w:szCs w:val="21"/>
                <w:lang w:val="en-GB"/>
              </w:rPr>
              <w:t>APS支气管激发给药模块</w:t>
            </w:r>
          </w:p>
        </w:tc>
        <w:tc>
          <w:tcPr>
            <w:tcW w:w="994" w:type="dxa"/>
            <w:vAlign w:val="center"/>
          </w:tcPr>
          <w:p w14:paraId="5B74F601">
            <w:pPr>
              <w:spacing w:line="360" w:lineRule="auto"/>
              <w:jc w:val="center"/>
              <w:rPr>
                <w:rFonts w:ascii="仿宋" w:hAnsi="仿宋" w:eastAsia="仿宋"/>
                <w:szCs w:val="21"/>
                <w:lang w:val="en-GB"/>
              </w:rPr>
            </w:pPr>
            <w:r>
              <w:rPr>
                <w:rFonts w:hint="eastAsia" w:ascii="仿宋" w:hAnsi="仿宋" w:eastAsia="仿宋"/>
                <w:szCs w:val="21"/>
                <w:lang w:val="en-GB"/>
              </w:rPr>
              <w:t>1</w:t>
            </w:r>
          </w:p>
        </w:tc>
        <w:tc>
          <w:tcPr>
            <w:tcW w:w="844" w:type="dxa"/>
            <w:vAlign w:val="center"/>
          </w:tcPr>
          <w:p w14:paraId="46290C37">
            <w:pPr>
              <w:spacing w:line="360" w:lineRule="auto"/>
              <w:jc w:val="center"/>
              <w:rPr>
                <w:rFonts w:ascii="仿宋" w:hAnsi="仿宋" w:eastAsia="仿宋"/>
                <w:szCs w:val="21"/>
                <w:lang w:val="en-GB"/>
              </w:rPr>
            </w:pPr>
            <w:r>
              <w:rPr>
                <w:rFonts w:hint="eastAsia" w:ascii="仿宋" w:hAnsi="仿宋" w:eastAsia="仿宋"/>
                <w:szCs w:val="21"/>
                <w:lang w:val="en-GB"/>
              </w:rPr>
              <w:t>个</w:t>
            </w:r>
          </w:p>
        </w:tc>
      </w:tr>
      <w:tr w14:paraId="79E87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1" w:type="dxa"/>
            <w:bottom w:w="0" w:type="dxa"/>
            <w:right w:w="71" w:type="dxa"/>
          </w:tblCellMar>
        </w:tblPrEx>
        <w:trPr>
          <w:trHeight w:val="467" w:hRule="atLeast"/>
        </w:trPr>
        <w:tc>
          <w:tcPr>
            <w:tcW w:w="1075" w:type="dxa"/>
            <w:vAlign w:val="center"/>
          </w:tcPr>
          <w:p w14:paraId="68B2D079">
            <w:pPr>
              <w:spacing w:line="360" w:lineRule="auto"/>
              <w:jc w:val="center"/>
              <w:rPr>
                <w:rFonts w:ascii="仿宋" w:hAnsi="仿宋" w:eastAsia="仿宋"/>
                <w:b/>
                <w:szCs w:val="21"/>
                <w:lang w:val="en-GB"/>
              </w:rPr>
            </w:pPr>
            <w:r>
              <w:rPr>
                <w:rFonts w:ascii="仿宋" w:hAnsi="仿宋" w:eastAsia="仿宋"/>
                <w:b/>
                <w:szCs w:val="21"/>
                <w:lang w:val="en-GB"/>
              </w:rPr>
              <w:t>5</w:t>
            </w:r>
          </w:p>
        </w:tc>
        <w:tc>
          <w:tcPr>
            <w:tcW w:w="6523" w:type="dxa"/>
            <w:vAlign w:val="center"/>
          </w:tcPr>
          <w:p w14:paraId="3DA4B710">
            <w:pPr>
              <w:spacing w:line="360" w:lineRule="auto"/>
              <w:rPr>
                <w:rFonts w:ascii="仿宋" w:hAnsi="仿宋" w:eastAsia="仿宋"/>
                <w:szCs w:val="21"/>
                <w:lang w:val="en-GB"/>
              </w:rPr>
            </w:pPr>
            <w:r>
              <w:rPr>
                <w:rFonts w:hint="eastAsia" w:ascii="仿宋" w:hAnsi="仿宋" w:eastAsia="仿宋"/>
                <w:b/>
                <w:szCs w:val="21"/>
                <w:lang w:val="en-GB"/>
              </w:rPr>
              <w:t>换向阀模块</w:t>
            </w:r>
          </w:p>
        </w:tc>
        <w:tc>
          <w:tcPr>
            <w:tcW w:w="994" w:type="dxa"/>
            <w:vAlign w:val="center"/>
          </w:tcPr>
          <w:p w14:paraId="3CA7C8EE">
            <w:pPr>
              <w:spacing w:line="360" w:lineRule="auto"/>
              <w:jc w:val="center"/>
              <w:rPr>
                <w:rFonts w:ascii="仿宋" w:hAnsi="仿宋" w:eastAsia="仿宋"/>
                <w:szCs w:val="21"/>
                <w:lang w:val="en-GB"/>
              </w:rPr>
            </w:pPr>
            <w:r>
              <w:rPr>
                <w:rFonts w:hint="eastAsia" w:ascii="仿宋" w:hAnsi="仿宋" w:eastAsia="仿宋"/>
                <w:szCs w:val="21"/>
                <w:lang w:val="en-GB"/>
              </w:rPr>
              <w:t>1</w:t>
            </w:r>
          </w:p>
        </w:tc>
        <w:tc>
          <w:tcPr>
            <w:tcW w:w="844" w:type="dxa"/>
            <w:vAlign w:val="center"/>
          </w:tcPr>
          <w:p w14:paraId="4DF1340C">
            <w:pPr>
              <w:spacing w:line="360" w:lineRule="auto"/>
              <w:jc w:val="center"/>
              <w:rPr>
                <w:rFonts w:ascii="仿宋" w:hAnsi="仿宋" w:eastAsia="仿宋"/>
                <w:szCs w:val="21"/>
                <w:lang w:val="en-GB"/>
              </w:rPr>
            </w:pPr>
            <w:r>
              <w:rPr>
                <w:rFonts w:hint="eastAsia" w:ascii="仿宋" w:hAnsi="仿宋" w:eastAsia="仿宋"/>
                <w:szCs w:val="21"/>
                <w:lang w:val="en-GB"/>
              </w:rPr>
              <w:t>个</w:t>
            </w:r>
          </w:p>
        </w:tc>
      </w:tr>
      <w:tr w14:paraId="79B89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1" w:type="dxa"/>
            <w:bottom w:w="0" w:type="dxa"/>
            <w:right w:w="71" w:type="dxa"/>
          </w:tblCellMar>
        </w:tblPrEx>
        <w:trPr>
          <w:trHeight w:val="467" w:hRule="atLeast"/>
        </w:trPr>
        <w:tc>
          <w:tcPr>
            <w:tcW w:w="1075" w:type="dxa"/>
            <w:vAlign w:val="center"/>
          </w:tcPr>
          <w:p w14:paraId="42E3C819">
            <w:pPr>
              <w:spacing w:line="360" w:lineRule="auto"/>
              <w:jc w:val="center"/>
              <w:rPr>
                <w:rFonts w:ascii="仿宋" w:hAnsi="仿宋" w:eastAsia="仿宋"/>
                <w:b/>
                <w:szCs w:val="21"/>
                <w:lang w:val="en-GB"/>
              </w:rPr>
            </w:pPr>
            <w:r>
              <w:rPr>
                <w:rFonts w:ascii="仿宋" w:hAnsi="仿宋" w:eastAsia="仿宋"/>
                <w:b/>
                <w:szCs w:val="21"/>
                <w:lang w:val="en-GB"/>
              </w:rPr>
              <w:t>6</w:t>
            </w:r>
          </w:p>
        </w:tc>
        <w:tc>
          <w:tcPr>
            <w:tcW w:w="6523" w:type="dxa"/>
            <w:vAlign w:val="center"/>
          </w:tcPr>
          <w:p w14:paraId="5AD0914B">
            <w:pPr>
              <w:spacing w:line="360" w:lineRule="auto"/>
              <w:rPr>
                <w:rFonts w:ascii="仿宋" w:hAnsi="仿宋" w:eastAsia="仿宋"/>
                <w:szCs w:val="21"/>
                <w:lang w:val="en-GB"/>
              </w:rPr>
            </w:pPr>
            <w:r>
              <w:rPr>
                <w:rFonts w:hint="eastAsia" w:ascii="仿宋" w:hAnsi="仿宋" w:eastAsia="仿宋"/>
                <w:b/>
                <w:szCs w:val="21"/>
                <w:lang w:val="en-GB"/>
              </w:rPr>
              <w:t>按需阀模块</w:t>
            </w:r>
          </w:p>
        </w:tc>
        <w:tc>
          <w:tcPr>
            <w:tcW w:w="994" w:type="dxa"/>
            <w:vAlign w:val="center"/>
          </w:tcPr>
          <w:p w14:paraId="6B00D283">
            <w:pPr>
              <w:spacing w:line="360" w:lineRule="auto"/>
              <w:jc w:val="center"/>
              <w:rPr>
                <w:rFonts w:ascii="仿宋" w:hAnsi="仿宋" w:eastAsia="仿宋"/>
                <w:szCs w:val="21"/>
                <w:lang w:val="en-GB"/>
              </w:rPr>
            </w:pPr>
            <w:r>
              <w:rPr>
                <w:rFonts w:hint="eastAsia" w:ascii="仿宋" w:hAnsi="仿宋" w:eastAsia="仿宋"/>
                <w:szCs w:val="21"/>
                <w:lang w:val="en-GB"/>
              </w:rPr>
              <w:t>1</w:t>
            </w:r>
          </w:p>
        </w:tc>
        <w:tc>
          <w:tcPr>
            <w:tcW w:w="844" w:type="dxa"/>
            <w:vAlign w:val="center"/>
          </w:tcPr>
          <w:p w14:paraId="0EB9D40A">
            <w:pPr>
              <w:spacing w:line="360" w:lineRule="auto"/>
              <w:jc w:val="center"/>
              <w:rPr>
                <w:rFonts w:ascii="仿宋" w:hAnsi="仿宋" w:eastAsia="仿宋"/>
                <w:szCs w:val="21"/>
                <w:lang w:val="en-GB"/>
              </w:rPr>
            </w:pPr>
            <w:r>
              <w:rPr>
                <w:rFonts w:hint="eastAsia" w:ascii="仿宋" w:hAnsi="仿宋" w:eastAsia="仿宋"/>
                <w:szCs w:val="21"/>
                <w:lang w:val="en-GB"/>
              </w:rPr>
              <w:t>个</w:t>
            </w:r>
          </w:p>
        </w:tc>
      </w:tr>
      <w:tr w14:paraId="0A3CC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1" w:type="dxa"/>
            <w:bottom w:w="0" w:type="dxa"/>
            <w:right w:w="71" w:type="dxa"/>
          </w:tblCellMar>
        </w:tblPrEx>
        <w:trPr>
          <w:trHeight w:val="467" w:hRule="atLeast"/>
        </w:trPr>
        <w:tc>
          <w:tcPr>
            <w:tcW w:w="1075" w:type="dxa"/>
            <w:vAlign w:val="center"/>
          </w:tcPr>
          <w:p w14:paraId="04611402">
            <w:pPr>
              <w:spacing w:line="360" w:lineRule="auto"/>
              <w:jc w:val="center"/>
              <w:rPr>
                <w:rFonts w:ascii="仿宋" w:hAnsi="仿宋" w:eastAsia="仿宋"/>
                <w:b/>
                <w:szCs w:val="21"/>
                <w:lang w:val="en-GB"/>
              </w:rPr>
            </w:pPr>
            <w:r>
              <w:rPr>
                <w:rFonts w:ascii="仿宋" w:hAnsi="仿宋" w:eastAsia="仿宋"/>
                <w:b/>
                <w:szCs w:val="21"/>
                <w:lang w:val="en-GB"/>
              </w:rPr>
              <w:t>7</w:t>
            </w:r>
          </w:p>
        </w:tc>
        <w:tc>
          <w:tcPr>
            <w:tcW w:w="6523" w:type="dxa"/>
            <w:vAlign w:val="center"/>
          </w:tcPr>
          <w:p w14:paraId="4ACCED4F">
            <w:pPr>
              <w:spacing w:line="360" w:lineRule="auto"/>
              <w:rPr>
                <w:rFonts w:ascii="仿宋" w:hAnsi="仿宋" w:eastAsia="仿宋"/>
                <w:b/>
                <w:szCs w:val="21"/>
                <w:lang w:val="en-GB"/>
              </w:rPr>
            </w:pPr>
            <w:r>
              <w:rPr>
                <w:rFonts w:hint="eastAsia" w:ascii="仿宋" w:hAnsi="仿宋" w:eastAsia="仿宋"/>
                <w:b/>
                <w:szCs w:val="21"/>
                <w:lang w:val="en-GB"/>
              </w:rPr>
              <w:t>呼吸肌力模块</w:t>
            </w:r>
          </w:p>
        </w:tc>
        <w:tc>
          <w:tcPr>
            <w:tcW w:w="994" w:type="dxa"/>
            <w:vAlign w:val="center"/>
          </w:tcPr>
          <w:p w14:paraId="1B9ABA21">
            <w:pPr>
              <w:spacing w:line="360" w:lineRule="auto"/>
              <w:jc w:val="center"/>
              <w:rPr>
                <w:rFonts w:ascii="仿宋" w:hAnsi="仿宋" w:eastAsia="仿宋"/>
                <w:szCs w:val="21"/>
                <w:lang w:val="en-GB"/>
              </w:rPr>
            </w:pPr>
            <w:r>
              <w:rPr>
                <w:rFonts w:hint="eastAsia" w:ascii="仿宋" w:hAnsi="仿宋" w:eastAsia="仿宋"/>
                <w:szCs w:val="21"/>
                <w:lang w:val="en-GB"/>
              </w:rPr>
              <w:t>1</w:t>
            </w:r>
          </w:p>
        </w:tc>
        <w:tc>
          <w:tcPr>
            <w:tcW w:w="844" w:type="dxa"/>
            <w:vAlign w:val="center"/>
          </w:tcPr>
          <w:p w14:paraId="50960EC0">
            <w:pPr>
              <w:spacing w:line="360" w:lineRule="auto"/>
              <w:jc w:val="center"/>
              <w:rPr>
                <w:rFonts w:ascii="仿宋" w:hAnsi="仿宋" w:eastAsia="仿宋"/>
                <w:szCs w:val="21"/>
                <w:lang w:val="en-GB"/>
              </w:rPr>
            </w:pPr>
            <w:r>
              <w:rPr>
                <w:rFonts w:hint="eastAsia" w:ascii="仿宋" w:hAnsi="仿宋" w:eastAsia="仿宋"/>
                <w:szCs w:val="21"/>
                <w:lang w:val="en-GB"/>
              </w:rPr>
              <w:t>个</w:t>
            </w:r>
          </w:p>
        </w:tc>
      </w:tr>
      <w:tr w14:paraId="5BADD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1" w:type="dxa"/>
            <w:bottom w:w="0" w:type="dxa"/>
            <w:right w:w="71" w:type="dxa"/>
          </w:tblCellMar>
        </w:tblPrEx>
        <w:trPr>
          <w:trHeight w:val="467" w:hRule="atLeast"/>
        </w:trPr>
        <w:tc>
          <w:tcPr>
            <w:tcW w:w="1075" w:type="dxa"/>
            <w:vAlign w:val="center"/>
          </w:tcPr>
          <w:p w14:paraId="21A876DC">
            <w:pPr>
              <w:spacing w:line="360" w:lineRule="auto"/>
              <w:jc w:val="center"/>
              <w:rPr>
                <w:rFonts w:ascii="仿宋" w:hAnsi="仿宋" w:eastAsia="仿宋"/>
                <w:b/>
                <w:szCs w:val="21"/>
                <w:lang w:val="en-GB"/>
              </w:rPr>
            </w:pPr>
            <w:r>
              <w:rPr>
                <w:rFonts w:ascii="仿宋" w:hAnsi="仿宋" w:eastAsia="仿宋"/>
                <w:b/>
                <w:szCs w:val="21"/>
                <w:lang w:val="en-GB"/>
              </w:rPr>
              <w:t>8</w:t>
            </w:r>
          </w:p>
        </w:tc>
        <w:tc>
          <w:tcPr>
            <w:tcW w:w="6523" w:type="dxa"/>
            <w:vAlign w:val="center"/>
          </w:tcPr>
          <w:p w14:paraId="2E602ED4">
            <w:pPr>
              <w:spacing w:line="360" w:lineRule="auto"/>
              <w:rPr>
                <w:rFonts w:ascii="仿宋" w:hAnsi="仿宋" w:eastAsia="仿宋"/>
                <w:b/>
                <w:szCs w:val="21"/>
                <w:lang w:val="en-GB"/>
              </w:rPr>
            </w:pPr>
            <w:r>
              <w:rPr>
                <w:rFonts w:hint="eastAsia" w:ascii="仿宋" w:hAnsi="仿宋" w:eastAsia="仿宋"/>
                <w:b/>
                <w:szCs w:val="21"/>
                <w:lang w:val="en-GB"/>
              </w:rPr>
              <w:t>电源箱模块</w:t>
            </w:r>
          </w:p>
        </w:tc>
        <w:tc>
          <w:tcPr>
            <w:tcW w:w="994" w:type="dxa"/>
            <w:vAlign w:val="center"/>
          </w:tcPr>
          <w:p w14:paraId="0D80FF4E">
            <w:pPr>
              <w:spacing w:line="360" w:lineRule="auto"/>
              <w:jc w:val="center"/>
              <w:rPr>
                <w:rFonts w:ascii="仿宋" w:hAnsi="仿宋" w:eastAsia="仿宋"/>
                <w:szCs w:val="21"/>
                <w:lang w:val="en-GB"/>
              </w:rPr>
            </w:pPr>
            <w:r>
              <w:rPr>
                <w:rFonts w:ascii="仿宋" w:hAnsi="仿宋" w:eastAsia="仿宋"/>
                <w:szCs w:val="21"/>
                <w:lang w:val="en-GB"/>
              </w:rPr>
              <w:t>1</w:t>
            </w:r>
          </w:p>
        </w:tc>
        <w:tc>
          <w:tcPr>
            <w:tcW w:w="844" w:type="dxa"/>
            <w:vAlign w:val="center"/>
          </w:tcPr>
          <w:p w14:paraId="59B627DD">
            <w:pPr>
              <w:spacing w:line="360" w:lineRule="auto"/>
              <w:jc w:val="center"/>
              <w:rPr>
                <w:rFonts w:ascii="仿宋" w:hAnsi="仿宋" w:eastAsia="仿宋"/>
                <w:szCs w:val="21"/>
                <w:lang w:val="en-GB"/>
              </w:rPr>
            </w:pPr>
            <w:r>
              <w:rPr>
                <w:rFonts w:hint="eastAsia" w:ascii="仿宋" w:hAnsi="仿宋" w:eastAsia="仿宋"/>
                <w:szCs w:val="21"/>
                <w:lang w:val="en-GB"/>
              </w:rPr>
              <w:t>个</w:t>
            </w:r>
          </w:p>
        </w:tc>
      </w:tr>
      <w:tr w14:paraId="2A0AD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1" w:type="dxa"/>
            <w:bottom w:w="0" w:type="dxa"/>
            <w:right w:w="71" w:type="dxa"/>
          </w:tblCellMar>
        </w:tblPrEx>
        <w:trPr>
          <w:trHeight w:val="467" w:hRule="atLeast"/>
        </w:trPr>
        <w:tc>
          <w:tcPr>
            <w:tcW w:w="1075" w:type="dxa"/>
            <w:vAlign w:val="center"/>
          </w:tcPr>
          <w:p w14:paraId="2F105710">
            <w:pPr>
              <w:spacing w:line="360" w:lineRule="auto"/>
              <w:jc w:val="center"/>
              <w:rPr>
                <w:rFonts w:ascii="仿宋" w:hAnsi="仿宋" w:eastAsia="仿宋"/>
                <w:b/>
                <w:szCs w:val="21"/>
                <w:lang w:val="en-GB"/>
              </w:rPr>
            </w:pPr>
            <w:r>
              <w:rPr>
                <w:rFonts w:ascii="仿宋" w:hAnsi="仿宋" w:eastAsia="仿宋"/>
                <w:b/>
                <w:szCs w:val="21"/>
                <w:lang w:val="en-GB"/>
              </w:rPr>
              <w:t>9</w:t>
            </w:r>
          </w:p>
        </w:tc>
        <w:tc>
          <w:tcPr>
            <w:tcW w:w="6523" w:type="dxa"/>
            <w:vAlign w:val="center"/>
          </w:tcPr>
          <w:p w14:paraId="2426AB5C">
            <w:pPr>
              <w:spacing w:line="360" w:lineRule="auto"/>
              <w:rPr>
                <w:rFonts w:ascii="仿宋" w:hAnsi="仿宋" w:eastAsia="仿宋"/>
                <w:b/>
                <w:szCs w:val="21"/>
                <w:lang w:val="en-GB"/>
              </w:rPr>
            </w:pPr>
            <w:r>
              <w:rPr>
                <w:rFonts w:hint="eastAsia" w:ascii="仿宋" w:hAnsi="仿宋" w:eastAsia="仿宋"/>
                <w:b/>
                <w:szCs w:val="21"/>
                <w:lang w:val="en-GB"/>
              </w:rPr>
              <w:t>流量传感器组件</w:t>
            </w:r>
          </w:p>
        </w:tc>
        <w:tc>
          <w:tcPr>
            <w:tcW w:w="994" w:type="dxa"/>
            <w:vAlign w:val="center"/>
          </w:tcPr>
          <w:p w14:paraId="5972FE72">
            <w:pPr>
              <w:spacing w:line="360" w:lineRule="auto"/>
              <w:jc w:val="center"/>
              <w:rPr>
                <w:rFonts w:ascii="仿宋" w:hAnsi="仿宋" w:eastAsia="仿宋"/>
                <w:szCs w:val="21"/>
                <w:lang w:val="en-GB"/>
              </w:rPr>
            </w:pPr>
            <w:r>
              <w:rPr>
                <w:rFonts w:hint="eastAsia" w:ascii="仿宋" w:hAnsi="仿宋" w:eastAsia="仿宋"/>
                <w:szCs w:val="21"/>
                <w:lang w:val="en-GB"/>
              </w:rPr>
              <w:t>2</w:t>
            </w:r>
          </w:p>
        </w:tc>
        <w:tc>
          <w:tcPr>
            <w:tcW w:w="844" w:type="dxa"/>
            <w:vAlign w:val="center"/>
          </w:tcPr>
          <w:p w14:paraId="2E250D15">
            <w:pPr>
              <w:spacing w:line="360" w:lineRule="auto"/>
              <w:jc w:val="center"/>
              <w:rPr>
                <w:rFonts w:ascii="仿宋" w:hAnsi="仿宋" w:eastAsia="仿宋"/>
                <w:szCs w:val="21"/>
                <w:lang w:val="en-GB"/>
              </w:rPr>
            </w:pPr>
            <w:r>
              <w:rPr>
                <w:rFonts w:hint="eastAsia" w:ascii="仿宋" w:hAnsi="仿宋" w:eastAsia="仿宋"/>
                <w:szCs w:val="21"/>
                <w:lang w:val="en-GB"/>
              </w:rPr>
              <w:t>个</w:t>
            </w:r>
          </w:p>
        </w:tc>
      </w:tr>
      <w:tr w14:paraId="456D8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1" w:type="dxa"/>
            <w:bottom w:w="0" w:type="dxa"/>
            <w:right w:w="71" w:type="dxa"/>
          </w:tblCellMar>
        </w:tblPrEx>
        <w:trPr>
          <w:trHeight w:val="467" w:hRule="atLeast"/>
        </w:trPr>
        <w:tc>
          <w:tcPr>
            <w:tcW w:w="1075" w:type="dxa"/>
            <w:vAlign w:val="center"/>
          </w:tcPr>
          <w:p w14:paraId="5DD8400D">
            <w:pPr>
              <w:spacing w:line="360" w:lineRule="auto"/>
              <w:jc w:val="center"/>
              <w:rPr>
                <w:rFonts w:ascii="仿宋" w:hAnsi="仿宋" w:eastAsia="仿宋"/>
                <w:b/>
                <w:szCs w:val="21"/>
                <w:lang w:val="en-GB"/>
              </w:rPr>
            </w:pPr>
            <w:r>
              <w:rPr>
                <w:rFonts w:ascii="仿宋" w:hAnsi="仿宋" w:eastAsia="仿宋"/>
                <w:b/>
                <w:szCs w:val="21"/>
                <w:lang w:val="en-GB"/>
              </w:rPr>
              <w:t>10</w:t>
            </w:r>
          </w:p>
        </w:tc>
        <w:tc>
          <w:tcPr>
            <w:tcW w:w="6523" w:type="dxa"/>
            <w:vAlign w:val="center"/>
          </w:tcPr>
          <w:p w14:paraId="2C08887D">
            <w:pPr>
              <w:spacing w:line="360" w:lineRule="auto"/>
              <w:rPr>
                <w:rFonts w:ascii="仿宋" w:hAnsi="仿宋" w:eastAsia="仿宋"/>
                <w:b/>
                <w:szCs w:val="21"/>
                <w:lang w:val="en-GB"/>
              </w:rPr>
            </w:pPr>
            <w:r>
              <w:rPr>
                <w:rFonts w:hint="eastAsia" w:ascii="仿宋" w:hAnsi="仿宋" w:eastAsia="仿宋"/>
                <w:b/>
                <w:szCs w:val="21"/>
                <w:lang w:val="en-GB"/>
              </w:rPr>
              <w:t>环境传感器</w:t>
            </w:r>
          </w:p>
        </w:tc>
        <w:tc>
          <w:tcPr>
            <w:tcW w:w="994" w:type="dxa"/>
            <w:vAlign w:val="center"/>
          </w:tcPr>
          <w:p w14:paraId="0DCBECCB">
            <w:pPr>
              <w:spacing w:line="360" w:lineRule="auto"/>
              <w:jc w:val="center"/>
              <w:rPr>
                <w:rFonts w:ascii="仿宋" w:hAnsi="仿宋" w:eastAsia="仿宋"/>
                <w:szCs w:val="21"/>
                <w:lang w:val="en-GB"/>
              </w:rPr>
            </w:pPr>
            <w:r>
              <w:rPr>
                <w:rFonts w:hint="eastAsia" w:ascii="仿宋" w:hAnsi="仿宋" w:eastAsia="仿宋"/>
                <w:szCs w:val="21"/>
                <w:lang w:val="en-GB"/>
              </w:rPr>
              <w:t>1</w:t>
            </w:r>
          </w:p>
        </w:tc>
        <w:tc>
          <w:tcPr>
            <w:tcW w:w="844" w:type="dxa"/>
            <w:vAlign w:val="center"/>
          </w:tcPr>
          <w:p w14:paraId="4B2FE73B">
            <w:pPr>
              <w:spacing w:line="360" w:lineRule="auto"/>
              <w:jc w:val="center"/>
              <w:rPr>
                <w:rFonts w:ascii="仿宋" w:hAnsi="仿宋" w:eastAsia="仿宋"/>
                <w:szCs w:val="21"/>
                <w:lang w:val="en-GB"/>
              </w:rPr>
            </w:pPr>
            <w:r>
              <w:rPr>
                <w:rFonts w:hint="eastAsia" w:ascii="仿宋" w:hAnsi="仿宋" w:eastAsia="仿宋"/>
                <w:szCs w:val="21"/>
                <w:lang w:val="en-GB"/>
              </w:rPr>
              <w:t>个</w:t>
            </w:r>
          </w:p>
        </w:tc>
      </w:tr>
      <w:tr w14:paraId="5EDBD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1" w:type="dxa"/>
            <w:bottom w:w="0" w:type="dxa"/>
            <w:right w:w="71" w:type="dxa"/>
          </w:tblCellMar>
        </w:tblPrEx>
        <w:trPr>
          <w:trHeight w:val="467" w:hRule="atLeast"/>
        </w:trPr>
        <w:tc>
          <w:tcPr>
            <w:tcW w:w="1075" w:type="dxa"/>
            <w:vAlign w:val="center"/>
          </w:tcPr>
          <w:p w14:paraId="0A02677C">
            <w:pPr>
              <w:spacing w:line="360" w:lineRule="auto"/>
              <w:jc w:val="center"/>
              <w:rPr>
                <w:rFonts w:ascii="仿宋" w:hAnsi="仿宋" w:eastAsia="仿宋"/>
                <w:b/>
                <w:szCs w:val="21"/>
                <w:lang w:val="en-GB"/>
              </w:rPr>
            </w:pPr>
            <w:r>
              <w:rPr>
                <w:rFonts w:hint="eastAsia" w:ascii="仿宋" w:hAnsi="仿宋" w:eastAsia="仿宋"/>
                <w:b/>
                <w:szCs w:val="21"/>
                <w:lang w:val="en-GB"/>
              </w:rPr>
              <w:t>1</w:t>
            </w:r>
            <w:r>
              <w:rPr>
                <w:rFonts w:ascii="仿宋" w:hAnsi="仿宋" w:eastAsia="仿宋"/>
                <w:b/>
                <w:szCs w:val="21"/>
                <w:lang w:val="en-GB"/>
              </w:rPr>
              <w:t>1</w:t>
            </w:r>
          </w:p>
        </w:tc>
        <w:tc>
          <w:tcPr>
            <w:tcW w:w="6523" w:type="dxa"/>
            <w:vAlign w:val="center"/>
          </w:tcPr>
          <w:p w14:paraId="5F81E719">
            <w:pPr>
              <w:spacing w:line="360" w:lineRule="auto"/>
              <w:rPr>
                <w:rFonts w:ascii="仿宋" w:hAnsi="仿宋" w:eastAsia="仿宋"/>
                <w:b/>
                <w:szCs w:val="21"/>
                <w:lang w:val="en-GB"/>
              </w:rPr>
            </w:pPr>
            <w:r>
              <w:rPr>
                <w:rFonts w:hint="eastAsia" w:ascii="仿宋" w:hAnsi="仿宋" w:eastAsia="仿宋"/>
                <w:b/>
                <w:szCs w:val="21"/>
                <w:lang w:val="en-GB"/>
              </w:rPr>
              <w:t>肺功能测试系统软件</w:t>
            </w:r>
          </w:p>
        </w:tc>
        <w:tc>
          <w:tcPr>
            <w:tcW w:w="994" w:type="dxa"/>
            <w:vAlign w:val="center"/>
          </w:tcPr>
          <w:p w14:paraId="06F2235C">
            <w:pPr>
              <w:spacing w:line="360" w:lineRule="auto"/>
              <w:jc w:val="center"/>
              <w:rPr>
                <w:rFonts w:ascii="仿宋" w:hAnsi="仿宋" w:eastAsia="仿宋"/>
                <w:szCs w:val="21"/>
                <w:lang w:val="en-GB"/>
              </w:rPr>
            </w:pPr>
            <w:r>
              <w:rPr>
                <w:rFonts w:hint="eastAsia" w:ascii="仿宋" w:hAnsi="仿宋" w:eastAsia="仿宋"/>
                <w:szCs w:val="21"/>
                <w:lang w:val="en-GB"/>
              </w:rPr>
              <w:t>1</w:t>
            </w:r>
          </w:p>
        </w:tc>
        <w:tc>
          <w:tcPr>
            <w:tcW w:w="844" w:type="dxa"/>
            <w:vAlign w:val="center"/>
          </w:tcPr>
          <w:p w14:paraId="05F7CAD9">
            <w:pPr>
              <w:spacing w:line="360" w:lineRule="auto"/>
              <w:jc w:val="center"/>
              <w:rPr>
                <w:rFonts w:ascii="仿宋" w:hAnsi="仿宋" w:eastAsia="仿宋"/>
                <w:szCs w:val="21"/>
                <w:lang w:val="en-GB"/>
              </w:rPr>
            </w:pPr>
            <w:r>
              <w:rPr>
                <w:rFonts w:hint="eastAsia" w:ascii="仿宋" w:hAnsi="仿宋" w:eastAsia="仿宋"/>
                <w:szCs w:val="21"/>
                <w:lang w:val="en-GB"/>
              </w:rPr>
              <w:t>套</w:t>
            </w:r>
          </w:p>
        </w:tc>
      </w:tr>
      <w:tr w14:paraId="419EA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1" w:type="dxa"/>
            <w:bottom w:w="0" w:type="dxa"/>
            <w:right w:w="71" w:type="dxa"/>
          </w:tblCellMar>
        </w:tblPrEx>
        <w:trPr>
          <w:trHeight w:val="467" w:hRule="atLeast"/>
        </w:trPr>
        <w:tc>
          <w:tcPr>
            <w:tcW w:w="1075" w:type="dxa"/>
            <w:vAlign w:val="center"/>
          </w:tcPr>
          <w:p w14:paraId="3199A4B9">
            <w:pPr>
              <w:spacing w:line="360" w:lineRule="auto"/>
              <w:jc w:val="center"/>
              <w:rPr>
                <w:rFonts w:ascii="仿宋" w:hAnsi="仿宋" w:eastAsia="仿宋"/>
                <w:b/>
                <w:szCs w:val="21"/>
                <w:lang w:val="en-GB"/>
              </w:rPr>
            </w:pPr>
            <w:r>
              <w:rPr>
                <w:rFonts w:hint="eastAsia" w:ascii="仿宋" w:hAnsi="仿宋" w:eastAsia="仿宋"/>
                <w:b/>
                <w:szCs w:val="21"/>
                <w:lang w:val="en-GB"/>
              </w:rPr>
              <w:t>1</w:t>
            </w:r>
            <w:r>
              <w:rPr>
                <w:rFonts w:ascii="仿宋" w:hAnsi="仿宋" w:eastAsia="仿宋"/>
                <w:b/>
                <w:szCs w:val="21"/>
                <w:lang w:val="en-GB"/>
              </w:rPr>
              <w:t>2</w:t>
            </w:r>
          </w:p>
        </w:tc>
        <w:tc>
          <w:tcPr>
            <w:tcW w:w="6523" w:type="dxa"/>
            <w:vAlign w:val="center"/>
          </w:tcPr>
          <w:p w14:paraId="50BE7914">
            <w:pPr>
              <w:spacing w:line="360" w:lineRule="auto"/>
              <w:rPr>
                <w:rFonts w:ascii="仿宋" w:hAnsi="仿宋" w:eastAsia="仿宋"/>
                <w:b/>
                <w:szCs w:val="21"/>
                <w:lang w:val="en-GB"/>
              </w:rPr>
            </w:pPr>
            <w:r>
              <w:rPr>
                <w:rFonts w:hint="eastAsia" w:ascii="仿宋" w:hAnsi="仿宋" w:eastAsia="仿宋"/>
                <w:b/>
                <w:szCs w:val="21"/>
                <w:lang w:val="en-GB"/>
              </w:rPr>
              <w:t>3L定标桶</w:t>
            </w:r>
          </w:p>
        </w:tc>
        <w:tc>
          <w:tcPr>
            <w:tcW w:w="994" w:type="dxa"/>
            <w:vAlign w:val="center"/>
          </w:tcPr>
          <w:p w14:paraId="1DFC9697">
            <w:pPr>
              <w:spacing w:line="360" w:lineRule="auto"/>
              <w:jc w:val="center"/>
              <w:rPr>
                <w:rFonts w:ascii="仿宋" w:hAnsi="仿宋" w:eastAsia="仿宋"/>
                <w:szCs w:val="21"/>
                <w:lang w:val="en-GB"/>
              </w:rPr>
            </w:pPr>
            <w:r>
              <w:rPr>
                <w:rFonts w:hint="eastAsia" w:ascii="仿宋" w:hAnsi="仿宋" w:eastAsia="仿宋"/>
                <w:szCs w:val="21"/>
                <w:lang w:val="en-GB"/>
              </w:rPr>
              <w:t>1</w:t>
            </w:r>
          </w:p>
        </w:tc>
        <w:tc>
          <w:tcPr>
            <w:tcW w:w="844" w:type="dxa"/>
            <w:vAlign w:val="center"/>
          </w:tcPr>
          <w:p w14:paraId="7B97D717">
            <w:pPr>
              <w:spacing w:line="360" w:lineRule="auto"/>
              <w:jc w:val="center"/>
              <w:rPr>
                <w:rFonts w:ascii="仿宋" w:hAnsi="仿宋" w:eastAsia="仿宋"/>
                <w:szCs w:val="21"/>
                <w:lang w:val="en-GB"/>
              </w:rPr>
            </w:pPr>
            <w:r>
              <w:rPr>
                <w:rFonts w:hint="eastAsia" w:ascii="仿宋" w:hAnsi="仿宋" w:eastAsia="仿宋"/>
                <w:szCs w:val="21"/>
                <w:lang w:val="en-GB"/>
              </w:rPr>
              <w:t>套</w:t>
            </w:r>
          </w:p>
        </w:tc>
      </w:tr>
      <w:tr w14:paraId="4ECD4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1" w:type="dxa"/>
            <w:bottom w:w="0" w:type="dxa"/>
            <w:right w:w="71" w:type="dxa"/>
          </w:tblCellMar>
        </w:tblPrEx>
        <w:trPr>
          <w:trHeight w:val="467" w:hRule="atLeast"/>
        </w:trPr>
        <w:tc>
          <w:tcPr>
            <w:tcW w:w="1075" w:type="dxa"/>
            <w:vAlign w:val="center"/>
          </w:tcPr>
          <w:p w14:paraId="1467614E">
            <w:pPr>
              <w:spacing w:line="360" w:lineRule="auto"/>
              <w:jc w:val="center"/>
              <w:rPr>
                <w:rFonts w:ascii="仿宋" w:hAnsi="仿宋" w:eastAsia="仿宋"/>
                <w:b/>
                <w:szCs w:val="21"/>
                <w:lang w:val="en-GB"/>
              </w:rPr>
            </w:pPr>
            <w:r>
              <w:rPr>
                <w:rFonts w:ascii="仿宋" w:hAnsi="仿宋" w:eastAsia="仿宋"/>
                <w:b/>
                <w:szCs w:val="21"/>
                <w:lang w:val="en-GB"/>
              </w:rPr>
              <w:t>13</w:t>
            </w:r>
          </w:p>
        </w:tc>
        <w:tc>
          <w:tcPr>
            <w:tcW w:w="6523" w:type="dxa"/>
            <w:vAlign w:val="center"/>
          </w:tcPr>
          <w:p w14:paraId="582E81A0">
            <w:pPr>
              <w:spacing w:line="360" w:lineRule="auto"/>
              <w:rPr>
                <w:rFonts w:ascii="仿宋" w:hAnsi="仿宋" w:eastAsia="仿宋"/>
                <w:b/>
                <w:szCs w:val="21"/>
                <w:lang w:val="en-GB"/>
              </w:rPr>
            </w:pPr>
            <w:r>
              <w:rPr>
                <w:rFonts w:hint="eastAsia" w:ascii="仿宋" w:hAnsi="仿宋" w:eastAsia="仿宋"/>
                <w:b/>
                <w:szCs w:val="21"/>
                <w:lang w:val="en-GB"/>
              </w:rPr>
              <w:t>电脑</w:t>
            </w:r>
          </w:p>
        </w:tc>
        <w:tc>
          <w:tcPr>
            <w:tcW w:w="994" w:type="dxa"/>
            <w:vAlign w:val="center"/>
          </w:tcPr>
          <w:p w14:paraId="199939AC">
            <w:pPr>
              <w:spacing w:line="360" w:lineRule="auto"/>
              <w:jc w:val="center"/>
              <w:rPr>
                <w:rFonts w:ascii="仿宋" w:hAnsi="仿宋" w:eastAsia="仿宋"/>
                <w:szCs w:val="21"/>
                <w:lang w:val="en-GB"/>
              </w:rPr>
            </w:pPr>
            <w:r>
              <w:rPr>
                <w:rFonts w:hint="eastAsia" w:ascii="仿宋" w:hAnsi="仿宋" w:eastAsia="仿宋"/>
                <w:szCs w:val="21"/>
                <w:lang w:val="en-GB"/>
              </w:rPr>
              <w:t>1</w:t>
            </w:r>
          </w:p>
        </w:tc>
        <w:tc>
          <w:tcPr>
            <w:tcW w:w="844" w:type="dxa"/>
            <w:vAlign w:val="center"/>
          </w:tcPr>
          <w:p w14:paraId="4F5BA6AD">
            <w:pPr>
              <w:spacing w:line="360" w:lineRule="auto"/>
              <w:jc w:val="center"/>
              <w:rPr>
                <w:rFonts w:ascii="仿宋" w:hAnsi="仿宋" w:eastAsia="仿宋"/>
                <w:szCs w:val="21"/>
                <w:lang w:val="en-GB"/>
              </w:rPr>
            </w:pPr>
            <w:r>
              <w:rPr>
                <w:rFonts w:hint="eastAsia" w:ascii="仿宋" w:hAnsi="仿宋" w:eastAsia="仿宋"/>
                <w:szCs w:val="21"/>
                <w:lang w:val="en-GB"/>
              </w:rPr>
              <w:t>套</w:t>
            </w:r>
          </w:p>
        </w:tc>
      </w:tr>
      <w:tr w14:paraId="5711F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1" w:type="dxa"/>
            <w:bottom w:w="0" w:type="dxa"/>
            <w:right w:w="71" w:type="dxa"/>
          </w:tblCellMar>
        </w:tblPrEx>
        <w:trPr>
          <w:trHeight w:val="467" w:hRule="atLeast"/>
        </w:trPr>
        <w:tc>
          <w:tcPr>
            <w:tcW w:w="1075" w:type="dxa"/>
            <w:vAlign w:val="center"/>
          </w:tcPr>
          <w:p w14:paraId="5A13E411">
            <w:pPr>
              <w:spacing w:line="360" w:lineRule="auto"/>
              <w:jc w:val="center"/>
              <w:rPr>
                <w:rFonts w:ascii="仿宋" w:hAnsi="仿宋" w:eastAsia="仿宋"/>
                <w:b/>
                <w:szCs w:val="21"/>
                <w:lang w:val="en-GB"/>
              </w:rPr>
            </w:pPr>
            <w:r>
              <w:rPr>
                <w:rFonts w:ascii="仿宋" w:hAnsi="仿宋" w:eastAsia="仿宋"/>
                <w:b/>
                <w:szCs w:val="21"/>
                <w:lang w:val="en-GB"/>
              </w:rPr>
              <w:t>14</w:t>
            </w:r>
          </w:p>
        </w:tc>
        <w:tc>
          <w:tcPr>
            <w:tcW w:w="6523" w:type="dxa"/>
            <w:vAlign w:val="center"/>
          </w:tcPr>
          <w:p w14:paraId="09F76F85">
            <w:pPr>
              <w:spacing w:line="360" w:lineRule="auto"/>
              <w:rPr>
                <w:rFonts w:ascii="仿宋" w:hAnsi="仿宋" w:eastAsia="仿宋"/>
                <w:b/>
                <w:szCs w:val="21"/>
                <w:lang w:val="en-GB"/>
              </w:rPr>
            </w:pPr>
            <w:r>
              <w:rPr>
                <w:rFonts w:hint="eastAsia" w:ascii="仿宋" w:hAnsi="仿宋" w:eastAsia="仿宋"/>
                <w:b/>
                <w:szCs w:val="21"/>
                <w:lang w:val="en-GB"/>
              </w:rPr>
              <w:t>台车</w:t>
            </w:r>
          </w:p>
        </w:tc>
        <w:tc>
          <w:tcPr>
            <w:tcW w:w="994" w:type="dxa"/>
            <w:vAlign w:val="center"/>
          </w:tcPr>
          <w:p w14:paraId="648200AB">
            <w:pPr>
              <w:spacing w:line="360" w:lineRule="auto"/>
              <w:jc w:val="center"/>
              <w:rPr>
                <w:rFonts w:ascii="仿宋" w:hAnsi="仿宋" w:eastAsia="仿宋"/>
                <w:szCs w:val="21"/>
                <w:lang w:val="en-GB"/>
              </w:rPr>
            </w:pPr>
            <w:r>
              <w:rPr>
                <w:rFonts w:hint="eastAsia" w:ascii="仿宋" w:hAnsi="仿宋" w:eastAsia="仿宋"/>
                <w:szCs w:val="21"/>
                <w:lang w:val="en-GB"/>
              </w:rPr>
              <w:t>1</w:t>
            </w:r>
          </w:p>
        </w:tc>
        <w:tc>
          <w:tcPr>
            <w:tcW w:w="844" w:type="dxa"/>
            <w:vAlign w:val="center"/>
          </w:tcPr>
          <w:p w14:paraId="4175B0A7">
            <w:pPr>
              <w:spacing w:line="360" w:lineRule="auto"/>
              <w:jc w:val="center"/>
              <w:rPr>
                <w:rFonts w:ascii="仿宋" w:hAnsi="仿宋" w:eastAsia="仿宋"/>
                <w:szCs w:val="21"/>
                <w:lang w:val="en-GB"/>
              </w:rPr>
            </w:pPr>
            <w:r>
              <w:rPr>
                <w:rFonts w:hint="eastAsia" w:ascii="仿宋" w:hAnsi="仿宋" w:eastAsia="仿宋"/>
                <w:szCs w:val="21"/>
                <w:lang w:val="en-GB"/>
              </w:rPr>
              <w:t>台</w:t>
            </w:r>
          </w:p>
        </w:tc>
      </w:tr>
      <w:tr w14:paraId="47228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1" w:type="dxa"/>
            <w:bottom w:w="0" w:type="dxa"/>
            <w:right w:w="71" w:type="dxa"/>
          </w:tblCellMar>
        </w:tblPrEx>
        <w:trPr>
          <w:trHeight w:val="467" w:hRule="atLeast"/>
        </w:trPr>
        <w:tc>
          <w:tcPr>
            <w:tcW w:w="1075" w:type="dxa"/>
            <w:vAlign w:val="center"/>
          </w:tcPr>
          <w:p w14:paraId="27DE8B40">
            <w:pPr>
              <w:spacing w:line="360" w:lineRule="auto"/>
              <w:jc w:val="center"/>
              <w:rPr>
                <w:rFonts w:ascii="仿宋" w:hAnsi="仿宋" w:eastAsia="仿宋"/>
                <w:b/>
                <w:szCs w:val="21"/>
                <w:lang w:val="en-GB"/>
              </w:rPr>
            </w:pPr>
            <w:r>
              <w:rPr>
                <w:rFonts w:ascii="仿宋" w:hAnsi="仿宋" w:eastAsia="仿宋"/>
                <w:b/>
                <w:szCs w:val="21"/>
                <w:lang w:val="en-GB"/>
              </w:rPr>
              <w:t>15</w:t>
            </w:r>
          </w:p>
        </w:tc>
        <w:tc>
          <w:tcPr>
            <w:tcW w:w="6523" w:type="dxa"/>
            <w:vAlign w:val="center"/>
          </w:tcPr>
          <w:p w14:paraId="62B16EC4">
            <w:pPr>
              <w:spacing w:line="360" w:lineRule="auto"/>
              <w:rPr>
                <w:rFonts w:ascii="仿宋" w:hAnsi="仿宋" w:eastAsia="仿宋"/>
                <w:b/>
                <w:szCs w:val="21"/>
                <w:lang w:val="en-GB"/>
              </w:rPr>
            </w:pPr>
            <w:r>
              <w:rPr>
                <w:rFonts w:hint="eastAsia" w:ascii="仿宋" w:hAnsi="仿宋" w:eastAsia="仿宋"/>
                <w:b/>
                <w:szCs w:val="21"/>
                <w:lang w:val="en-GB"/>
              </w:rPr>
              <w:t>移动支臂</w:t>
            </w:r>
          </w:p>
        </w:tc>
        <w:tc>
          <w:tcPr>
            <w:tcW w:w="994" w:type="dxa"/>
            <w:vAlign w:val="center"/>
          </w:tcPr>
          <w:p w14:paraId="77B972D0">
            <w:pPr>
              <w:spacing w:line="360" w:lineRule="auto"/>
              <w:jc w:val="center"/>
              <w:rPr>
                <w:rFonts w:ascii="仿宋" w:hAnsi="仿宋" w:eastAsia="仿宋"/>
                <w:szCs w:val="21"/>
                <w:lang w:val="en-GB"/>
              </w:rPr>
            </w:pPr>
            <w:r>
              <w:rPr>
                <w:rFonts w:ascii="仿宋" w:hAnsi="仿宋" w:eastAsia="仿宋"/>
                <w:szCs w:val="21"/>
                <w:lang w:val="en-GB"/>
              </w:rPr>
              <w:t>1</w:t>
            </w:r>
          </w:p>
        </w:tc>
        <w:tc>
          <w:tcPr>
            <w:tcW w:w="844" w:type="dxa"/>
            <w:vAlign w:val="center"/>
          </w:tcPr>
          <w:p w14:paraId="7DEAD041">
            <w:pPr>
              <w:spacing w:line="360" w:lineRule="auto"/>
              <w:jc w:val="center"/>
              <w:rPr>
                <w:rFonts w:ascii="仿宋" w:hAnsi="仿宋" w:eastAsia="仿宋"/>
                <w:szCs w:val="21"/>
                <w:lang w:val="en-GB"/>
              </w:rPr>
            </w:pPr>
            <w:r>
              <w:rPr>
                <w:rFonts w:hint="eastAsia" w:ascii="仿宋" w:hAnsi="仿宋" w:eastAsia="仿宋"/>
                <w:szCs w:val="21"/>
                <w:lang w:val="en-GB"/>
              </w:rPr>
              <w:t>套</w:t>
            </w:r>
          </w:p>
        </w:tc>
      </w:tr>
      <w:tr w14:paraId="28B44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1" w:type="dxa"/>
            <w:bottom w:w="0" w:type="dxa"/>
            <w:right w:w="71" w:type="dxa"/>
          </w:tblCellMar>
        </w:tblPrEx>
        <w:trPr>
          <w:trHeight w:val="467" w:hRule="atLeast"/>
        </w:trPr>
        <w:tc>
          <w:tcPr>
            <w:tcW w:w="1075" w:type="dxa"/>
            <w:vAlign w:val="center"/>
          </w:tcPr>
          <w:p w14:paraId="6BD7E91B">
            <w:pPr>
              <w:spacing w:line="360" w:lineRule="auto"/>
              <w:jc w:val="center"/>
              <w:rPr>
                <w:rFonts w:ascii="仿宋" w:hAnsi="仿宋" w:eastAsia="仿宋"/>
                <w:color w:val="000000"/>
                <w:szCs w:val="21"/>
                <w:lang w:val="en-GB"/>
              </w:rPr>
            </w:pPr>
            <w:r>
              <w:rPr>
                <w:rFonts w:hint="eastAsia" w:ascii="仿宋" w:hAnsi="仿宋" w:eastAsia="仿宋"/>
                <w:b/>
                <w:color w:val="000000"/>
                <w:szCs w:val="21"/>
                <w:lang w:val="en-GB"/>
              </w:rPr>
              <w:t>1</w:t>
            </w:r>
            <w:r>
              <w:rPr>
                <w:rFonts w:ascii="仿宋" w:hAnsi="仿宋" w:eastAsia="仿宋"/>
                <w:b/>
                <w:color w:val="000000"/>
                <w:szCs w:val="21"/>
                <w:lang w:val="en-GB"/>
              </w:rPr>
              <w:t>6</w:t>
            </w:r>
          </w:p>
        </w:tc>
        <w:tc>
          <w:tcPr>
            <w:tcW w:w="6523" w:type="dxa"/>
            <w:vAlign w:val="center"/>
          </w:tcPr>
          <w:p w14:paraId="1CC5E105">
            <w:pPr>
              <w:spacing w:line="360" w:lineRule="auto"/>
              <w:rPr>
                <w:rFonts w:ascii="仿宋" w:hAnsi="仿宋" w:eastAsia="仿宋"/>
                <w:b/>
                <w:szCs w:val="21"/>
                <w:lang w:val="en-GB"/>
              </w:rPr>
            </w:pPr>
            <w:r>
              <w:rPr>
                <w:rFonts w:hint="eastAsia" w:ascii="仿宋" w:hAnsi="仿宋" w:eastAsia="仿宋"/>
                <w:b/>
                <w:szCs w:val="21"/>
                <w:lang w:val="en-GB"/>
              </w:rPr>
              <w:t>一次性使用咬嘴</w:t>
            </w:r>
          </w:p>
        </w:tc>
        <w:tc>
          <w:tcPr>
            <w:tcW w:w="994" w:type="dxa"/>
            <w:vAlign w:val="center"/>
          </w:tcPr>
          <w:p w14:paraId="149885EB">
            <w:pPr>
              <w:spacing w:line="360" w:lineRule="auto"/>
              <w:jc w:val="center"/>
              <w:rPr>
                <w:rFonts w:ascii="仿宋" w:hAnsi="仿宋" w:eastAsia="仿宋"/>
                <w:szCs w:val="21"/>
                <w:lang w:val="en-GB"/>
              </w:rPr>
            </w:pPr>
            <w:r>
              <w:rPr>
                <w:rFonts w:ascii="仿宋" w:hAnsi="仿宋" w:eastAsia="仿宋"/>
                <w:szCs w:val="21"/>
                <w:lang w:val="en-GB"/>
              </w:rPr>
              <w:t>10</w:t>
            </w:r>
          </w:p>
        </w:tc>
        <w:tc>
          <w:tcPr>
            <w:tcW w:w="844" w:type="dxa"/>
            <w:vAlign w:val="center"/>
          </w:tcPr>
          <w:p w14:paraId="229566DC">
            <w:pPr>
              <w:spacing w:line="360" w:lineRule="auto"/>
              <w:jc w:val="center"/>
              <w:rPr>
                <w:rFonts w:ascii="仿宋" w:hAnsi="仿宋" w:eastAsia="仿宋"/>
                <w:szCs w:val="21"/>
                <w:lang w:val="en-GB"/>
              </w:rPr>
            </w:pPr>
            <w:r>
              <w:rPr>
                <w:rFonts w:hint="eastAsia" w:ascii="仿宋" w:hAnsi="仿宋" w:eastAsia="仿宋"/>
                <w:szCs w:val="21"/>
                <w:lang w:val="en-GB"/>
              </w:rPr>
              <w:t>个</w:t>
            </w:r>
          </w:p>
        </w:tc>
      </w:tr>
      <w:tr w14:paraId="1DA5B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1" w:type="dxa"/>
            <w:bottom w:w="0" w:type="dxa"/>
            <w:right w:w="71" w:type="dxa"/>
          </w:tblCellMar>
        </w:tblPrEx>
        <w:trPr>
          <w:trHeight w:val="467" w:hRule="atLeast"/>
        </w:trPr>
        <w:tc>
          <w:tcPr>
            <w:tcW w:w="1075" w:type="dxa"/>
            <w:vAlign w:val="center"/>
          </w:tcPr>
          <w:p w14:paraId="731D6DFB">
            <w:pPr>
              <w:spacing w:line="360" w:lineRule="auto"/>
              <w:jc w:val="center"/>
              <w:rPr>
                <w:rFonts w:ascii="仿宋" w:hAnsi="仿宋" w:eastAsia="仿宋"/>
                <w:b/>
                <w:color w:val="000000"/>
                <w:szCs w:val="21"/>
                <w:lang w:val="en-GB"/>
              </w:rPr>
            </w:pPr>
            <w:r>
              <w:rPr>
                <w:rFonts w:ascii="仿宋" w:hAnsi="仿宋" w:eastAsia="仿宋"/>
                <w:b/>
                <w:szCs w:val="21"/>
                <w:lang w:val="en-GB"/>
              </w:rPr>
              <w:t>17</w:t>
            </w:r>
          </w:p>
        </w:tc>
        <w:tc>
          <w:tcPr>
            <w:tcW w:w="6523" w:type="dxa"/>
            <w:vAlign w:val="center"/>
          </w:tcPr>
          <w:p w14:paraId="690E1E28">
            <w:pPr>
              <w:spacing w:line="360" w:lineRule="auto"/>
              <w:rPr>
                <w:rFonts w:ascii="仿宋" w:hAnsi="仿宋" w:eastAsia="仿宋"/>
                <w:szCs w:val="21"/>
                <w:lang w:val="en-GB"/>
              </w:rPr>
            </w:pPr>
            <w:r>
              <w:rPr>
                <w:rFonts w:hint="eastAsia" w:ascii="仿宋" w:hAnsi="仿宋" w:eastAsia="仿宋"/>
                <w:b/>
                <w:szCs w:val="21"/>
                <w:lang w:val="en-GB"/>
              </w:rPr>
              <w:t>一次性肺功能仪用过滤嘴</w:t>
            </w:r>
          </w:p>
        </w:tc>
        <w:tc>
          <w:tcPr>
            <w:tcW w:w="994" w:type="dxa"/>
            <w:vAlign w:val="center"/>
          </w:tcPr>
          <w:p w14:paraId="70297C72">
            <w:pPr>
              <w:spacing w:line="360" w:lineRule="auto"/>
              <w:jc w:val="center"/>
              <w:rPr>
                <w:rFonts w:ascii="仿宋" w:hAnsi="仿宋" w:eastAsia="仿宋"/>
                <w:szCs w:val="21"/>
                <w:lang w:val="en-GB"/>
              </w:rPr>
            </w:pPr>
            <w:r>
              <w:rPr>
                <w:rFonts w:ascii="仿宋" w:hAnsi="仿宋" w:eastAsia="仿宋"/>
                <w:szCs w:val="21"/>
                <w:lang w:val="en-GB"/>
              </w:rPr>
              <w:t>20</w:t>
            </w:r>
          </w:p>
        </w:tc>
        <w:tc>
          <w:tcPr>
            <w:tcW w:w="844" w:type="dxa"/>
            <w:vAlign w:val="center"/>
          </w:tcPr>
          <w:p w14:paraId="6C8C9736">
            <w:pPr>
              <w:spacing w:line="360" w:lineRule="auto"/>
              <w:jc w:val="center"/>
              <w:rPr>
                <w:rFonts w:ascii="仿宋" w:hAnsi="仿宋" w:eastAsia="仿宋"/>
                <w:szCs w:val="21"/>
                <w:lang w:val="en-GB"/>
              </w:rPr>
            </w:pPr>
            <w:r>
              <w:rPr>
                <w:rFonts w:hint="eastAsia" w:ascii="仿宋" w:hAnsi="仿宋" w:eastAsia="仿宋"/>
                <w:szCs w:val="21"/>
                <w:lang w:val="en-GB"/>
              </w:rPr>
              <w:t>个</w:t>
            </w:r>
          </w:p>
        </w:tc>
      </w:tr>
      <w:tr w14:paraId="76179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1" w:type="dxa"/>
            <w:bottom w:w="0" w:type="dxa"/>
            <w:right w:w="71" w:type="dxa"/>
          </w:tblCellMar>
        </w:tblPrEx>
        <w:trPr>
          <w:trHeight w:val="467" w:hRule="atLeast"/>
        </w:trPr>
        <w:tc>
          <w:tcPr>
            <w:tcW w:w="1075" w:type="dxa"/>
            <w:vAlign w:val="center"/>
          </w:tcPr>
          <w:p w14:paraId="4142FA43">
            <w:pPr>
              <w:spacing w:line="360" w:lineRule="auto"/>
              <w:jc w:val="center"/>
              <w:rPr>
                <w:rFonts w:ascii="仿宋" w:hAnsi="仿宋" w:eastAsia="仿宋"/>
                <w:b/>
                <w:szCs w:val="21"/>
                <w:lang w:val="en-GB"/>
              </w:rPr>
            </w:pPr>
            <w:r>
              <w:rPr>
                <w:rFonts w:ascii="仿宋" w:hAnsi="仿宋" w:eastAsia="仿宋"/>
                <w:b/>
                <w:szCs w:val="21"/>
                <w:lang w:val="en-GB"/>
              </w:rPr>
              <w:t>18</w:t>
            </w:r>
          </w:p>
        </w:tc>
        <w:tc>
          <w:tcPr>
            <w:tcW w:w="6523" w:type="dxa"/>
            <w:vAlign w:val="center"/>
          </w:tcPr>
          <w:p w14:paraId="01F6FD09">
            <w:pPr>
              <w:spacing w:line="360" w:lineRule="auto"/>
              <w:rPr>
                <w:rFonts w:ascii="仿宋" w:hAnsi="仿宋" w:eastAsia="仿宋"/>
                <w:szCs w:val="21"/>
                <w:lang w:val="en-GB"/>
              </w:rPr>
            </w:pPr>
            <w:r>
              <w:rPr>
                <w:rFonts w:hint="eastAsia" w:ascii="仿宋" w:hAnsi="仿宋" w:eastAsia="仿宋"/>
                <w:b/>
                <w:szCs w:val="21"/>
                <w:lang w:val="en-GB"/>
              </w:rPr>
              <w:t>雾化杯</w:t>
            </w:r>
          </w:p>
        </w:tc>
        <w:tc>
          <w:tcPr>
            <w:tcW w:w="994" w:type="dxa"/>
            <w:vAlign w:val="center"/>
          </w:tcPr>
          <w:p w14:paraId="11CD22FA">
            <w:pPr>
              <w:spacing w:line="360" w:lineRule="auto"/>
              <w:jc w:val="center"/>
              <w:rPr>
                <w:rFonts w:ascii="仿宋" w:hAnsi="仿宋" w:eastAsia="仿宋"/>
                <w:szCs w:val="21"/>
                <w:lang w:val="en-GB"/>
              </w:rPr>
            </w:pPr>
            <w:r>
              <w:rPr>
                <w:rFonts w:ascii="仿宋" w:hAnsi="仿宋" w:eastAsia="仿宋"/>
                <w:szCs w:val="21"/>
                <w:lang w:val="en-GB"/>
              </w:rPr>
              <w:t>1</w:t>
            </w:r>
          </w:p>
        </w:tc>
        <w:tc>
          <w:tcPr>
            <w:tcW w:w="844" w:type="dxa"/>
            <w:vAlign w:val="center"/>
          </w:tcPr>
          <w:p w14:paraId="690085CA">
            <w:pPr>
              <w:spacing w:line="360" w:lineRule="auto"/>
              <w:jc w:val="center"/>
              <w:rPr>
                <w:rFonts w:ascii="仿宋" w:hAnsi="仿宋" w:eastAsia="仿宋"/>
                <w:szCs w:val="21"/>
                <w:lang w:val="en-GB"/>
              </w:rPr>
            </w:pPr>
            <w:r>
              <w:rPr>
                <w:rFonts w:hint="eastAsia" w:ascii="仿宋" w:hAnsi="仿宋" w:eastAsia="仿宋"/>
                <w:szCs w:val="21"/>
                <w:lang w:val="en-GB"/>
              </w:rPr>
              <w:t>个</w:t>
            </w:r>
          </w:p>
        </w:tc>
      </w:tr>
    </w:tbl>
    <w:p w14:paraId="4B6BF5D9">
      <w:pPr>
        <w:spacing w:line="360" w:lineRule="auto"/>
        <w:jc w:val="left"/>
        <w:rPr>
          <w:rFonts w:ascii="宋体" w:hAnsi="宋体" w:eastAsia="宋体"/>
          <w:sz w:val="28"/>
          <w:szCs w:val="24"/>
        </w:rPr>
      </w:pPr>
    </w:p>
    <w:sectPr>
      <w:pgSz w:w="11906" w:h="16838"/>
      <w:pgMar w:top="1276"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993557"/>
    <w:multiLevelType w:val="multilevel"/>
    <w:tmpl w:val="2F993557"/>
    <w:lvl w:ilvl="0" w:tentative="0">
      <w:start w:val="1"/>
      <w:numFmt w:val="decimal"/>
      <w:lvlText w:val="%1."/>
      <w:lvlJc w:val="left"/>
      <w:pPr>
        <w:ind w:left="785" w:hanging="360"/>
      </w:pPr>
      <w:rPr>
        <w:rFonts w:hint="default"/>
      </w:rPr>
    </w:lvl>
    <w:lvl w:ilvl="1" w:tentative="0">
      <w:start w:val="1"/>
      <w:numFmt w:val="decimal"/>
      <w:isLgl/>
      <w:lvlText w:val="%1.%2"/>
      <w:lvlJc w:val="left"/>
      <w:pPr>
        <w:ind w:left="1145" w:hanging="360"/>
      </w:pPr>
      <w:rPr>
        <w:rFonts w:hint="default"/>
      </w:rPr>
    </w:lvl>
    <w:lvl w:ilvl="2" w:tentative="0">
      <w:start w:val="1"/>
      <w:numFmt w:val="decimal"/>
      <w:isLgl/>
      <w:lvlText w:val="%1.%2.%3"/>
      <w:lvlJc w:val="left"/>
      <w:pPr>
        <w:ind w:left="1865" w:hanging="720"/>
      </w:pPr>
      <w:rPr>
        <w:rFonts w:hint="default"/>
      </w:rPr>
    </w:lvl>
    <w:lvl w:ilvl="3" w:tentative="0">
      <w:start w:val="1"/>
      <w:numFmt w:val="decimal"/>
      <w:isLgl/>
      <w:lvlText w:val="%1.%2.%3.%4"/>
      <w:lvlJc w:val="left"/>
      <w:pPr>
        <w:ind w:left="2585" w:hanging="1080"/>
      </w:pPr>
      <w:rPr>
        <w:rFonts w:hint="default"/>
      </w:rPr>
    </w:lvl>
    <w:lvl w:ilvl="4" w:tentative="0">
      <w:start w:val="1"/>
      <w:numFmt w:val="decimal"/>
      <w:isLgl/>
      <w:lvlText w:val="%1.%2.%3.%4.%5"/>
      <w:lvlJc w:val="left"/>
      <w:pPr>
        <w:ind w:left="2945" w:hanging="1080"/>
      </w:pPr>
      <w:rPr>
        <w:rFonts w:hint="default"/>
      </w:rPr>
    </w:lvl>
    <w:lvl w:ilvl="5" w:tentative="0">
      <w:start w:val="1"/>
      <w:numFmt w:val="decimal"/>
      <w:isLgl/>
      <w:lvlText w:val="%1.%2.%3.%4.%5.%6"/>
      <w:lvlJc w:val="left"/>
      <w:pPr>
        <w:ind w:left="3665" w:hanging="1440"/>
      </w:pPr>
      <w:rPr>
        <w:rFonts w:hint="default"/>
      </w:rPr>
    </w:lvl>
    <w:lvl w:ilvl="6" w:tentative="0">
      <w:start w:val="1"/>
      <w:numFmt w:val="decimal"/>
      <w:isLgl/>
      <w:lvlText w:val="%1.%2.%3.%4.%5.%6.%7"/>
      <w:lvlJc w:val="left"/>
      <w:pPr>
        <w:ind w:left="4385" w:hanging="1800"/>
      </w:pPr>
      <w:rPr>
        <w:rFonts w:hint="default"/>
      </w:rPr>
    </w:lvl>
    <w:lvl w:ilvl="7" w:tentative="0">
      <w:start w:val="1"/>
      <w:numFmt w:val="decimal"/>
      <w:isLgl/>
      <w:lvlText w:val="%1.%2.%3.%4.%5.%6.%7.%8"/>
      <w:lvlJc w:val="left"/>
      <w:pPr>
        <w:ind w:left="4745" w:hanging="1800"/>
      </w:pPr>
      <w:rPr>
        <w:rFonts w:hint="default"/>
      </w:rPr>
    </w:lvl>
    <w:lvl w:ilvl="8" w:tentative="0">
      <w:start w:val="1"/>
      <w:numFmt w:val="decimal"/>
      <w:isLgl/>
      <w:lvlText w:val="%1.%2.%3.%4.%5.%6.%7.%8.%9"/>
      <w:lvlJc w:val="left"/>
      <w:pPr>
        <w:ind w:left="5465" w:hanging="2160"/>
      </w:pPr>
      <w:rPr>
        <w:rFonts w:hint="default"/>
      </w:rPr>
    </w:lvl>
  </w:abstractNum>
  <w:abstractNum w:abstractNumId="1">
    <w:nsid w:val="3E7B44F1"/>
    <w:multiLevelType w:val="multilevel"/>
    <w:tmpl w:val="3E7B44F1"/>
    <w:lvl w:ilvl="0" w:tentative="0">
      <w:start w:val="1"/>
      <w:numFmt w:val="decimal"/>
      <w:lvlText w:val="%1."/>
      <w:lvlJc w:val="left"/>
      <w:pPr>
        <w:ind w:left="717" w:hanging="360"/>
      </w:pPr>
      <w:rPr>
        <w:rFonts w:hint="default"/>
      </w:rPr>
    </w:lvl>
    <w:lvl w:ilvl="1" w:tentative="0">
      <w:start w:val="1"/>
      <w:numFmt w:val="lowerLetter"/>
      <w:lvlText w:val="%2)"/>
      <w:lvlJc w:val="left"/>
      <w:pPr>
        <w:ind w:left="1197" w:hanging="420"/>
      </w:pPr>
    </w:lvl>
    <w:lvl w:ilvl="2" w:tentative="0">
      <w:start w:val="1"/>
      <w:numFmt w:val="lowerRoman"/>
      <w:lvlText w:val="%3."/>
      <w:lvlJc w:val="right"/>
      <w:pPr>
        <w:ind w:left="1617" w:hanging="420"/>
      </w:pPr>
    </w:lvl>
    <w:lvl w:ilvl="3" w:tentative="0">
      <w:start w:val="1"/>
      <w:numFmt w:val="decimal"/>
      <w:lvlText w:val="%4."/>
      <w:lvlJc w:val="left"/>
      <w:pPr>
        <w:ind w:left="2037" w:hanging="420"/>
      </w:pPr>
    </w:lvl>
    <w:lvl w:ilvl="4" w:tentative="0">
      <w:start w:val="1"/>
      <w:numFmt w:val="lowerLetter"/>
      <w:lvlText w:val="%5)"/>
      <w:lvlJc w:val="left"/>
      <w:pPr>
        <w:ind w:left="2457" w:hanging="420"/>
      </w:pPr>
    </w:lvl>
    <w:lvl w:ilvl="5" w:tentative="0">
      <w:start w:val="1"/>
      <w:numFmt w:val="lowerRoman"/>
      <w:lvlText w:val="%6."/>
      <w:lvlJc w:val="right"/>
      <w:pPr>
        <w:ind w:left="2877" w:hanging="420"/>
      </w:pPr>
    </w:lvl>
    <w:lvl w:ilvl="6" w:tentative="0">
      <w:start w:val="1"/>
      <w:numFmt w:val="decimal"/>
      <w:lvlText w:val="%7."/>
      <w:lvlJc w:val="left"/>
      <w:pPr>
        <w:ind w:left="3297" w:hanging="420"/>
      </w:pPr>
    </w:lvl>
    <w:lvl w:ilvl="7" w:tentative="0">
      <w:start w:val="1"/>
      <w:numFmt w:val="lowerLetter"/>
      <w:lvlText w:val="%8)"/>
      <w:lvlJc w:val="left"/>
      <w:pPr>
        <w:ind w:left="3717" w:hanging="420"/>
      </w:pPr>
    </w:lvl>
    <w:lvl w:ilvl="8" w:tentative="0">
      <w:start w:val="1"/>
      <w:numFmt w:val="lowerRoman"/>
      <w:lvlText w:val="%9."/>
      <w:lvlJc w:val="right"/>
      <w:pPr>
        <w:ind w:left="4137" w:hanging="420"/>
      </w:pPr>
    </w:lvl>
  </w:abstractNum>
  <w:abstractNum w:abstractNumId="2">
    <w:nsid w:val="4AE45F68"/>
    <w:multiLevelType w:val="multilevel"/>
    <w:tmpl w:val="4AE45F68"/>
    <w:lvl w:ilvl="0" w:tentative="0">
      <w:start w:val="1"/>
      <w:numFmt w:val="japaneseCounting"/>
      <w:suff w:val="space"/>
      <w:lvlText w:val="%1、"/>
      <w:lvlJc w:val="left"/>
      <w:pPr>
        <w:ind w:left="360" w:hanging="360"/>
      </w:pPr>
      <w:rPr>
        <w:rFonts w:ascii="宋体" w:hAnsi="宋体" w:eastAsia="宋体" w:cstheme="minorBidi"/>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FDD"/>
    <w:rsid w:val="00012E21"/>
    <w:rsid w:val="00014D4C"/>
    <w:rsid w:val="00026F7E"/>
    <w:rsid w:val="000543E8"/>
    <w:rsid w:val="000636A3"/>
    <w:rsid w:val="00076F4F"/>
    <w:rsid w:val="000925BA"/>
    <w:rsid w:val="000952BA"/>
    <w:rsid w:val="000A1680"/>
    <w:rsid w:val="000A6966"/>
    <w:rsid w:val="000A7506"/>
    <w:rsid w:val="000B2013"/>
    <w:rsid w:val="000B3E54"/>
    <w:rsid w:val="000C3E01"/>
    <w:rsid w:val="000D44D5"/>
    <w:rsid w:val="000D49D5"/>
    <w:rsid w:val="000F4E62"/>
    <w:rsid w:val="000F536E"/>
    <w:rsid w:val="00121227"/>
    <w:rsid w:val="00124D2D"/>
    <w:rsid w:val="0013576D"/>
    <w:rsid w:val="0014317D"/>
    <w:rsid w:val="00144779"/>
    <w:rsid w:val="00157E4D"/>
    <w:rsid w:val="00167EF7"/>
    <w:rsid w:val="001802BE"/>
    <w:rsid w:val="001915CA"/>
    <w:rsid w:val="00192C37"/>
    <w:rsid w:val="00197E53"/>
    <w:rsid w:val="001A15DE"/>
    <w:rsid w:val="001A3D75"/>
    <w:rsid w:val="001A48BD"/>
    <w:rsid w:val="001A5A5A"/>
    <w:rsid w:val="001B3C47"/>
    <w:rsid w:val="001C0A10"/>
    <w:rsid w:val="001D4BC6"/>
    <w:rsid w:val="001E7D62"/>
    <w:rsid w:val="00204581"/>
    <w:rsid w:val="0020648C"/>
    <w:rsid w:val="00206C07"/>
    <w:rsid w:val="00210023"/>
    <w:rsid w:val="00210F96"/>
    <w:rsid w:val="0021432D"/>
    <w:rsid w:val="0022419B"/>
    <w:rsid w:val="00224410"/>
    <w:rsid w:val="00230899"/>
    <w:rsid w:val="00253095"/>
    <w:rsid w:val="00253870"/>
    <w:rsid w:val="00253C52"/>
    <w:rsid w:val="00261823"/>
    <w:rsid w:val="00263A60"/>
    <w:rsid w:val="00263D48"/>
    <w:rsid w:val="002A5518"/>
    <w:rsid w:val="002A59DF"/>
    <w:rsid w:val="002D680E"/>
    <w:rsid w:val="002E4E5C"/>
    <w:rsid w:val="002E5CC6"/>
    <w:rsid w:val="002F1C1A"/>
    <w:rsid w:val="002F3FC5"/>
    <w:rsid w:val="002F7D99"/>
    <w:rsid w:val="0031232F"/>
    <w:rsid w:val="00317AB5"/>
    <w:rsid w:val="00330D8B"/>
    <w:rsid w:val="003318DA"/>
    <w:rsid w:val="00337C79"/>
    <w:rsid w:val="00337F1C"/>
    <w:rsid w:val="00365067"/>
    <w:rsid w:val="00381725"/>
    <w:rsid w:val="00382121"/>
    <w:rsid w:val="0038328E"/>
    <w:rsid w:val="00397293"/>
    <w:rsid w:val="003A3AC1"/>
    <w:rsid w:val="003B4E6D"/>
    <w:rsid w:val="003C1A3F"/>
    <w:rsid w:val="003D66AC"/>
    <w:rsid w:val="003D7471"/>
    <w:rsid w:val="003E605B"/>
    <w:rsid w:val="00405C63"/>
    <w:rsid w:val="004110AA"/>
    <w:rsid w:val="004171A6"/>
    <w:rsid w:val="00420825"/>
    <w:rsid w:val="00427AD5"/>
    <w:rsid w:val="00445C49"/>
    <w:rsid w:val="00446164"/>
    <w:rsid w:val="0045465E"/>
    <w:rsid w:val="00454BB1"/>
    <w:rsid w:val="004845CA"/>
    <w:rsid w:val="00484DF3"/>
    <w:rsid w:val="004A03CB"/>
    <w:rsid w:val="004C385C"/>
    <w:rsid w:val="004C6271"/>
    <w:rsid w:val="004E0D62"/>
    <w:rsid w:val="004E1746"/>
    <w:rsid w:val="004E2966"/>
    <w:rsid w:val="004E62BF"/>
    <w:rsid w:val="004F2AFE"/>
    <w:rsid w:val="0050750B"/>
    <w:rsid w:val="0053099A"/>
    <w:rsid w:val="005452FF"/>
    <w:rsid w:val="00576F70"/>
    <w:rsid w:val="005B60EA"/>
    <w:rsid w:val="005B6D29"/>
    <w:rsid w:val="005C0A32"/>
    <w:rsid w:val="005C0DA6"/>
    <w:rsid w:val="005E2227"/>
    <w:rsid w:val="00621E16"/>
    <w:rsid w:val="00634FC2"/>
    <w:rsid w:val="00645C9B"/>
    <w:rsid w:val="0065273F"/>
    <w:rsid w:val="00660A6D"/>
    <w:rsid w:val="006622B0"/>
    <w:rsid w:val="00671693"/>
    <w:rsid w:val="0069431E"/>
    <w:rsid w:val="00696DDC"/>
    <w:rsid w:val="006E02C4"/>
    <w:rsid w:val="006E0687"/>
    <w:rsid w:val="006E0D32"/>
    <w:rsid w:val="006E6923"/>
    <w:rsid w:val="007154F2"/>
    <w:rsid w:val="00751FBD"/>
    <w:rsid w:val="007649B6"/>
    <w:rsid w:val="00773583"/>
    <w:rsid w:val="007833E2"/>
    <w:rsid w:val="007A09A2"/>
    <w:rsid w:val="007C0A03"/>
    <w:rsid w:val="007D0C68"/>
    <w:rsid w:val="007E0F61"/>
    <w:rsid w:val="007F4956"/>
    <w:rsid w:val="00801602"/>
    <w:rsid w:val="008066A0"/>
    <w:rsid w:val="008319D6"/>
    <w:rsid w:val="0083388D"/>
    <w:rsid w:val="008440CD"/>
    <w:rsid w:val="008467A5"/>
    <w:rsid w:val="0084784F"/>
    <w:rsid w:val="008711BA"/>
    <w:rsid w:val="00872E23"/>
    <w:rsid w:val="008832C5"/>
    <w:rsid w:val="008B75A3"/>
    <w:rsid w:val="008C1399"/>
    <w:rsid w:val="008C73D5"/>
    <w:rsid w:val="008D51C3"/>
    <w:rsid w:val="008E57A0"/>
    <w:rsid w:val="008F592B"/>
    <w:rsid w:val="00915FDD"/>
    <w:rsid w:val="009231E8"/>
    <w:rsid w:val="00952233"/>
    <w:rsid w:val="00952993"/>
    <w:rsid w:val="00980C62"/>
    <w:rsid w:val="009979F3"/>
    <w:rsid w:val="009C07A7"/>
    <w:rsid w:val="00A00A56"/>
    <w:rsid w:val="00A05DE5"/>
    <w:rsid w:val="00A10487"/>
    <w:rsid w:val="00A138BD"/>
    <w:rsid w:val="00A223C9"/>
    <w:rsid w:val="00A46E75"/>
    <w:rsid w:val="00A50BAA"/>
    <w:rsid w:val="00A53DDA"/>
    <w:rsid w:val="00A57A6B"/>
    <w:rsid w:val="00A6435B"/>
    <w:rsid w:val="00A84DF2"/>
    <w:rsid w:val="00AB5F8D"/>
    <w:rsid w:val="00AC048D"/>
    <w:rsid w:val="00AC0C6D"/>
    <w:rsid w:val="00AD60A4"/>
    <w:rsid w:val="00AE3FE5"/>
    <w:rsid w:val="00AE57E4"/>
    <w:rsid w:val="00B03218"/>
    <w:rsid w:val="00B13852"/>
    <w:rsid w:val="00B3064C"/>
    <w:rsid w:val="00B40A29"/>
    <w:rsid w:val="00B424F0"/>
    <w:rsid w:val="00B4739B"/>
    <w:rsid w:val="00B50686"/>
    <w:rsid w:val="00B55E4D"/>
    <w:rsid w:val="00B763D6"/>
    <w:rsid w:val="00BA49B0"/>
    <w:rsid w:val="00BA7C30"/>
    <w:rsid w:val="00BB6069"/>
    <w:rsid w:val="00BD7C88"/>
    <w:rsid w:val="00BE053B"/>
    <w:rsid w:val="00BE45D1"/>
    <w:rsid w:val="00BE610A"/>
    <w:rsid w:val="00BF307A"/>
    <w:rsid w:val="00BF5B85"/>
    <w:rsid w:val="00C03729"/>
    <w:rsid w:val="00C13A23"/>
    <w:rsid w:val="00C16CA8"/>
    <w:rsid w:val="00C432DC"/>
    <w:rsid w:val="00C56D3C"/>
    <w:rsid w:val="00C61878"/>
    <w:rsid w:val="00C62058"/>
    <w:rsid w:val="00C6452B"/>
    <w:rsid w:val="00C704CE"/>
    <w:rsid w:val="00C7448F"/>
    <w:rsid w:val="00C75C2A"/>
    <w:rsid w:val="00C77E7A"/>
    <w:rsid w:val="00C820AA"/>
    <w:rsid w:val="00C85D7C"/>
    <w:rsid w:val="00C911F4"/>
    <w:rsid w:val="00C94E9F"/>
    <w:rsid w:val="00CD739A"/>
    <w:rsid w:val="00CF070D"/>
    <w:rsid w:val="00D10522"/>
    <w:rsid w:val="00D10937"/>
    <w:rsid w:val="00D17587"/>
    <w:rsid w:val="00D2146E"/>
    <w:rsid w:val="00D2677F"/>
    <w:rsid w:val="00D328E9"/>
    <w:rsid w:val="00D33659"/>
    <w:rsid w:val="00D35DAC"/>
    <w:rsid w:val="00D5102B"/>
    <w:rsid w:val="00D542ED"/>
    <w:rsid w:val="00D75CF5"/>
    <w:rsid w:val="00D8229B"/>
    <w:rsid w:val="00DB3D47"/>
    <w:rsid w:val="00DC026F"/>
    <w:rsid w:val="00DD1254"/>
    <w:rsid w:val="00DF57C6"/>
    <w:rsid w:val="00E44ABF"/>
    <w:rsid w:val="00E61E98"/>
    <w:rsid w:val="00E82A0C"/>
    <w:rsid w:val="00E83EF8"/>
    <w:rsid w:val="00E84598"/>
    <w:rsid w:val="00E9149A"/>
    <w:rsid w:val="00E94F4A"/>
    <w:rsid w:val="00EA4DE6"/>
    <w:rsid w:val="00EA620C"/>
    <w:rsid w:val="00EB4514"/>
    <w:rsid w:val="00EB7154"/>
    <w:rsid w:val="00EC0DDE"/>
    <w:rsid w:val="00EC6589"/>
    <w:rsid w:val="00ED02F2"/>
    <w:rsid w:val="00ED1DD4"/>
    <w:rsid w:val="00ED31B4"/>
    <w:rsid w:val="00ED6786"/>
    <w:rsid w:val="00ED79A8"/>
    <w:rsid w:val="00EE2212"/>
    <w:rsid w:val="00EE7B61"/>
    <w:rsid w:val="00F042D4"/>
    <w:rsid w:val="00F12AAE"/>
    <w:rsid w:val="00F27B16"/>
    <w:rsid w:val="00F47E5E"/>
    <w:rsid w:val="00F62FE4"/>
    <w:rsid w:val="00F63DA4"/>
    <w:rsid w:val="00F76164"/>
    <w:rsid w:val="00F8423C"/>
    <w:rsid w:val="00F85027"/>
    <w:rsid w:val="00F9576E"/>
    <w:rsid w:val="00FA39D9"/>
    <w:rsid w:val="00FB4688"/>
    <w:rsid w:val="00FB729D"/>
    <w:rsid w:val="00FC7037"/>
    <w:rsid w:val="00FD71AA"/>
    <w:rsid w:val="00FE0B61"/>
    <w:rsid w:val="00FE4045"/>
    <w:rsid w:val="00FE5129"/>
    <w:rsid w:val="00FE5A33"/>
    <w:rsid w:val="00FF2B40"/>
    <w:rsid w:val="1F1F38A5"/>
    <w:rsid w:val="209839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semiHidden/>
    <w:unhideWhenUsed/>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paragraph" w:customStyle="1" w:styleId="8">
    <w:name w:val="一般文字"/>
    <w:basedOn w:val="1"/>
    <w:qFormat/>
    <w:uiPriority w:val="0"/>
    <w:pPr>
      <w:spacing w:line="360" w:lineRule="auto"/>
      <w:ind w:firstLine="200" w:firstLineChars="200"/>
    </w:pPr>
    <w:rPr>
      <w:rFonts w:ascii="Times New Roman" w:hAnsi="Times New Roman" w:eastAsia="宋体"/>
      <w:szCs w:val="21"/>
    </w:rPr>
  </w:style>
  <w:style w:type="character" w:customStyle="1" w:styleId="9">
    <w:name w:val="页眉 字符"/>
    <w:basedOn w:val="6"/>
    <w:link w:val="4"/>
    <w:uiPriority w:val="99"/>
    <w:rPr>
      <w:sz w:val="18"/>
      <w:szCs w:val="18"/>
    </w:rPr>
  </w:style>
  <w:style w:type="character" w:customStyle="1" w:styleId="10">
    <w:name w:val="页脚 字符"/>
    <w:basedOn w:val="6"/>
    <w:link w:val="3"/>
    <w:uiPriority w:val="99"/>
    <w:rPr>
      <w:sz w:val="18"/>
      <w:szCs w:val="18"/>
    </w:rPr>
  </w:style>
  <w:style w:type="character" w:customStyle="1" w:styleId="11">
    <w:name w:val="批注框文本 字符"/>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B9C7E1-5E07-4A30-BEE2-1E270551A38C}">
  <ds:schemaRefs/>
</ds:datastoreItem>
</file>

<file path=docProps/app.xml><?xml version="1.0" encoding="utf-8"?>
<Properties xmlns="http://schemas.openxmlformats.org/officeDocument/2006/extended-properties" xmlns:vt="http://schemas.openxmlformats.org/officeDocument/2006/docPropsVTypes">
  <Template>Normal</Template>
  <Pages>5</Pages>
  <Words>2660</Words>
  <Characters>3014</Characters>
  <Lines>22</Lines>
  <Paragraphs>6</Paragraphs>
  <TotalTime>64</TotalTime>
  <ScaleCrop>false</ScaleCrop>
  <LinksUpToDate>false</LinksUpToDate>
  <CharactersWithSpaces>3068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2025-06-25T08:47:00Z</dcterms:created>
  <dc:creator>李俊楠</dc:creator>
  <cp:lastModifiedBy>骨感的理想</cp:lastModifiedBy>
  <cp:lastPrinted>2025-06-27T09:47:00Z</cp:lastPrinted>
  <dcterms:modified xsi:type="dcterms:W3CDTF">2025-08-26T10:53:44Z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IPGFID">
    <vt:lpwstr>[DocID]=EF5FF5FE-9AF1-4865-B6D9-6EDE128BE5A5</vt:lpwstr>
  </property>
  <property fmtid="{D5CDD505-2E9C-101B-9397-08002B2CF9AE}" pid="3" name="_IPGFLOW_P-BC49_E-1_FP-1_SP-1_CV-FAA131B6_CN-FB3E39F1">
    <vt:lpwstr>UQsJ3K3HR6VZ8t6KIqPoLzKtS+ekZz1wHV7WClO9mFswwwFmZX1FqAb8jTIVoI+UQmDZkduovAWPbtztKfed2cO0RIZgVD8SDGbXmZAL4md/BzAeZe1RRm3sIurAd+cg3UdToHzL1/lWXr8OfCdAG3IKI8kZFs2HXgX55+7JQ9X/aTGoRL3JfGwJ5EeaZBI5cmRxvvSi3MK16hOhl+AjhEZEjHL3Aqlv9AkCsHFYcPtEadsO6q6brj+TfxCqfBa</vt:lpwstr>
  </property>
  <property fmtid="{D5CDD505-2E9C-101B-9397-08002B2CF9AE}" pid="4" name="_IPGFLOW_P-BC49_E-1_FP-1_SP-2_CV-50BA9C87_CN-CB6D7702">
    <vt:lpwstr>rmr9DoLgsZdwo9vGl/GSprwqzplArIQeaEv/Mj3Bh/T6hgKUQ/QmtasbD7iBElH8BgioyXRwLUjqCS37Qs6eWCpFTv/qpZZwO35ANKjUKkSCwi4pmns4tRCf9GMRk9JUMzBG/UKsD9iKriSX9BKvA/ZkY+FwurU1shW48zBpKcYTdQZnIecKPHl8mrl5LwvhM3SQkk8crTOid4a2kD7x5HwK/dCTNFelE/NBrwHCgUn7p8Eg4WFI8zwXpJo52XF</vt:lpwstr>
  </property>
  <property fmtid="{D5CDD505-2E9C-101B-9397-08002B2CF9AE}" pid="5" name="_IPGFLOW_P-BC49_E-1_FP-1_SP-3_CV-6DEBAA16_CN-D13CC0F6">
    <vt:lpwstr>hrzaiHnCj9id/8Wi+Uvpf/jqFwYHejk/SkrIlIk/OxGgEfg19DnhWhf1w60gKecRSVTchzEnyBqYQc29V0Qqnye+EN8Pz5niddihhyRaj0n1w=</vt:lpwstr>
  </property>
  <property fmtid="{D5CDD505-2E9C-101B-9397-08002B2CF9AE}" pid="6" name="_IPGFLOW_P-BC49_E-0_FP-1_CV-10A935B5_CN-79FB73AE">
    <vt:lpwstr>DPSPMK|3|620|3|0</vt:lpwstr>
  </property>
  <property fmtid="{D5CDD505-2E9C-101B-9397-08002B2CF9AE}" pid="7" name="_IPGFLOW_P-BC49_E-1_FP-2_SP-1_CV-4BD27E55_CN-FCA56AD0">
    <vt:lpwstr>p35k9qaFXfVSHZzLhUJ/1Z0f+6g8Y7Vf43OYRvYeS1Is/TvYXIu9gfxgi20Zmk/NaM/n8JVFiJUin5unzHqEbSedQ8DV+qYT9AVqUKtmAHdcCKX96OqPMHnmBtYgiQ0cXg2TY0pSCDWN4vpzDqCcjs7K8CjNcmHLYXadudwREm16wrGyN4lgbRqOdu5tyShf3MBtopWiGZTExu7VNoM6zxuqMEUjSFbTsBUxBTNWCr+y2tD1kdh6peABgBNyWP0</vt:lpwstr>
  </property>
  <property fmtid="{D5CDD505-2E9C-101B-9397-08002B2CF9AE}" pid="8" name="_IPGFLOW_P-BC49_E-1_FP-2_SP-2_CV-A4FF690F_CN-3AD1B96D">
    <vt:lpwstr>RBnAYVuP759qllp25h8fyKE1mEl+mpGT5wFg2PFqAx5CAGBR5Zcon9aeUD/Kfh1Agq8nPu3hW8SCWIoF4mLSIyHW9J+hIDxEuZIO3YhhjtfmtH6y7TnAMxZhCzZ+7Obvcm8DxBvbf5CAzfNk9XLdvpnj6sUNGKudddPpx73DI5Qcmc36j0UXcjxyFEC062frqGhTFezmiagTKXV9TMSDxPmayrC1SdDtL2jRWrwQ/u4eVuZAEpvtvf3m1OCa9g0</vt:lpwstr>
  </property>
  <property fmtid="{D5CDD505-2E9C-101B-9397-08002B2CF9AE}" pid="9" name="_IPGFLOW_P-BC49_E-1_FP-2_SP-3_CV-A9EB97E1_CN-3B508136">
    <vt:lpwstr>HGMQ0jk5L5nNNm598tfqhkRzb2u8B6NK1FjH1tDQ+odnh1L372Fm9kbPxc3W8jVCuLM3G2vQSv9hCc1x2KXmfb7g==</vt:lpwstr>
  </property>
  <property fmtid="{D5CDD505-2E9C-101B-9397-08002B2CF9AE}" pid="10" name="_IPGFLOW_P-BC49_E-0_FP-2_CV-5D6194BE_CN-40716875">
    <vt:lpwstr>DPSPMK|3|600|3|0</vt:lpwstr>
  </property>
  <property fmtid="{D5CDD505-2E9C-101B-9397-08002B2CF9AE}" pid="11" name="_IPGFLOW_P-BC49_E-1_FP-3_SP-1_CV-304B1B59_CN-B9A7FC56">
    <vt:lpwstr>LZS/kbnrdkBw0I2A/1Bsdfy9wYBOlrO2/wLqqat4em2uB2KDR5AAfYxNkKgyaIa6V7sxjl1tlttM4znfqQXptnm8RfrxjNJzmQkXYKwp5wdYgHcrnIbSkIbR0zfSL0CF+drQ5L/QlN6WA/tjnSYGt3JxPav2T1P18nP6ajSOTJQ6vDHXxyUwHu8wvZ9RTqOPrCRb05nXtAXcgvbF9xA0AHgxFo/3Jeo5vJ9SiWZzpzHSfhQT1oM/OSEEJmRJ7Cq</vt:lpwstr>
  </property>
  <property fmtid="{D5CDD505-2E9C-101B-9397-08002B2CF9AE}" pid="12" name="_IPGFLOW_P-BC49_E-1_FP-3_SP-2_CV-190E4461_CN-B8357311">
    <vt:lpwstr>9b1RObb9cRIkYQ1UJoVAgkYpOpBbo90lkj+V4/ElW/LiiYTXT4ujQUBlmJbls/Ipfbj1UWZYzCWuc79TZBlErsVmyjt0JZ+OYT9z0JNUU3l1luH+ov8jkNpEKpqucxyHdzObE8C9b87QT3l6sX587goKPNBxTsFRomEh/Hd0NfG8LHvgnr6bWIugGepW9KqPcWvnmJccgMnCjFxcJhQbChhrjNLIEgvgZNAvnxufe3ZCp4F4y6j+4fmeEQWWpni</vt:lpwstr>
  </property>
  <property fmtid="{D5CDD505-2E9C-101B-9397-08002B2CF9AE}" pid="13" name="_IPGFLOW_P-BC49_E-1_FP-3_SP-3_CV-6D718D7_CN-695D5901">
    <vt:lpwstr>ZhHCdmQl3SZ7J6agJV8vGhNbyVWFJQXRA/65ZNQkclTpM3GnsqUHj2r6FSMwSepY0SQQvk23M6hZ8B3ZxgFfdsRw==</vt:lpwstr>
  </property>
  <property fmtid="{D5CDD505-2E9C-101B-9397-08002B2CF9AE}" pid="14" name="_IPGFLOW_P-BC49_E-0_FP-3_CV-5D6194BE_CN-9DE7B1F0">
    <vt:lpwstr>DPSPMK|3|600|3|0</vt:lpwstr>
  </property>
  <property fmtid="{D5CDD505-2E9C-101B-9397-08002B2CF9AE}" pid="15" name="_IPGFLOW_P-BC49_E-0_CV-8E99CE07_CN-8A8F90AC">
    <vt:lpwstr>DPFPMK|3|50|4|0</vt:lpwstr>
  </property>
  <property fmtid="{D5CDD505-2E9C-101B-9397-08002B2CF9AE}" pid="16" name="_IPGFLOW_P-BC49_E-1_FP-4_SP-1_CV-1A682036_CN-2D3CDA72">
    <vt:lpwstr>bFEsDHSkgd2dXJhDphD1pzLKjn4gFkWTb0tzHf7nRdDNVjBE/qvBKYS94rNOmqCs69uCUUSC8F4NtPy3JJVpHqvTh8/XPbGamgN49zGEKns3SLH4lrY+UcP8VvGfBdS2bNmu8Nytpn1a8bJcUM/VEZ9dTHUukWL/bwu/ZLnpaf4xfhLpPrKztoMA6Aqzw0UGZT5eNMstDIacpVFRMdsmwY7+aKEz0oXdjtrWI+2f2NFZDZ9GlX9sPtf7c/+3MS2</vt:lpwstr>
  </property>
  <property fmtid="{D5CDD505-2E9C-101B-9397-08002B2CF9AE}" pid="17" name="_IPGFLOW_P-BC49_E-1_FP-4_SP-2_CV-9603899C_CN-71B92772">
    <vt:lpwstr>VslKYSNlwm+n7QyJ0kYTt54d/Jqs+kCsvXmMuBBSRJz1W2Z5KHb68ZVLU1720GuOi0tKprT9WLyaZOJkC+FAbDc6Ns7u6QHreD3yHqYjcw3L7ysbbOjMEqyO9eJcxaYHhmvUKbmZsexwyc/pL/TU6Xbor8knlXs3aWDidlQoTJ3hBkOD22e8DO/w+2GapHaL1DxoSHhnKuGe9kMlz48HrXNlB8UNbpTzC2enX80UsYDGOTXVILiqiRHESBKfnuL</vt:lpwstr>
  </property>
  <property fmtid="{D5CDD505-2E9C-101B-9397-08002B2CF9AE}" pid="18" name="_IPGFLOW_P-BC49_E-1_FP-4_SP-3_CV-9433EA29_CN-2DB79D30">
    <vt:lpwstr>QtMPMRQAun5tP9wiBP+soHI6xgj0fUXPxdgcYDgvA4CjJhMysZ6+OhxD3Nu+kMxzU0dMDqiA8g+LKjA3KkxjCTYg==</vt:lpwstr>
  </property>
  <property fmtid="{D5CDD505-2E9C-101B-9397-08002B2CF9AE}" pid="19" name="_IPGFLOW_P-BC49_E-0_FP-4_CV-5D6194BE_CN-E094B7A8">
    <vt:lpwstr>DPSPMK|3|600|3|0</vt:lpwstr>
  </property>
  <property fmtid="{D5CDD505-2E9C-101B-9397-08002B2CF9AE}" pid="20" name="KSOTemplateDocerSaveRecord">
    <vt:lpwstr>eyJoZGlkIjoiYjdlYjUwMDM5MDYwOTNmOTk2MWZkOTNhYzAyNDc4OTMiLCJ1c2VySWQiOiIyNzcyOTMzODMifQ==</vt:lpwstr>
  </property>
  <property fmtid="{D5CDD505-2E9C-101B-9397-08002B2CF9AE}" pid="21" name="KSOProductBuildVer">
    <vt:lpwstr>2052-12.1.0.22529</vt:lpwstr>
  </property>
  <property fmtid="{D5CDD505-2E9C-101B-9397-08002B2CF9AE}" pid="22" name="ICV">
    <vt:lpwstr>88F2890CB71649B5B8634794C5964AED_12</vt:lpwstr>
  </property>
</Properties>
</file>