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4"/>
        <w:spacing w:line="440" w:lineRule="exact"/>
        <w:jc w:val="center"/>
        <w:rPr>
          <w:rFonts w:ascii="Arial" w:hAnsi="Arial" w:eastAsia="楷体_GB2312" w:cs="Arial"/>
          <w:b/>
          <w:bCs/>
          <w:color w:val="auto"/>
          <w:sz w:val="56"/>
          <w:szCs w:val="72"/>
          <w:highlight w:val="none"/>
        </w:rPr>
      </w:pPr>
    </w:p>
    <w:p w14:paraId="0B0F3DFC">
      <w:pPr>
        <w:pStyle w:val="14"/>
        <w:spacing w:line="600" w:lineRule="exact"/>
        <w:jc w:val="center"/>
        <w:rPr>
          <w:rFonts w:ascii="Arial" w:hAnsi="Arial" w:eastAsia="楷体_GB2312" w:cs="Arial"/>
          <w:b/>
          <w:bCs/>
          <w:color w:val="auto"/>
          <w:sz w:val="56"/>
          <w:szCs w:val="72"/>
          <w:highlight w:val="none"/>
        </w:rPr>
      </w:pPr>
    </w:p>
    <w:p w14:paraId="62C9B287">
      <w:pPr>
        <w:pStyle w:val="14"/>
        <w:spacing w:line="600" w:lineRule="exact"/>
        <w:jc w:val="center"/>
        <w:rPr>
          <w:rFonts w:ascii="Arial" w:hAnsi="Arial" w:eastAsia="楷体_GB2312" w:cs="Arial"/>
          <w:b/>
          <w:bCs/>
          <w:color w:val="auto"/>
          <w:sz w:val="56"/>
          <w:szCs w:val="72"/>
          <w:highlight w:val="none"/>
        </w:rPr>
      </w:pPr>
    </w:p>
    <w:p w14:paraId="6ED2D7E8">
      <w:pPr>
        <w:pStyle w:val="14"/>
        <w:spacing w:line="600" w:lineRule="exact"/>
        <w:jc w:val="center"/>
        <w:rPr>
          <w:rFonts w:ascii="Arial" w:hAnsi="Arial" w:eastAsia="楷体_GB2312" w:cs="Arial"/>
          <w:b/>
          <w:bCs/>
          <w:color w:val="auto"/>
          <w:sz w:val="56"/>
          <w:szCs w:val="72"/>
          <w:highlight w:val="none"/>
        </w:rPr>
      </w:pPr>
    </w:p>
    <w:p w14:paraId="29B1CA95">
      <w:pPr>
        <w:pStyle w:val="14"/>
        <w:spacing w:line="640" w:lineRule="exact"/>
        <w:jc w:val="center"/>
        <w:rPr>
          <w:rFonts w:ascii="Arial" w:hAnsi="Arial" w:eastAsia="楷体_GB2312" w:cs="Arial"/>
          <w:b/>
          <w:bCs/>
          <w:color w:val="auto"/>
          <w:sz w:val="56"/>
          <w:szCs w:val="72"/>
          <w:highlight w:val="none"/>
        </w:rPr>
      </w:pPr>
    </w:p>
    <w:p w14:paraId="72EABEF6">
      <w:pPr>
        <w:pStyle w:val="14"/>
        <w:spacing w:line="64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桂林市人民医院</w:t>
      </w:r>
    </w:p>
    <w:p w14:paraId="2443FEB1">
      <w:pPr>
        <w:pStyle w:val="14"/>
        <w:spacing w:line="640" w:lineRule="exact"/>
        <w:jc w:val="center"/>
        <w:rPr>
          <w:rFonts w:hint="eastAsia" w:hAnsi="宋体" w:cs="宋体"/>
          <w:b/>
          <w:bCs/>
          <w:color w:val="auto"/>
          <w:sz w:val="44"/>
          <w:szCs w:val="44"/>
          <w:highlight w:val="none"/>
          <w:lang w:val="en-US" w:eastAsia="zh-CN"/>
        </w:rPr>
      </w:pPr>
      <w:r>
        <w:rPr>
          <w:rFonts w:hint="eastAsia" w:hAnsi="宋体" w:cs="宋体"/>
          <w:b/>
          <w:bCs/>
          <w:color w:val="auto"/>
          <w:sz w:val="44"/>
          <w:szCs w:val="44"/>
          <w:highlight w:val="none"/>
          <w:lang w:val="en-US" w:eastAsia="zh-CN"/>
        </w:rPr>
        <w:t>北门社区卫生服务中心电力改造</w:t>
      </w:r>
    </w:p>
    <w:p w14:paraId="08481074">
      <w:pPr>
        <w:pStyle w:val="14"/>
        <w:spacing w:line="640" w:lineRule="exact"/>
        <w:jc w:val="center"/>
        <w:rPr>
          <w:rFonts w:hAnsi="宋体" w:cs="宋体"/>
          <w:b/>
          <w:bCs/>
          <w:color w:val="auto"/>
          <w:sz w:val="44"/>
          <w:szCs w:val="44"/>
          <w:highlight w:val="none"/>
        </w:rPr>
      </w:pPr>
      <w:r>
        <w:rPr>
          <w:rFonts w:hint="eastAsia" w:hAnsi="宋体" w:cs="宋体"/>
          <w:b/>
          <w:bCs/>
          <w:color w:val="auto"/>
          <w:sz w:val="44"/>
          <w:szCs w:val="44"/>
          <w:highlight w:val="none"/>
          <w:lang w:val="en-US" w:eastAsia="zh-CN"/>
        </w:rPr>
        <w:t>及新增发电机组工程</w:t>
      </w:r>
      <w:r>
        <w:rPr>
          <w:rFonts w:hint="eastAsia" w:hAnsi="宋体" w:cs="宋体"/>
          <w:b/>
          <w:bCs/>
          <w:color w:val="auto"/>
          <w:sz w:val="44"/>
          <w:szCs w:val="44"/>
          <w:highlight w:val="none"/>
        </w:rPr>
        <w:t>招标文件</w:t>
      </w:r>
    </w:p>
    <w:p w14:paraId="4FABEEFB">
      <w:pPr>
        <w:pStyle w:val="14"/>
        <w:spacing w:line="440" w:lineRule="exact"/>
        <w:jc w:val="center"/>
        <w:rPr>
          <w:rFonts w:ascii="Arial" w:hAnsi="Arial" w:eastAsia="楷体_GB2312" w:cs="Arial"/>
          <w:b/>
          <w:bCs/>
          <w:color w:val="auto"/>
          <w:sz w:val="24"/>
          <w:szCs w:val="24"/>
          <w:highlight w:val="none"/>
        </w:rPr>
      </w:pPr>
    </w:p>
    <w:p w14:paraId="11FBFFE8">
      <w:pPr>
        <w:pStyle w:val="14"/>
        <w:spacing w:line="440" w:lineRule="exact"/>
        <w:ind w:firstLine="2695"/>
        <w:rPr>
          <w:rFonts w:ascii="Arial" w:hAnsi="Arial" w:cs="Arial"/>
          <w:color w:val="auto"/>
          <w:sz w:val="24"/>
          <w:szCs w:val="24"/>
          <w:highlight w:val="none"/>
        </w:rPr>
      </w:pPr>
    </w:p>
    <w:p w14:paraId="0B953044">
      <w:pPr>
        <w:pStyle w:val="14"/>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75695107">
      <w:pPr>
        <w:pStyle w:val="14"/>
        <w:spacing w:line="440" w:lineRule="exact"/>
        <w:ind w:firstLine="2695"/>
        <w:rPr>
          <w:rFonts w:ascii="Arial" w:hAnsi="Arial" w:cs="Arial"/>
          <w:color w:val="auto"/>
          <w:sz w:val="28"/>
          <w:highlight w:val="none"/>
        </w:rPr>
      </w:pPr>
    </w:p>
    <w:p w14:paraId="64567FD0">
      <w:pPr>
        <w:pStyle w:val="14"/>
        <w:spacing w:line="440" w:lineRule="exact"/>
        <w:ind w:firstLine="2695"/>
        <w:rPr>
          <w:rFonts w:ascii="Arial" w:hAnsi="Arial" w:cs="Arial"/>
          <w:color w:val="auto"/>
          <w:sz w:val="28"/>
          <w:highlight w:val="none"/>
        </w:rPr>
      </w:pPr>
    </w:p>
    <w:p w14:paraId="65723B95">
      <w:pPr>
        <w:pStyle w:val="14"/>
        <w:spacing w:line="440" w:lineRule="exact"/>
        <w:ind w:firstLine="2695"/>
        <w:rPr>
          <w:rFonts w:ascii="Arial" w:hAnsi="Arial" w:cs="Arial"/>
          <w:color w:val="auto"/>
          <w:sz w:val="28"/>
          <w:highlight w:val="none"/>
        </w:rPr>
      </w:pPr>
    </w:p>
    <w:p w14:paraId="6A64A7FB">
      <w:pPr>
        <w:pStyle w:val="14"/>
        <w:spacing w:line="440" w:lineRule="exact"/>
        <w:ind w:firstLine="2695"/>
        <w:rPr>
          <w:rFonts w:ascii="Arial" w:hAnsi="Arial" w:cs="Arial"/>
          <w:color w:val="auto"/>
          <w:sz w:val="28"/>
          <w:highlight w:val="none"/>
        </w:rPr>
      </w:pPr>
    </w:p>
    <w:p w14:paraId="328D34C1">
      <w:pPr>
        <w:pStyle w:val="14"/>
        <w:spacing w:line="440" w:lineRule="exact"/>
        <w:rPr>
          <w:rFonts w:ascii="Arial" w:hAnsi="Arial" w:cs="Arial"/>
          <w:color w:val="auto"/>
          <w:sz w:val="28"/>
          <w:highlight w:val="none"/>
        </w:rPr>
      </w:pPr>
    </w:p>
    <w:p w14:paraId="6E2DB184">
      <w:pPr>
        <w:pStyle w:val="14"/>
        <w:spacing w:line="440" w:lineRule="exact"/>
        <w:rPr>
          <w:rFonts w:ascii="Arial" w:hAnsi="Arial" w:cs="Arial"/>
          <w:color w:val="auto"/>
          <w:sz w:val="28"/>
          <w:highlight w:val="none"/>
        </w:rPr>
      </w:pPr>
    </w:p>
    <w:p w14:paraId="6A001A40">
      <w:pPr>
        <w:pStyle w:val="7"/>
        <w:rPr>
          <w:rFonts w:ascii="Arial" w:hAnsi="Arial" w:cs="Arial"/>
          <w:color w:val="auto"/>
          <w:sz w:val="28"/>
          <w:highlight w:val="none"/>
        </w:rPr>
      </w:pPr>
    </w:p>
    <w:p w14:paraId="20FBE87C">
      <w:pPr>
        <w:rPr>
          <w:rFonts w:ascii="Arial" w:hAnsi="Arial" w:cs="Arial"/>
          <w:color w:val="auto"/>
          <w:sz w:val="28"/>
          <w:highlight w:val="none"/>
        </w:rPr>
      </w:pPr>
    </w:p>
    <w:p w14:paraId="7B12B1B6">
      <w:pPr>
        <w:rPr>
          <w:rFonts w:ascii="Arial" w:hAnsi="Arial" w:cs="Arial"/>
          <w:color w:val="auto"/>
          <w:sz w:val="28"/>
          <w:highlight w:val="none"/>
        </w:rPr>
      </w:pPr>
    </w:p>
    <w:p w14:paraId="17389D10">
      <w:pPr>
        <w:rPr>
          <w:color w:val="auto"/>
          <w:highlight w:val="none"/>
        </w:rPr>
      </w:pPr>
    </w:p>
    <w:p w14:paraId="71EE31B9">
      <w:pPr>
        <w:rPr>
          <w:rFonts w:ascii="Arial" w:hAnsi="Arial" w:cs="Arial"/>
          <w:color w:val="auto"/>
          <w:sz w:val="28"/>
          <w:highlight w:val="none"/>
        </w:rPr>
      </w:pPr>
    </w:p>
    <w:p w14:paraId="59F667EA">
      <w:pPr>
        <w:pStyle w:val="14"/>
        <w:spacing w:line="440" w:lineRule="exact"/>
        <w:rPr>
          <w:rFonts w:ascii="Arial" w:hAnsi="Arial" w:cs="Arial"/>
          <w:color w:val="auto"/>
          <w:sz w:val="28"/>
          <w:highlight w:val="none"/>
        </w:rPr>
      </w:pPr>
    </w:p>
    <w:p w14:paraId="5CFD5073">
      <w:pPr>
        <w:pStyle w:val="14"/>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r>
        <w:rPr>
          <w:rFonts w:hint="eastAsia" w:hAnsi="宋体" w:cs="宋体"/>
          <w:b/>
          <w:bCs/>
          <w:color w:val="auto"/>
          <w:sz w:val="36"/>
          <w:szCs w:val="36"/>
          <w:highlight w:val="none"/>
          <w:lang w:val="en-US" w:eastAsia="zh-CN"/>
        </w:rPr>
        <w:t>9</w:t>
      </w:r>
      <w:r>
        <w:rPr>
          <w:rFonts w:hint="eastAsia" w:hAnsi="宋体" w:cs="宋体"/>
          <w:b/>
          <w:bCs/>
          <w:color w:val="auto"/>
          <w:sz w:val="36"/>
          <w:szCs w:val="36"/>
          <w:highlight w:val="none"/>
        </w:rPr>
        <w:t xml:space="preserve">月 </w:t>
      </w:r>
    </w:p>
    <w:p w14:paraId="7D0440D0">
      <w:pPr>
        <w:pStyle w:val="14"/>
        <w:spacing w:line="440" w:lineRule="exact"/>
        <w:jc w:val="center"/>
        <w:rPr>
          <w:rFonts w:hAnsi="宋体" w:cs="宋体"/>
          <w:b/>
          <w:bCs/>
          <w:color w:val="auto"/>
          <w:sz w:val="36"/>
          <w:szCs w:val="36"/>
          <w:highlight w:val="none"/>
        </w:rPr>
      </w:pPr>
    </w:p>
    <w:p w14:paraId="27376120">
      <w:pPr>
        <w:pStyle w:val="14"/>
        <w:spacing w:line="440" w:lineRule="exact"/>
        <w:rPr>
          <w:rFonts w:hAnsi="宋体" w:cs="宋体"/>
          <w:b/>
          <w:bCs/>
          <w:color w:val="auto"/>
          <w:sz w:val="36"/>
          <w:szCs w:val="36"/>
          <w:highlight w:val="none"/>
        </w:rPr>
      </w:pPr>
    </w:p>
    <w:p w14:paraId="1295E251">
      <w:pPr>
        <w:pStyle w:val="26"/>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1B18012A">
      <w:pPr>
        <w:spacing w:line="440" w:lineRule="exact"/>
        <w:rPr>
          <w:color w:val="auto"/>
          <w:highlight w:val="none"/>
        </w:rPr>
      </w:pPr>
    </w:p>
    <w:p w14:paraId="02F16388">
      <w:pPr>
        <w:pStyle w:val="13"/>
        <w:tabs>
          <w:tab w:val="right" w:leader="dot" w:pos="9628"/>
        </w:tabs>
        <w:spacing w:line="5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24"/>
          <w:rFonts w:ascii="Arial" w:cs="Arial"/>
          <w:color w:val="auto"/>
          <w:sz w:val="24"/>
          <w:highlight w:val="none"/>
        </w:rPr>
        <w:t>第一章</w:t>
      </w:r>
      <w:r>
        <w:rPr>
          <w:rStyle w:val="24"/>
          <w:rFonts w:hint="eastAsia" w:ascii="Arial" w:cs="Arial"/>
          <w:color w:val="auto"/>
          <w:sz w:val="24"/>
          <w:highlight w:val="none"/>
        </w:rPr>
        <w:t xml:space="preserve">  招标</w:t>
      </w:r>
      <w:r>
        <w:rPr>
          <w:rStyle w:val="24"/>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0183FF86">
      <w:pPr>
        <w:pStyle w:val="13"/>
        <w:tabs>
          <w:tab w:val="right" w:leader="dot" w:pos="9628"/>
        </w:tabs>
        <w:spacing w:line="540" w:lineRule="exact"/>
        <w:ind w:left="0" w:leftChars="0"/>
        <w:rPr>
          <w:rFonts w:ascii="Arial" w:hAnsi="Arial" w:cs="Arial"/>
          <w:color w:val="auto"/>
          <w:sz w:val="24"/>
          <w:highlight w:val="none"/>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4"/>
          <w:rFonts w:ascii="Arial" w:cs="Arial"/>
          <w:color w:val="auto"/>
          <w:sz w:val="24"/>
          <w:highlight w:val="none"/>
        </w:rPr>
        <w:t>第</w:t>
      </w:r>
      <w:r>
        <w:rPr>
          <w:rStyle w:val="24"/>
          <w:rFonts w:hint="eastAsia" w:ascii="Arial" w:cs="Arial"/>
          <w:color w:val="auto"/>
          <w:sz w:val="24"/>
          <w:highlight w:val="none"/>
        </w:rPr>
        <w:t>二</w:t>
      </w:r>
      <w:r>
        <w:rPr>
          <w:rStyle w:val="24"/>
          <w:rFonts w:ascii="Arial" w:cs="Arial"/>
          <w:color w:val="auto"/>
          <w:sz w:val="24"/>
          <w:highlight w:val="none"/>
        </w:rPr>
        <w:t>章</w:t>
      </w:r>
      <w:r>
        <w:rPr>
          <w:rStyle w:val="24"/>
          <w:rFonts w:hint="eastAsia" w:ascii="Arial" w:cs="Arial"/>
          <w:color w:val="auto"/>
          <w:sz w:val="24"/>
          <w:highlight w:val="none"/>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6</w:t>
      </w:r>
    </w:p>
    <w:p w14:paraId="3FEE641D">
      <w:pPr>
        <w:pStyle w:val="13"/>
        <w:tabs>
          <w:tab w:val="right" w:leader="dot" w:pos="9628"/>
        </w:tabs>
        <w:spacing w:line="540" w:lineRule="exact"/>
        <w:ind w:left="0" w:leftChars="0"/>
        <w:rPr>
          <w:rStyle w:val="24"/>
          <w:rFonts w:ascii="Arial" w:cs="Arial"/>
          <w:color w:val="auto"/>
          <w:sz w:val="24"/>
          <w:highlight w:val="none"/>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4"/>
          <w:rFonts w:ascii="Arial" w:cs="Arial"/>
          <w:color w:val="auto"/>
          <w:sz w:val="24"/>
          <w:highlight w:val="none"/>
        </w:rPr>
        <w:t>第</w:t>
      </w:r>
      <w:r>
        <w:rPr>
          <w:rStyle w:val="24"/>
          <w:rFonts w:hint="eastAsia" w:ascii="Arial" w:cs="Arial"/>
          <w:color w:val="auto"/>
          <w:sz w:val="24"/>
          <w:highlight w:val="none"/>
        </w:rPr>
        <w:t>三</w:t>
      </w:r>
      <w:r>
        <w:rPr>
          <w:rStyle w:val="24"/>
          <w:rFonts w:ascii="Arial" w:cs="Arial"/>
          <w:color w:val="auto"/>
          <w:sz w:val="24"/>
          <w:highlight w:val="none"/>
        </w:rPr>
        <w:t>章</w:t>
      </w:r>
      <w:r>
        <w:rPr>
          <w:rStyle w:val="24"/>
          <w:rFonts w:hint="eastAsia" w:ascii="Arial" w:cs="Arial"/>
          <w:color w:val="auto"/>
          <w:sz w:val="24"/>
          <w:highlight w:val="none"/>
        </w:rPr>
        <w:t xml:space="preserve">  合同主要条款</w:t>
      </w:r>
      <w:r>
        <w:rPr>
          <w:rFonts w:ascii="Arial" w:hAnsi="Arial" w:cs="Arial"/>
          <w:color w:val="auto"/>
          <w:sz w:val="24"/>
          <w:highlight w:val="none"/>
        </w:rPr>
        <w:tab/>
      </w:r>
      <w:r>
        <w:rPr>
          <w:rFonts w:hint="eastAsia" w:ascii="Arial" w:hAnsi="Arial" w:cs="Arial"/>
          <w:color w:val="auto"/>
          <w:sz w:val="24"/>
          <w:highlight w:val="none"/>
        </w:rPr>
        <w:t>8</w:t>
      </w:r>
    </w:p>
    <w:p w14:paraId="3783925C">
      <w:pPr>
        <w:pStyle w:val="13"/>
        <w:tabs>
          <w:tab w:val="right" w:leader="dot" w:pos="9628"/>
        </w:tabs>
        <w:spacing w:line="540" w:lineRule="exact"/>
        <w:ind w:left="0" w:leftChars="0"/>
        <w:rPr>
          <w:rFonts w:hint="eastAsia" w:eastAsia="宋体"/>
          <w:color w:val="auto"/>
          <w:highlight w:val="none"/>
          <w:lang w:eastAsia="zh-CN"/>
        </w:rPr>
      </w:pPr>
      <w:r>
        <w:rPr>
          <w:rFonts w:hint="eastAsia" w:ascii="Arial" w:hAnsi="Arial" w:cs="Arial"/>
          <w:color w:val="auto"/>
          <w:sz w:val="24"/>
          <w:highlight w:val="none"/>
        </w:rPr>
        <w:t>第四章  投标文件格式</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rPr>
        <w:t>1</w:t>
      </w:r>
      <w:r>
        <w:rPr>
          <w:rFonts w:hint="eastAsia" w:ascii="Arial" w:hAnsi="Arial" w:cs="Arial"/>
          <w:color w:val="auto"/>
          <w:sz w:val="24"/>
          <w:highlight w:val="none"/>
          <w:lang w:val="en-US" w:eastAsia="zh-CN"/>
        </w:rPr>
        <w:t>5</w:t>
      </w:r>
    </w:p>
    <w:p w14:paraId="4D929462">
      <w:pPr>
        <w:pStyle w:val="13"/>
        <w:tabs>
          <w:tab w:val="right" w:leader="dot" w:pos="9628"/>
        </w:tabs>
        <w:spacing w:line="540" w:lineRule="exact"/>
        <w:ind w:left="0" w:leftChars="0"/>
        <w:rPr>
          <w:rFonts w:hint="default" w:ascii="Arial" w:hAnsi="Arial" w:eastAsia="宋体" w:cs="Arial"/>
          <w:color w:val="auto"/>
          <w:sz w:val="24"/>
          <w:highlight w:val="none"/>
          <w:lang w:val="en-US" w:eastAsia="zh-CN"/>
        </w:rPr>
      </w:pPr>
      <w:r>
        <w:rPr>
          <w:rFonts w:hint="eastAsia" w:ascii="Arial" w:hAnsi="Arial" w:cs="Arial"/>
          <w:color w:val="auto"/>
          <w:sz w:val="24"/>
          <w:highlight w:val="none"/>
        </w:rPr>
        <w:t>第五章  工程量清单说明</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31</w:t>
      </w:r>
    </w:p>
    <w:p w14:paraId="0B535FF4">
      <w:pPr>
        <w:pStyle w:val="13"/>
        <w:tabs>
          <w:tab w:val="right" w:leader="dot" w:pos="9628"/>
        </w:tabs>
        <w:spacing w:line="540" w:lineRule="exact"/>
        <w:ind w:left="0" w:leftChars="0"/>
        <w:rPr>
          <w:rFonts w:hint="eastAsia"/>
          <w:color w:val="auto"/>
          <w:highlight w:val="none"/>
          <w:lang w:val="en-US" w:eastAsia="zh-CN"/>
        </w:rPr>
      </w:pPr>
      <w:r>
        <w:rPr>
          <w:rFonts w:hint="eastAsia" w:ascii="Arial" w:hAnsi="Arial" w:cs="Arial"/>
          <w:color w:val="auto"/>
          <w:sz w:val="24"/>
          <w:highlight w:val="none"/>
        </w:rPr>
        <w:fldChar w:fldCharType="begin"/>
      </w:r>
      <w:r>
        <w:rPr>
          <w:rFonts w:hint="eastAsia" w:ascii="Arial" w:hAnsi="Arial" w:cs="Arial"/>
          <w:color w:val="auto"/>
          <w:sz w:val="24"/>
          <w:highlight w:val="none"/>
        </w:rPr>
        <w:instrText xml:space="preserve"> HYPERLINK \l "_Toc33820536" </w:instrText>
      </w:r>
      <w:r>
        <w:rPr>
          <w:rFonts w:hint="eastAsia" w:ascii="Arial" w:hAnsi="Arial" w:cs="Arial"/>
          <w:color w:val="auto"/>
          <w:sz w:val="24"/>
          <w:highlight w:val="none"/>
        </w:rPr>
        <w:fldChar w:fldCharType="separate"/>
      </w:r>
      <w:r>
        <w:rPr>
          <w:rFonts w:hint="eastAsia" w:ascii="Arial" w:hAnsi="Arial" w:cs="Arial"/>
          <w:color w:val="auto"/>
          <w:sz w:val="24"/>
          <w:highlight w:val="none"/>
        </w:rPr>
        <w:t>第六章  图纸（另附）</w:t>
      </w:r>
      <w:r>
        <w:rPr>
          <w:rFonts w:hint="eastAsia" w:ascii="Arial" w:hAnsi="Arial" w:cs="Arial"/>
          <w:color w:val="auto"/>
          <w:sz w:val="24"/>
          <w:highlight w:val="none"/>
        </w:rPr>
        <w:tab/>
      </w:r>
      <w:r>
        <w:rPr>
          <w:rFonts w:hint="eastAsia" w:ascii="Arial" w:hAnsi="Arial" w:cs="Arial"/>
          <w:color w:val="auto"/>
          <w:sz w:val="24"/>
          <w:highlight w:val="none"/>
        </w:rPr>
        <w:fldChar w:fldCharType="end"/>
      </w:r>
      <w:r>
        <w:rPr>
          <w:rFonts w:hint="eastAsia" w:ascii="Arial" w:hAnsi="Arial" w:cs="Arial"/>
          <w:color w:val="auto"/>
          <w:sz w:val="24"/>
          <w:highlight w:val="none"/>
          <w:lang w:val="en-US" w:eastAsia="zh-CN"/>
        </w:rPr>
        <w:t>38</w:t>
      </w:r>
    </w:p>
    <w:p w14:paraId="34E404E8">
      <w:pPr>
        <w:pStyle w:val="13"/>
        <w:tabs>
          <w:tab w:val="right" w:leader="dot" w:pos="9628"/>
        </w:tabs>
        <w:spacing w:line="540" w:lineRule="exact"/>
        <w:ind w:left="0" w:leftChars="0"/>
        <w:rPr>
          <w:rFonts w:hint="eastAsia" w:ascii="Arial" w:hAnsi="Arial" w:cs="Arial"/>
          <w:color w:val="auto"/>
          <w:sz w:val="24"/>
          <w:highlight w:val="none"/>
        </w:rPr>
      </w:pPr>
      <w:r>
        <w:rPr>
          <w:rFonts w:hint="eastAsia" w:ascii="Arial" w:hAnsi="Arial" w:cs="Arial"/>
          <w:color w:val="auto"/>
          <w:sz w:val="24"/>
          <w:highlight w:val="none"/>
        </w:rPr>
        <w:t>第</w:t>
      </w:r>
      <w:r>
        <w:rPr>
          <w:rFonts w:hint="eastAsia" w:ascii="Arial" w:hAnsi="Arial" w:cs="Arial"/>
          <w:color w:val="auto"/>
          <w:sz w:val="24"/>
          <w:highlight w:val="none"/>
          <w:lang w:val="en-US" w:eastAsia="zh-CN"/>
        </w:rPr>
        <w:t>七</w:t>
      </w:r>
      <w:r>
        <w:rPr>
          <w:rFonts w:hint="eastAsia" w:ascii="Arial" w:hAnsi="Arial" w:cs="Arial"/>
          <w:color w:val="auto"/>
          <w:sz w:val="24"/>
          <w:highlight w:val="none"/>
        </w:rPr>
        <w:t>章 技术标准</w:t>
      </w:r>
      <w:r>
        <w:rPr>
          <w:rFonts w:hint="eastAsia" w:ascii="Arial" w:hAnsi="Arial" w:cs="Arial"/>
          <w:color w:val="auto"/>
          <w:sz w:val="24"/>
          <w:highlight w:val="none"/>
        </w:rPr>
        <w:fldChar w:fldCharType="begin"/>
      </w:r>
      <w:r>
        <w:rPr>
          <w:rFonts w:hint="eastAsia" w:ascii="Arial" w:hAnsi="Arial" w:cs="Arial"/>
          <w:color w:val="auto"/>
          <w:sz w:val="24"/>
          <w:highlight w:val="none"/>
        </w:rPr>
        <w:instrText xml:space="preserve"> HYPERLINK \l "_Toc33820536" </w:instrText>
      </w:r>
      <w:r>
        <w:rPr>
          <w:rFonts w:hint="eastAsia" w:ascii="Arial" w:hAnsi="Arial" w:cs="Arial"/>
          <w:color w:val="auto"/>
          <w:sz w:val="24"/>
          <w:highlight w:val="none"/>
        </w:rPr>
        <w:fldChar w:fldCharType="separate"/>
      </w:r>
      <w:r>
        <w:rPr>
          <w:rFonts w:hint="eastAsia" w:ascii="Arial" w:hAnsi="Arial" w:cs="Arial"/>
          <w:color w:val="auto"/>
          <w:sz w:val="24"/>
          <w:highlight w:val="none"/>
        </w:rPr>
        <w:tab/>
      </w:r>
      <w:r>
        <w:rPr>
          <w:rFonts w:hint="eastAsia" w:ascii="Arial" w:hAnsi="Arial" w:cs="Arial"/>
          <w:color w:val="auto"/>
          <w:sz w:val="24"/>
          <w:highlight w:val="none"/>
        </w:rPr>
        <w:fldChar w:fldCharType="end"/>
      </w:r>
      <w:r>
        <w:rPr>
          <w:rFonts w:hint="eastAsia" w:ascii="Arial" w:hAnsi="Arial" w:cs="Arial"/>
          <w:color w:val="auto"/>
          <w:sz w:val="24"/>
          <w:highlight w:val="none"/>
          <w:lang w:val="en-US" w:eastAsia="zh-CN"/>
        </w:rPr>
        <w:t>39</w:t>
      </w:r>
    </w:p>
    <w:p w14:paraId="6471E776">
      <w:pPr>
        <w:rPr>
          <w:color w:val="auto"/>
          <w:highlight w:val="none"/>
        </w:rPr>
      </w:pPr>
    </w:p>
    <w:p w14:paraId="1CA7F298">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721268E3">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74ECB18">
      <w:pPr>
        <w:pStyle w:val="3"/>
        <w:jc w:val="center"/>
        <w:rPr>
          <w:color w:val="auto"/>
          <w:highlight w:val="none"/>
        </w:rPr>
      </w:pPr>
      <w:r>
        <w:rPr>
          <w:rFonts w:hint="eastAsia"/>
          <w:color w:val="auto"/>
          <w:sz w:val="32"/>
          <w:szCs w:val="32"/>
          <w:highlight w:val="none"/>
        </w:rPr>
        <w:t>第一章  招标公告</w:t>
      </w:r>
    </w:p>
    <w:p w14:paraId="34D230A9">
      <w:pPr>
        <w:pStyle w:val="27"/>
        <w:spacing w:line="480" w:lineRule="exact"/>
        <w:rPr>
          <w:color w:val="auto"/>
          <w:sz w:val="24"/>
          <w:szCs w:val="24"/>
          <w:highlight w:val="none"/>
        </w:rPr>
      </w:pPr>
    </w:p>
    <w:p w14:paraId="7EA18E2B">
      <w:pPr>
        <w:pStyle w:val="27"/>
        <w:pageBreakBefore w:val="0"/>
        <w:widowControl w:val="0"/>
        <w:tabs>
          <w:tab w:val="left" w:pos="8960"/>
        </w:tabs>
        <w:kinsoku/>
        <w:wordWrap/>
        <w:overflowPunct/>
        <w:topLinePunct w:val="0"/>
        <w:autoSpaceDE/>
        <w:autoSpaceDN/>
        <w:bidi w:val="0"/>
        <w:adjustRightInd/>
        <w:snapToGrid/>
        <w:spacing w:line="440" w:lineRule="exact"/>
        <w:ind w:firstLine="512" w:firstLineChars="200"/>
        <w:jc w:val="left"/>
        <w:textAlignment w:val="auto"/>
        <w:rPr>
          <w:color w:val="auto"/>
          <w:sz w:val="24"/>
          <w:szCs w:val="24"/>
          <w:highlight w:val="none"/>
        </w:rPr>
      </w:pPr>
      <w:r>
        <w:rPr>
          <w:rFonts w:hint="eastAsia"/>
          <w:color w:val="auto"/>
          <w:spacing w:val="8"/>
          <w:sz w:val="24"/>
          <w:szCs w:val="24"/>
          <w:highlight w:val="none"/>
          <w:lang w:eastAsia="zh-CN"/>
        </w:rPr>
        <w:t>桂林市人民医院拟对</w:t>
      </w:r>
      <w:r>
        <w:rPr>
          <w:rFonts w:hint="eastAsia"/>
          <w:color w:val="auto"/>
          <w:spacing w:val="-6"/>
          <w:sz w:val="24"/>
          <w:szCs w:val="24"/>
          <w:highlight w:val="none"/>
          <w:lang w:eastAsia="zh-CN"/>
        </w:rPr>
        <w:t>自筹资金</w:t>
      </w:r>
      <w:r>
        <w:rPr>
          <w:rFonts w:hint="eastAsia"/>
          <w:b w:val="0"/>
          <w:bCs w:val="0"/>
          <w:color w:val="auto"/>
          <w:sz w:val="24"/>
          <w:szCs w:val="24"/>
          <w:highlight w:val="none"/>
          <w:lang w:val="en-US" w:eastAsia="zh-CN"/>
        </w:rPr>
        <w:t>北门社区卫生服务中心电力改造及新增发电机组工程</w:t>
      </w:r>
      <w:r>
        <w:rPr>
          <w:rFonts w:hint="eastAsia"/>
          <w:color w:val="auto"/>
          <w:sz w:val="24"/>
          <w:szCs w:val="24"/>
          <w:highlight w:val="none"/>
          <w:lang w:eastAsia="zh-CN"/>
        </w:rPr>
        <w:t>进行院内公开招标</w:t>
      </w:r>
      <w:r>
        <w:rPr>
          <w:rFonts w:hint="eastAsia"/>
          <w:color w:val="auto"/>
          <w:spacing w:val="8"/>
          <w:sz w:val="24"/>
          <w:szCs w:val="24"/>
          <w:highlight w:val="none"/>
        </w:rPr>
        <w:t>，</w:t>
      </w:r>
      <w:r>
        <w:rPr>
          <w:rFonts w:hint="eastAsia"/>
          <w:color w:val="auto"/>
          <w:spacing w:val="7"/>
          <w:sz w:val="24"/>
          <w:szCs w:val="24"/>
          <w:highlight w:val="none"/>
        </w:rPr>
        <w:t>现将有关事项公告如下：</w:t>
      </w:r>
    </w:p>
    <w:p w14:paraId="16D81277">
      <w:pPr>
        <w:pStyle w:val="4"/>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Cs/>
          <w:color w:val="auto"/>
          <w:sz w:val="24"/>
          <w:highlight w:val="none"/>
        </w:rPr>
      </w:pPr>
      <w:r>
        <w:rPr>
          <w:rFonts w:ascii="宋体" w:hAnsi="宋体" w:cs="宋体"/>
          <w:bCs/>
          <w:color w:val="auto"/>
          <w:sz w:val="24"/>
          <w:highlight w:val="none"/>
        </w:rPr>
        <w:t xml:space="preserve"> </w:t>
      </w:r>
      <w:r>
        <w:rPr>
          <w:rFonts w:hint="eastAsia" w:ascii="宋体" w:hAnsi="宋体" w:eastAsia="宋体" w:cs="宋体"/>
          <w:bCs/>
          <w:color w:val="auto"/>
          <w:sz w:val="24"/>
          <w:highlight w:val="none"/>
        </w:rPr>
        <w:t xml:space="preserve">  </w:t>
      </w:r>
      <w:bookmarkStart w:id="0" w:name="_Toc20773"/>
      <w:r>
        <w:rPr>
          <w:rFonts w:hint="eastAsia" w:ascii="宋体" w:hAnsi="宋体" w:eastAsia="宋体" w:cs="宋体"/>
          <w:bCs/>
          <w:color w:val="auto"/>
          <w:sz w:val="24"/>
          <w:highlight w:val="none"/>
        </w:rPr>
        <w:t>一、项目基本情况</w:t>
      </w:r>
      <w:bookmarkEnd w:id="0"/>
    </w:p>
    <w:p w14:paraId="7A49290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BZK</w:t>
      </w:r>
      <w:r>
        <w:rPr>
          <w:rFonts w:hint="eastAsia" w:ascii="宋体" w:hAnsi="宋体" w:cs="宋体"/>
          <w:color w:val="auto"/>
          <w:sz w:val="24"/>
          <w:highlight w:val="none"/>
        </w:rPr>
        <w:t>-2025-0</w:t>
      </w:r>
      <w:r>
        <w:rPr>
          <w:rFonts w:hint="eastAsia" w:ascii="宋体" w:hAnsi="宋体" w:cs="宋体"/>
          <w:color w:val="auto"/>
          <w:sz w:val="24"/>
          <w:highlight w:val="none"/>
          <w:lang w:val="en-US" w:eastAsia="zh-CN"/>
        </w:rPr>
        <w:t>27</w:t>
      </w:r>
    </w:p>
    <w:p w14:paraId="63B814E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2.项目名称：桂林市人民医院</w:t>
      </w:r>
      <w:r>
        <w:rPr>
          <w:rFonts w:hint="eastAsia"/>
          <w:b w:val="0"/>
          <w:bCs w:val="0"/>
          <w:color w:val="auto"/>
          <w:sz w:val="24"/>
          <w:szCs w:val="24"/>
          <w:highlight w:val="none"/>
          <w:lang w:val="en-US" w:eastAsia="zh-CN"/>
        </w:rPr>
        <w:t>北门社区卫生服务中心电力改造及新增发电机组工程</w:t>
      </w:r>
    </w:p>
    <w:p w14:paraId="28062168">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3.招标方式：公开招标</w:t>
      </w:r>
    </w:p>
    <w:p w14:paraId="0E3C5D9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预算控制价（元）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叁拾陆万壹仟贰佰壹拾陆元叁角</w:t>
      </w:r>
      <w:r>
        <w:rPr>
          <w:rFonts w:hint="eastAsia" w:ascii="宋体" w:hAnsi="宋体" w:cs="宋体"/>
          <w:color w:val="auto"/>
          <w:szCs w:val="21"/>
          <w:highlight w:val="none"/>
        </w:rPr>
        <w:t>肆</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w:t>
      </w:r>
      <w:r>
        <w:rPr>
          <w:rFonts w:hint="eastAsia"/>
          <w:b w:val="0"/>
          <w:bCs w:val="0"/>
          <w:color w:val="auto"/>
          <w:sz w:val="24"/>
          <w:szCs w:val="24"/>
          <w:highlight w:val="none"/>
          <w:lang w:val="en-US" w:eastAsia="zh-CN"/>
        </w:rPr>
        <w:t>361216.34元），</w:t>
      </w:r>
      <w:r>
        <w:rPr>
          <w:rFonts w:hint="eastAsia" w:ascii="宋体" w:hAnsi="宋体" w:cs="宋体"/>
          <w:color w:val="auto"/>
          <w:sz w:val="24"/>
          <w:highlight w:val="none"/>
        </w:rPr>
        <w:t>其中暂列金：</w:t>
      </w:r>
      <w:r>
        <w:rPr>
          <w:rFonts w:hint="eastAsia" w:ascii="宋体" w:hAnsi="宋体" w:cs="宋体"/>
          <w:color w:val="auto"/>
          <w:sz w:val="24"/>
          <w:highlight w:val="none"/>
          <w:lang w:val="en-US" w:eastAsia="zh-CN"/>
        </w:rPr>
        <w:t>叁万叁仟柒佰柒拾捌元伍角陆分（</w:t>
      </w:r>
      <w:r>
        <w:rPr>
          <w:rFonts w:hint="eastAsia" w:ascii="宋体" w:hAnsi="宋体" w:cs="宋体"/>
          <w:color w:val="auto"/>
          <w:szCs w:val="21"/>
          <w:highlight w:val="none"/>
        </w:rPr>
        <w:t>¥</w:t>
      </w:r>
      <w:r>
        <w:rPr>
          <w:rFonts w:hint="eastAsia"/>
          <w:b w:val="0"/>
          <w:bCs w:val="0"/>
          <w:color w:val="auto"/>
          <w:sz w:val="24"/>
          <w:szCs w:val="24"/>
          <w:highlight w:val="none"/>
          <w:lang w:val="en-US" w:eastAsia="zh-CN"/>
        </w:rPr>
        <w:t>33778.56元）。</w:t>
      </w:r>
    </w:p>
    <w:p w14:paraId="00CF7D04">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5.主要建设内容：北门社区服务中心电力改造并新增400kW柴油发电机组。如需进一步了解</w:t>
      </w:r>
      <w:r>
        <w:rPr>
          <w:rFonts w:hint="eastAsia" w:ascii="宋体" w:hAnsi="宋体" w:cs="宋体"/>
          <w:color w:val="auto"/>
          <w:sz w:val="24"/>
          <w:highlight w:val="none"/>
        </w:rPr>
        <w:t>详细内容，详见招标文件</w:t>
      </w:r>
      <w:r>
        <w:rPr>
          <w:rFonts w:hint="eastAsia" w:ascii="宋体" w:hAnsi="宋体" w:cs="宋体"/>
          <w:color w:val="auto"/>
          <w:sz w:val="24"/>
          <w:highlight w:val="none"/>
          <w:lang w:eastAsia="zh-CN"/>
        </w:rPr>
        <w:t>。</w:t>
      </w:r>
    </w:p>
    <w:p w14:paraId="32FBB3C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6.要求工期：签订合同之日起40个日历</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完工</w:t>
      </w:r>
    </w:p>
    <w:p w14:paraId="7D2BE0E2">
      <w:pPr>
        <w:spacing w:line="44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7.质量要求：按国家现行专业技术规范评定达到合格等级</w:t>
      </w:r>
    </w:p>
    <w:p w14:paraId="3877DF8E">
      <w:pPr>
        <w:spacing w:line="440" w:lineRule="exact"/>
        <w:ind w:firstLine="484" w:firstLineChars="202"/>
        <w:jc w:val="left"/>
        <w:rPr>
          <w:rFonts w:ascii="宋体" w:hAnsi="宋体" w:cs="宋体"/>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.标段划分：</w:t>
      </w:r>
      <w:r>
        <w:rPr>
          <w:rFonts w:hint="eastAsia" w:ascii="宋体" w:hAnsi="宋体" w:cs="宋体"/>
          <w:color w:val="auto"/>
          <w:kern w:val="0"/>
          <w:sz w:val="24"/>
          <w:highlight w:val="none"/>
          <w:u w:val="single"/>
        </w:rPr>
        <w:t>本工程为1个标段</w:t>
      </w:r>
    </w:p>
    <w:p w14:paraId="69C820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.本项目不接受联合体。</w:t>
      </w:r>
    </w:p>
    <w:p w14:paraId="3D91E22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二、供应商资质条件要求</w:t>
      </w:r>
    </w:p>
    <w:p w14:paraId="209CB341">
      <w:pPr>
        <w:pStyle w:val="28"/>
        <w:tabs>
          <w:tab w:val="left" w:pos="1916"/>
          <w:tab w:val="left" w:pos="8960"/>
        </w:tabs>
        <w:spacing w:line="440" w:lineRule="exact"/>
        <w:ind w:left="0" w:firstLine="480" w:firstLineChars="200"/>
        <w:rPr>
          <w:color w:val="auto"/>
          <w:sz w:val="24"/>
          <w:highlight w:val="none"/>
        </w:rPr>
      </w:pPr>
      <w:r>
        <w:rPr>
          <w:rFonts w:hint="eastAsia"/>
          <w:color w:val="auto"/>
          <w:sz w:val="24"/>
          <w:highlight w:val="none"/>
        </w:rPr>
        <w:t>1.国内注册【依法在市场监督管理部门（或行政审批部门）登记注册】的，具备合法资格的供应商；</w:t>
      </w:r>
    </w:p>
    <w:p w14:paraId="0947C29C">
      <w:pPr>
        <w:spacing w:line="440" w:lineRule="exact"/>
        <w:ind w:firstLine="480" w:firstLineChars="200"/>
        <w:rPr>
          <w:rFonts w:hint="eastAsia" w:cs="宋体"/>
          <w:b w:val="0"/>
          <w:bCs/>
          <w:color w:val="auto"/>
          <w:kern w:val="0"/>
          <w:sz w:val="24"/>
          <w:szCs w:val="24"/>
          <w:highlight w:val="none"/>
          <w:lang w:val="en-US" w:eastAsia="zh-CN"/>
        </w:rPr>
      </w:pPr>
      <w:r>
        <w:rPr>
          <w:rFonts w:hint="eastAsia" w:ascii="宋体" w:hAnsi="宋体" w:cs="宋体"/>
          <w:color w:val="auto"/>
          <w:sz w:val="24"/>
          <w:highlight w:val="none"/>
        </w:rPr>
        <w:t>2.本项目的特定资格要求：</w:t>
      </w:r>
      <w:r>
        <w:rPr>
          <w:rFonts w:hint="eastAsia" w:cs="宋体"/>
          <w:b w:val="0"/>
          <w:bCs/>
          <w:color w:val="auto"/>
          <w:kern w:val="0"/>
          <w:sz w:val="24"/>
          <w:szCs w:val="24"/>
          <w:highlight w:val="none"/>
          <w:lang w:val="en-US" w:eastAsia="zh-CN"/>
        </w:rPr>
        <w:t>投标人具须具备电力工程施工总承包三级以上（含三级）资质或输变电工程专业承包三级以上（含三级）资质；同时具有相应有效的《承装（修、试）电力设施许可证》承装类、承修类、承试类五级以上（含五级）资质，同时具备有效的安全生产许可证，并在人员、设备、资金等方面具有相应的履约能力。</w:t>
      </w:r>
    </w:p>
    <w:p w14:paraId="1E4351DB">
      <w:pPr>
        <w:spacing w:line="440" w:lineRule="exact"/>
        <w:ind w:firstLine="480" w:firstLineChars="200"/>
        <w:rPr>
          <w:rFonts w:hint="eastAsia" w:cs="宋体"/>
          <w:b w:val="0"/>
          <w:bCs/>
          <w:color w:val="auto"/>
          <w:kern w:val="0"/>
          <w:sz w:val="24"/>
          <w:szCs w:val="24"/>
          <w:highlight w:val="none"/>
          <w:lang w:val="en-US" w:eastAsia="zh-CN"/>
        </w:rPr>
      </w:pPr>
      <w:r>
        <w:rPr>
          <w:rFonts w:hint="eastAsia" w:cs="宋体"/>
          <w:b w:val="0"/>
          <w:bCs/>
          <w:color w:val="auto"/>
          <w:kern w:val="0"/>
          <w:sz w:val="24"/>
          <w:szCs w:val="24"/>
          <w:highlight w:val="none"/>
          <w:lang w:val="en-US" w:eastAsia="zh-CN"/>
        </w:rPr>
        <w:t>投标人拟派驻本工程的项目经理必须具有机电工程专业贰级以上（含贰级）注册建造师资格并获得有效的安全生产考核合格证（B证），且未拟派其他在建、已中标（或成交）未开工或已列为其他项目中标（或成交）候选人第一名的建造师作为项目经理。专职安全生产管理人员（配备1人）：专职安全生产管理人员必须具有专职安全员安全生产考核合格证书（C类）。</w:t>
      </w:r>
    </w:p>
    <w:p w14:paraId="203550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3.本项目不接受在“信用中国”网站(www. creditchina . gov . cn)被列入失信被执行人、重大税收违法失信主体、严重违法失信行为记录名单的供应商参与报价。</w:t>
      </w:r>
    </w:p>
    <w:p w14:paraId="384FDFE0">
      <w:pPr>
        <w:pStyle w:val="4"/>
        <w:spacing w:line="440" w:lineRule="exact"/>
        <w:ind w:firstLine="482" w:firstLineChars="200"/>
        <w:jc w:val="left"/>
        <w:rPr>
          <w:rFonts w:ascii="宋体" w:hAnsi="宋体" w:eastAsia="宋体" w:cs="宋体"/>
          <w:b w:val="0"/>
          <w:bCs/>
          <w:color w:val="auto"/>
          <w:sz w:val="24"/>
          <w:highlight w:val="none"/>
        </w:rPr>
      </w:pPr>
      <w:bookmarkStart w:id="1" w:name="_Toc5023"/>
      <w:r>
        <w:rPr>
          <w:rFonts w:hint="eastAsia" w:ascii="宋体" w:hAnsi="宋体" w:eastAsia="宋体" w:cs="宋体"/>
          <w:color w:val="auto"/>
          <w:sz w:val="24"/>
          <w:highlight w:val="none"/>
        </w:rPr>
        <w:t>4.参加投标采购活动前三年内，在经营活动中没有重大违法记录：</w:t>
      </w:r>
      <w:r>
        <w:rPr>
          <w:rFonts w:hint="eastAsia" w:ascii="宋体" w:hAnsi="宋体" w:eastAsia="宋体" w:cs="宋体"/>
          <w:b w:val="0"/>
          <w:bCs/>
          <w:color w:val="auto"/>
          <w:sz w:val="24"/>
          <w:highlight w:val="none"/>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1"/>
    </w:p>
    <w:p w14:paraId="6B4C5EB4">
      <w:pPr>
        <w:pStyle w:val="28"/>
        <w:tabs>
          <w:tab w:val="left" w:pos="1915"/>
        </w:tabs>
        <w:spacing w:line="440" w:lineRule="exact"/>
        <w:ind w:left="0" w:firstLine="480" w:firstLineChars="200"/>
        <w:jc w:val="left"/>
        <w:rPr>
          <w:b/>
          <w:bCs/>
          <w:color w:val="auto"/>
          <w:sz w:val="24"/>
          <w:highlight w:val="none"/>
        </w:rPr>
      </w:pPr>
      <w:r>
        <w:rPr>
          <w:rFonts w:hint="eastAsia"/>
          <w:color w:val="auto"/>
          <w:sz w:val="24"/>
          <w:highlight w:val="none"/>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（2）单位负责人为同一人或者存在控股、管理关系的不同单位，不得参加同一招标项目投标。</w:t>
      </w:r>
    </w:p>
    <w:p w14:paraId="6FAFCCD1">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如投标人有违反上述规定的，相关投标按无效投标处理。</w:t>
      </w:r>
    </w:p>
    <w:p w14:paraId="6BDA006C">
      <w:pPr>
        <w:spacing w:line="440" w:lineRule="exact"/>
        <w:ind w:left="420" w:leftChars="200"/>
        <w:jc w:val="left"/>
        <w:rPr>
          <w:rFonts w:ascii="宋体" w:hAnsi="宋体" w:cs="宋体"/>
          <w:color w:val="auto"/>
          <w:sz w:val="24"/>
          <w:highlight w:val="none"/>
        </w:rPr>
      </w:pPr>
      <w:r>
        <w:rPr>
          <w:rFonts w:hint="eastAsia" w:ascii="宋体" w:hAnsi="宋体" w:cs="宋体"/>
          <w:b/>
          <w:bCs/>
          <w:color w:val="auto"/>
          <w:sz w:val="24"/>
          <w:highlight w:val="none"/>
        </w:rPr>
        <w:t>三、报名时间、方式及获取招标文件方式</w:t>
      </w:r>
    </w:p>
    <w:p w14:paraId="254F11C4">
      <w:pPr>
        <w:pStyle w:val="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报名时间：2025年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日17:00时止（北京时间），逾期报名无效。</w:t>
      </w:r>
    </w:p>
    <w:p w14:paraId="656960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）即完成报名，否则将视为报名不成功。《报名表》要求WORD版，其他材料加盖公章后上传扫描件。</w:t>
      </w:r>
    </w:p>
    <w:p w14:paraId="16AD8EF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获取招标文件方式：桂林市人民医院官网（www.glrmyy.com）</w:t>
      </w:r>
    </w:p>
    <w:p w14:paraId="1B53026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四、采购活动要求</w:t>
      </w:r>
    </w:p>
    <w:p w14:paraId="5A8F433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1.开标时间：具体时间另行通知（开标通告将会通过（</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Style w:val="24"/>
          <w:rFonts w:hint="eastAsia" w:ascii="宋体" w:hAnsi="宋体" w:cs="宋体"/>
          <w:color w:val="auto"/>
          <w:sz w:val="24"/>
          <w:highlight w:val="none"/>
        </w:rPr>
        <w:t>glsrmyyzbb@163.com</w:t>
      </w:r>
      <w:r>
        <w:rPr>
          <w:rStyle w:val="24"/>
          <w:rFonts w:hint="eastAsia" w:ascii="宋体" w:hAnsi="宋体" w:cs="宋体"/>
          <w:color w:val="auto"/>
          <w:sz w:val="24"/>
          <w:highlight w:val="none"/>
        </w:rPr>
        <w:fldChar w:fldCharType="end"/>
      </w:r>
      <w:r>
        <w:rPr>
          <w:rFonts w:hint="eastAsia" w:ascii="宋体" w:hAnsi="宋体" w:cs="宋体"/>
          <w:color w:val="auto"/>
          <w:sz w:val="24"/>
          <w:highlight w:val="none"/>
        </w:rPr>
        <w:t>）发至报名邮箱，报名后请及时关注查收），请报名后根据所获取的招标文件要求及时准备正式的投标文件。</w:t>
      </w:r>
    </w:p>
    <w:p w14:paraId="451278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2.开标地点：桂林市人民医院招标办公室（广西桂林市象山区文明路29号）</w:t>
      </w:r>
    </w:p>
    <w:p w14:paraId="7096AFE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3.投标文件：</w:t>
      </w:r>
    </w:p>
    <w:p w14:paraId="5FE7E432">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(1)投标文件组成：必须含有但不限于响应函</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响应函附录、营业执照复印件、法定代表人（负责人）身份证复印件、法定代表人授权书原件（委托代理时必须提供）、授权委托代理人身份证复印件、</w:t>
      </w:r>
      <w:r>
        <w:rPr>
          <w:rFonts w:hint="eastAsia" w:ascii="宋体" w:hAnsi="宋体" w:cs="宋体"/>
          <w:color w:val="auto"/>
          <w:sz w:val="24"/>
          <w:highlight w:val="none"/>
          <w:lang w:val="en-US" w:eastAsia="zh-CN"/>
        </w:rPr>
        <w:t>本项目的特定资格要求（</w:t>
      </w:r>
      <w:bookmarkStart w:id="2" w:name="OLE_LINK90"/>
      <w:bookmarkStart w:id="3" w:name="OLE_LINK91"/>
      <w:r>
        <w:rPr>
          <w:rFonts w:hint="eastAsia" w:ascii="宋体" w:hAnsi="宋体" w:cs="宋体"/>
          <w:color w:val="auto"/>
          <w:sz w:val="24"/>
          <w:highlight w:val="none"/>
          <w:lang w:val="en-US" w:eastAsia="zh-CN"/>
        </w:rPr>
        <w:t>①供应商基本情况表（并附有效的电力工程施工总承包三级以上（含三级）资质或输变电工程专业承包三级以上（含三级）资质扫描件、有效的《承装（修、试）电力设施许可证》承装类、承修类、承试类五级以上（含五级）资质扫描件以及有效的安全生产许可证扫描件）；②拟投入本工程项目经理简历表（并附有效的机电工程专业二级以上（含二级）注册建造师资格证书扫描件、有效的安全生产考核合格证（B类）扫描件以及项目经理无在建工程承诺书（格式自拟）；</w:t>
      </w:r>
      <w:r>
        <w:rPr>
          <w:rFonts w:hint="eastAsia" w:ascii="宋体" w:hAnsi="宋体" w:cs="宋体"/>
          <w:color w:val="auto"/>
          <w:sz w:val="24"/>
          <w:highlight w:val="none"/>
        </w:rPr>
        <w:t>③</w:t>
      </w:r>
      <w:r>
        <w:rPr>
          <w:rFonts w:hint="eastAsia" w:ascii="宋体" w:hAnsi="宋体" w:cs="宋体"/>
          <w:color w:val="auto"/>
          <w:sz w:val="24"/>
          <w:highlight w:val="none"/>
          <w:lang w:val="en-US" w:eastAsia="zh-CN"/>
        </w:rPr>
        <w:t>专职安全生产管理人员安全生产考核合格证书（C类））、</w:t>
      </w:r>
      <w:bookmarkEnd w:id="2"/>
      <w:bookmarkEnd w:id="3"/>
      <w:r>
        <w:rPr>
          <w:rFonts w:hint="eastAsia" w:ascii="宋体" w:hAnsi="宋体" w:cs="宋体"/>
          <w:color w:val="auto"/>
          <w:sz w:val="24"/>
          <w:highlight w:val="none"/>
        </w:rPr>
        <w:t>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项目报价、已标价工程量清单、安全防护及文明施工措施方案的承诺书、诚信声明、施工组织设计、</w:t>
      </w:r>
      <w:r>
        <w:rPr>
          <w:rFonts w:hint="eastAsia" w:ascii="宋体" w:hAnsi="宋体" w:cs="宋体"/>
          <w:color w:val="auto"/>
          <w:sz w:val="24"/>
          <w:highlight w:val="none"/>
          <w:lang w:val="en-US" w:eastAsia="zh-CN"/>
        </w:rPr>
        <w:t>配置清单一览表、</w:t>
      </w:r>
      <w:r>
        <w:rPr>
          <w:rFonts w:hint="eastAsia" w:ascii="宋体" w:hAnsi="宋体" w:cs="宋体"/>
          <w:color w:val="auto"/>
          <w:sz w:val="24"/>
          <w:highlight w:val="none"/>
        </w:rPr>
        <w:t>联系人及电话</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供应商可结合本项目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文件及评标办法自行提交其他相关证明材料（如有，请提供）等资料。投标人应完整准备上述投标文件的材料，否则由此引起的不利后果由投标人承担。</w:t>
      </w:r>
    </w:p>
    <w:p w14:paraId="5E2A4EEB">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投标文件所提供的证照及相关证明材料必须真实有效，一经发现造假，将取消本次投标资格并追究相关法律责任！</w:t>
      </w:r>
    </w:p>
    <w:p w14:paraId="182277C6">
      <w:pPr>
        <w:numPr>
          <w:ilvl w:val="255"/>
          <w:numId w:val="0"/>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(2)投标文件份数：正本一份，副本六份。</w:t>
      </w:r>
    </w:p>
    <w:p w14:paraId="7D5997B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11DDE1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5.凡报名合格并获取了招标文件的投标人，视同响应承诺参与本次投标活动。若因故不能按期参加的，请至少于开标截止时间前两天以书面邮件形式（发送邮箱地址：</w:t>
      </w:r>
      <w:r>
        <w:rPr>
          <w:color w:val="auto"/>
          <w:highlight w:val="none"/>
        </w:rPr>
        <w:fldChar w:fldCharType="begin"/>
      </w:r>
      <w:r>
        <w:rPr>
          <w:color w:val="auto"/>
          <w:highlight w:val="none"/>
        </w:rPr>
        <w:instrText xml:space="preserve"> HYPERLINK "mailto:glsrmyyzbb@163.com" </w:instrText>
      </w:r>
      <w:r>
        <w:rPr>
          <w:color w:val="auto"/>
          <w:highlight w:val="none"/>
        </w:rPr>
        <w:fldChar w:fldCharType="separate"/>
      </w:r>
      <w:r>
        <w:rPr>
          <w:rFonts w:hint="eastAsia" w:ascii="宋体" w:hAnsi="宋体" w:cs="宋体"/>
          <w:color w:val="auto"/>
          <w:sz w:val="24"/>
          <w:highlight w:val="none"/>
        </w:rPr>
        <w:t>glsrmyyzbb@163.com</w:t>
      </w:r>
      <w:r>
        <w:rPr>
          <w:rFonts w:hint="eastAsia" w:ascii="宋体" w:hAnsi="宋体" w:cs="宋体"/>
          <w:color w:val="auto"/>
          <w:sz w:val="24"/>
          <w:highlight w:val="none"/>
        </w:rPr>
        <w:fldChar w:fldCharType="end"/>
      </w:r>
      <w:r>
        <w:rPr>
          <w:rFonts w:hint="eastAsia" w:ascii="宋体" w:hAnsi="宋体" w:cs="宋体"/>
          <w:color w:val="auto"/>
          <w:sz w:val="24"/>
          <w:highlight w:val="none"/>
        </w:rPr>
        <w:t>）告知我院招标办公室，否则，将被视为不诚信供应商，列入我院供应商黑名单，至少一年内不接受其参与我院院内的任何招标活动。</w:t>
      </w:r>
    </w:p>
    <w:p w14:paraId="21DEAC9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五、信息公告发布媒体</w:t>
      </w:r>
    </w:p>
    <w:p w14:paraId="7690F8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本次招标公告在桂林市人民医院官网（www.glrmyy.com）发布，对其他网站转发本公告可能引起的信息误导、造成投标人的经济或其他损失的，招标人不负任何责任。</w:t>
      </w:r>
    </w:p>
    <w:p w14:paraId="328C9FF9">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六、联系方式</w:t>
      </w:r>
    </w:p>
    <w:p w14:paraId="57E1E91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1.联系人：罗老师、戴老师</w:t>
      </w:r>
    </w:p>
    <w:p w14:paraId="10B8558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2.联系电话：0773-2803316</w:t>
      </w:r>
    </w:p>
    <w:p w14:paraId="0AB5CFAC">
      <w:pPr>
        <w:tabs>
          <w:tab w:val="left" w:pos="6583"/>
        </w:tabs>
        <w:spacing w:line="440" w:lineRule="exact"/>
        <w:ind w:firstLine="5760" w:firstLineChars="2400"/>
        <w:jc w:val="center"/>
        <w:rPr>
          <w:rFonts w:ascii="宋体" w:hAnsi="宋体" w:cs="宋体"/>
          <w:color w:val="auto"/>
          <w:sz w:val="24"/>
          <w:highlight w:val="none"/>
        </w:rPr>
      </w:pPr>
      <w:r>
        <w:rPr>
          <w:rFonts w:hint="eastAsia" w:ascii="宋体" w:hAnsi="宋体" w:cs="宋体"/>
          <w:color w:val="auto"/>
          <w:sz w:val="24"/>
          <w:highlight w:val="none"/>
        </w:rPr>
        <w:t xml:space="preserve">         桂林市人民医院</w:t>
      </w:r>
    </w:p>
    <w:p w14:paraId="7BECB2BA">
      <w:pPr>
        <w:tabs>
          <w:tab w:val="left" w:pos="5623"/>
        </w:tabs>
        <w:spacing w:line="440" w:lineRule="exact"/>
        <w:jc w:val="center"/>
        <w:rPr>
          <w:rFonts w:ascii="宋体" w:hAnsi="宋体" w:cs="宋体"/>
          <w:b/>
          <w:bCs/>
          <w:color w:val="auto"/>
          <w:w w:val="95"/>
          <w:sz w:val="28"/>
          <w:szCs w:val="28"/>
          <w:highlight w:val="none"/>
        </w:rPr>
      </w:pP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bookmarkStart w:id="27" w:name="_GoBack"/>
      <w:bookmarkEnd w:id="27"/>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p>
    <w:p w14:paraId="42918115">
      <w:pPr>
        <w:spacing w:line="440" w:lineRule="exact"/>
        <w:rPr>
          <w:rFonts w:ascii="宋体" w:hAnsi="宋体" w:cs="宋体"/>
          <w:color w:val="auto"/>
          <w:sz w:val="28"/>
          <w:szCs w:val="28"/>
          <w:highlight w:val="none"/>
        </w:rPr>
      </w:pPr>
      <w:r>
        <w:rPr>
          <w:rFonts w:hint="eastAsia" w:ascii="宋体" w:hAnsi="宋体" w:cs="宋体"/>
          <w:b/>
          <w:bCs/>
          <w:color w:val="auto"/>
          <w:w w:val="95"/>
          <w:sz w:val="28"/>
          <w:szCs w:val="28"/>
          <w:highlight w:val="none"/>
        </w:rPr>
        <w:br w:type="page"/>
      </w:r>
    </w:p>
    <w:p w14:paraId="6311D1AD">
      <w:pPr>
        <w:pStyle w:val="3"/>
        <w:numPr>
          <w:ilvl w:val="0"/>
          <w:numId w:val="1"/>
        </w:numPr>
        <w:jc w:val="center"/>
        <w:rPr>
          <w:rFonts w:hint="eastAsia"/>
          <w:color w:val="auto"/>
          <w:kern w:val="0"/>
          <w:sz w:val="32"/>
          <w:szCs w:val="32"/>
          <w:highlight w:val="none"/>
        </w:rPr>
      </w:pPr>
      <w:r>
        <w:rPr>
          <w:rFonts w:hint="eastAsia"/>
          <w:color w:val="auto"/>
          <w:kern w:val="0"/>
          <w:sz w:val="32"/>
          <w:szCs w:val="32"/>
          <w:highlight w:val="none"/>
        </w:rPr>
        <w:t xml:space="preserve"> 评分标准</w:t>
      </w:r>
    </w:p>
    <w:p w14:paraId="2EC52D0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对资格性审查和符合性审查合格的响应文件进行商务和技术评估，综合比较与评价，采用</w:t>
      </w:r>
      <w:r>
        <w:rPr>
          <w:rFonts w:hint="eastAsia" w:ascii="宋体" w:hAnsi="宋体" w:cs="宋体"/>
          <w:bCs/>
          <w:color w:val="auto"/>
          <w:szCs w:val="21"/>
          <w:highlight w:val="none"/>
        </w:rPr>
        <w:t>综合评分法</w:t>
      </w:r>
      <w:r>
        <w:rPr>
          <w:rFonts w:hint="eastAsia" w:ascii="宋体" w:hAnsi="宋体" w:cs="宋体"/>
          <w:color w:val="auto"/>
          <w:szCs w:val="21"/>
          <w:highlight w:val="none"/>
        </w:rPr>
        <w:t>。</w:t>
      </w:r>
    </w:p>
    <w:p w14:paraId="27BBC70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计分办法（按四舍五入取至小数点后二位）</w:t>
      </w:r>
    </w:p>
    <w:p w14:paraId="105BB94E">
      <w:pPr>
        <w:spacing w:line="440" w:lineRule="exact"/>
        <w:ind w:firstLine="422" w:firstLineChars="200"/>
        <w:jc w:val="left"/>
        <w:rPr>
          <w:rFonts w:hint="eastAsia"/>
          <w:color w:val="auto"/>
          <w:highlight w:val="none"/>
        </w:rPr>
      </w:pPr>
      <w:r>
        <w:rPr>
          <w:rFonts w:hint="eastAsia" w:ascii="宋体" w:hAnsi="宋体" w:cs="宋体"/>
          <w:b/>
          <w:color w:val="auto"/>
          <w:kern w:val="0"/>
          <w:highlight w:val="none"/>
          <w:lang w:val="en-US" w:eastAsia="zh-CN"/>
        </w:rPr>
        <w:t>三、</w:t>
      </w:r>
      <w:r>
        <w:rPr>
          <w:rFonts w:hint="eastAsia" w:ascii="宋体" w:hAnsi="宋体" w:cs="宋体"/>
          <w:b/>
          <w:color w:val="auto"/>
          <w:kern w:val="0"/>
          <w:highlight w:val="none"/>
        </w:rPr>
        <w:t>分值构成（总分100分）：</w:t>
      </w:r>
      <w:r>
        <w:rPr>
          <w:rFonts w:hint="eastAsia" w:ascii="Courier New" w:hAnsi="Courier New" w:cs="Courier New"/>
          <w:b/>
          <w:bCs w:val="0"/>
          <w:color w:val="auto"/>
          <w:kern w:val="0"/>
          <w:sz w:val="21"/>
          <w:szCs w:val="21"/>
          <w:highlight w:val="none"/>
          <w:lang w:val="en-US" w:eastAsia="zh-CN" w:bidi="ar"/>
        </w:rPr>
        <w:t>投标</w:t>
      </w:r>
      <w:r>
        <w:rPr>
          <w:rFonts w:hint="eastAsia" w:ascii="宋体" w:hAnsi="宋体" w:cs="宋体"/>
          <w:b/>
          <w:color w:val="auto"/>
          <w:kern w:val="0"/>
          <w:highlight w:val="none"/>
        </w:rPr>
        <w:t>报价：</w:t>
      </w:r>
      <w:r>
        <w:rPr>
          <w:rFonts w:hint="eastAsia" w:ascii="宋体" w:hAnsi="宋体" w:cs="宋体"/>
          <w:b/>
          <w:color w:val="auto"/>
          <w:kern w:val="0"/>
          <w:highlight w:val="none"/>
          <w:lang w:val="en-US" w:eastAsia="zh-CN"/>
        </w:rPr>
        <w:t>45</w:t>
      </w:r>
      <w:r>
        <w:rPr>
          <w:rFonts w:hint="eastAsia" w:ascii="宋体" w:hAnsi="宋体" w:cs="宋体"/>
          <w:b/>
          <w:color w:val="auto"/>
          <w:kern w:val="0"/>
          <w:highlight w:val="none"/>
        </w:rPr>
        <w:t>分；技术评审</w:t>
      </w:r>
      <w:r>
        <w:rPr>
          <w:rFonts w:hint="eastAsia" w:ascii="宋体" w:hAnsi="宋体" w:cs="宋体"/>
          <w:b/>
          <w:color w:val="auto"/>
          <w:kern w:val="0"/>
          <w:highlight w:val="none"/>
          <w:lang w:val="en-US" w:eastAsia="zh-CN"/>
        </w:rPr>
        <w:t>45</w:t>
      </w:r>
      <w:r>
        <w:rPr>
          <w:rFonts w:hint="eastAsia" w:ascii="宋体" w:hAnsi="宋体" w:cs="宋体"/>
          <w:b/>
          <w:color w:val="auto"/>
          <w:kern w:val="0"/>
          <w:highlight w:val="none"/>
        </w:rPr>
        <w:t>分；</w:t>
      </w:r>
      <w:r>
        <w:rPr>
          <w:rFonts w:hint="default" w:ascii="Courier New" w:hAnsi="Courier New" w:cs="Courier New"/>
          <w:b/>
          <w:bCs w:val="0"/>
          <w:color w:val="auto"/>
          <w:kern w:val="0"/>
          <w:sz w:val="21"/>
          <w:szCs w:val="21"/>
          <w:highlight w:val="none"/>
          <w:lang w:val="en-US" w:eastAsia="zh-CN" w:bidi="ar"/>
        </w:rPr>
        <w:t>企业信誉实力评审</w:t>
      </w:r>
      <w:r>
        <w:rPr>
          <w:rFonts w:hint="eastAsia" w:ascii="宋体" w:hAnsi="宋体" w:cs="宋体"/>
          <w:b/>
          <w:color w:val="auto"/>
          <w:kern w:val="0"/>
          <w:highlight w:val="none"/>
          <w:lang w:val="en-US" w:eastAsia="zh-CN"/>
        </w:rPr>
        <w:t>10</w:t>
      </w:r>
      <w:r>
        <w:rPr>
          <w:rFonts w:hint="eastAsia" w:ascii="宋体" w:hAnsi="宋体" w:cs="宋体"/>
          <w:b/>
          <w:color w:val="auto"/>
          <w:kern w:val="0"/>
          <w:highlight w:val="none"/>
        </w:rPr>
        <w:t>分。</w:t>
      </w:r>
    </w:p>
    <w:tbl>
      <w:tblPr>
        <w:tblStyle w:val="21"/>
        <w:tblW w:w="9073"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850"/>
        <w:gridCol w:w="993"/>
        <w:gridCol w:w="1420"/>
        <w:gridCol w:w="4960"/>
      </w:tblGrid>
      <w:tr w14:paraId="65FF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6D5E449D">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序号</w:t>
            </w:r>
          </w:p>
        </w:tc>
        <w:tc>
          <w:tcPr>
            <w:tcW w:w="3263" w:type="dxa"/>
            <w:gridSpan w:val="3"/>
            <w:tcBorders>
              <w:top w:val="single" w:color="000000" w:sz="4" w:space="0"/>
              <w:left w:val="nil"/>
              <w:bottom w:val="single" w:color="000000" w:sz="4" w:space="0"/>
              <w:right w:val="single" w:color="000000" w:sz="4" w:space="0"/>
            </w:tcBorders>
            <w:noWrap w:val="0"/>
            <w:vAlign w:val="top"/>
          </w:tcPr>
          <w:p w14:paraId="22111945">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评审因素</w:t>
            </w:r>
          </w:p>
        </w:tc>
        <w:tc>
          <w:tcPr>
            <w:tcW w:w="4960" w:type="dxa"/>
            <w:tcBorders>
              <w:top w:val="single" w:color="000000" w:sz="4" w:space="0"/>
              <w:left w:val="nil"/>
              <w:bottom w:val="single" w:color="000000" w:sz="4" w:space="0"/>
              <w:right w:val="single" w:color="000000" w:sz="4" w:space="0"/>
            </w:tcBorders>
            <w:noWrap w:val="0"/>
            <w:vAlign w:val="center"/>
          </w:tcPr>
          <w:p w14:paraId="05464516">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val="0"/>
                <w:color w:val="auto"/>
                <w:kern w:val="2"/>
                <w:sz w:val="21"/>
                <w:szCs w:val="21"/>
                <w:highlight w:val="none"/>
                <w:lang w:val="en-US" w:eastAsia="zh-CN" w:bidi="ar"/>
              </w:rPr>
              <w:t>评审标准</w:t>
            </w:r>
          </w:p>
        </w:tc>
      </w:tr>
      <w:tr w14:paraId="6ED87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850" w:type="dxa"/>
            <w:vMerge w:val="restart"/>
            <w:tcBorders>
              <w:top w:val="nil"/>
              <w:left w:val="single" w:color="000000" w:sz="4" w:space="0"/>
              <w:bottom w:val="single" w:color="000000" w:sz="4" w:space="0"/>
              <w:right w:val="single" w:color="000000" w:sz="4" w:space="0"/>
            </w:tcBorders>
            <w:noWrap w:val="0"/>
            <w:vAlign w:val="center"/>
          </w:tcPr>
          <w:p w14:paraId="6BAC9DC4">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843" w:type="dxa"/>
            <w:gridSpan w:val="2"/>
            <w:tcBorders>
              <w:top w:val="single" w:color="000000" w:sz="4" w:space="0"/>
              <w:left w:val="nil"/>
              <w:bottom w:val="single" w:color="000000" w:sz="4" w:space="0"/>
              <w:right w:val="single" w:color="000000" w:sz="4" w:space="0"/>
            </w:tcBorders>
            <w:noWrap w:val="0"/>
            <w:vAlign w:val="center"/>
          </w:tcPr>
          <w:p w14:paraId="6CE76DE3">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商务评审（</w:t>
            </w:r>
            <w:r>
              <w:rPr>
                <w:rFonts w:hint="eastAsia" w:ascii="Courier New" w:hAnsi="Courier New" w:cs="Courier New"/>
                <w:b/>
                <w:bCs w:val="0"/>
                <w:color w:val="auto"/>
                <w:kern w:val="0"/>
                <w:sz w:val="21"/>
                <w:szCs w:val="21"/>
                <w:highlight w:val="none"/>
                <w:lang w:val="en-US" w:eastAsia="zh-CN" w:bidi="ar"/>
              </w:rPr>
              <w:t>45</w:t>
            </w:r>
            <w:r>
              <w:rPr>
                <w:rFonts w:hint="default" w:ascii="Courier New" w:hAnsi="Courier New" w:cs="Courier New"/>
                <w:b/>
                <w:bCs w:val="0"/>
                <w:color w:val="auto"/>
                <w:kern w:val="0"/>
                <w:sz w:val="21"/>
                <w:szCs w:val="21"/>
                <w:highlight w:val="none"/>
                <w:lang w:val="en-US" w:eastAsia="zh-CN" w:bidi="ar"/>
              </w:rPr>
              <w:t>分）</w:t>
            </w:r>
          </w:p>
        </w:tc>
        <w:tc>
          <w:tcPr>
            <w:tcW w:w="1420" w:type="dxa"/>
            <w:tcBorders>
              <w:top w:val="single" w:color="000000" w:sz="4" w:space="0"/>
              <w:left w:val="nil"/>
              <w:bottom w:val="single" w:color="000000" w:sz="4" w:space="0"/>
              <w:right w:val="single" w:color="000000" w:sz="4" w:space="0"/>
            </w:tcBorders>
            <w:noWrap w:val="0"/>
            <w:vAlign w:val="center"/>
          </w:tcPr>
          <w:p w14:paraId="212EEF2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价格分</w:t>
            </w:r>
          </w:p>
          <w:p w14:paraId="2287E139">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45</w:t>
            </w:r>
            <w:r>
              <w:rPr>
                <w:rFonts w:hint="default" w:ascii="Courier New" w:hAnsi="Courier New" w:cs="Courier New"/>
                <w:b/>
                <w:bCs w:val="0"/>
                <w:color w:val="auto"/>
                <w:kern w:val="0"/>
                <w:sz w:val="21"/>
                <w:szCs w:val="21"/>
                <w:highlight w:val="none"/>
                <w:lang w:val="en-US" w:eastAsia="zh-CN" w:bidi="ar"/>
              </w:rPr>
              <w:t>分）</w:t>
            </w:r>
          </w:p>
        </w:tc>
        <w:tc>
          <w:tcPr>
            <w:tcW w:w="4960" w:type="dxa"/>
            <w:tcBorders>
              <w:top w:val="single" w:color="000000" w:sz="4" w:space="0"/>
              <w:left w:val="nil"/>
              <w:bottom w:val="single" w:color="000000" w:sz="4" w:space="0"/>
              <w:right w:val="single" w:color="000000" w:sz="4" w:space="0"/>
            </w:tcBorders>
            <w:noWrap w:val="0"/>
            <w:vAlign w:val="center"/>
          </w:tcPr>
          <w:p w14:paraId="10656CE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（1）以进入详评的且</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报价最低的供应商的价格为</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基准价，其价格分为</w:t>
            </w:r>
            <w:r>
              <w:rPr>
                <w:rFonts w:hint="eastAsia" w:ascii="宋体" w:hAnsi="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分。</w:t>
            </w:r>
          </w:p>
          <w:p w14:paraId="68CA4793">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（2）供应商</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报价得分=（</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基准价/</w:t>
            </w:r>
            <w:r>
              <w:rPr>
                <w:rFonts w:hint="eastAsia" w:ascii="宋体" w:hAnsi="宋体" w:cs="宋体"/>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报价）×</w:t>
            </w:r>
            <w:r>
              <w:rPr>
                <w:rFonts w:hint="eastAsia" w:ascii="宋体" w:hAnsi="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分</w:t>
            </w:r>
          </w:p>
        </w:tc>
      </w:tr>
      <w:tr w14:paraId="343A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5"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25129CAB">
            <w:pPr>
              <w:rPr>
                <w:rFonts w:hint="default" w:ascii="Times New Roman" w:hAnsi="Times New Roman" w:cs="Times New Roman"/>
                <w:color w:val="auto"/>
                <w:sz w:val="20"/>
                <w:szCs w:val="20"/>
                <w:highlight w:val="none"/>
              </w:rPr>
            </w:pPr>
          </w:p>
        </w:tc>
        <w:tc>
          <w:tcPr>
            <w:tcW w:w="850" w:type="dxa"/>
            <w:vMerge w:val="restart"/>
            <w:tcBorders>
              <w:top w:val="nil"/>
              <w:left w:val="nil"/>
              <w:bottom w:val="single" w:color="000000" w:sz="4" w:space="0"/>
              <w:right w:val="single" w:color="000000" w:sz="4" w:space="0"/>
            </w:tcBorders>
            <w:noWrap w:val="0"/>
            <w:vAlign w:val="center"/>
          </w:tcPr>
          <w:p w14:paraId="15232EF4">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0"/>
                <w:sz w:val="21"/>
                <w:szCs w:val="21"/>
                <w:highlight w:val="none"/>
                <w:lang w:val="en-US" w:eastAsia="zh-CN" w:bidi="ar"/>
              </w:rPr>
              <w:t>技术评审（</w:t>
            </w:r>
            <w:r>
              <w:rPr>
                <w:rFonts w:hint="eastAsia" w:ascii="Courier New" w:hAnsi="Courier New" w:cs="Courier New"/>
                <w:b/>
                <w:bCs w:val="0"/>
                <w:color w:val="auto"/>
                <w:kern w:val="0"/>
                <w:sz w:val="21"/>
                <w:szCs w:val="21"/>
                <w:highlight w:val="none"/>
                <w:lang w:val="en-US" w:eastAsia="zh-CN" w:bidi="ar"/>
              </w:rPr>
              <w:t>45</w:t>
            </w:r>
            <w:r>
              <w:rPr>
                <w:rFonts w:hint="default" w:ascii="Courier New" w:hAnsi="Courier New" w:cs="Courier New"/>
                <w:b/>
                <w:bCs w:val="0"/>
                <w:color w:val="auto"/>
                <w:kern w:val="0"/>
                <w:sz w:val="21"/>
                <w:szCs w:val="21"/>
                <w:highlight w:val="none"/>
                <w:lang w:val="en-US" w:eastAsia="zh-CN" w:bidi="ar"/>
              </w:rPr>
              <w:t>分）</w:t>
            </w:r>
          </w:p>
        </w:tc>
        <w:tc>
          <w:tcPr>
            <w:tcW w:w="993" w:type="dxa"/>
            <w:vMerge w:val="restart"/>
            <w:tcBorders>
              <w:top w:val="nil"/>
              <w:left w:val="nil"/>
              <w:bottom w:val="single" w:color="000000" w:sz="4" w:space="0"/>
              <w:right w:val="single" w:color="000000" w:sz="4" w:space="0"/>
            </w:tcBorders>
            <w:noWrap w:val="0"/>
            <w:vAlign w:val="center"/>
          </w:tcPr>
          <w:p w14:paraId="4D61CD37">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施工组织设计分（</w:t>
            </w:r>
            <w:r>
              <w:rPr>
                <w:rFonts w:hint="eastAsia" w:ascii="Courier New" w:hAnsi="Courier New" w:cs="Courier New"/>
                <w:b/>
                <w:bCs/>
                <w:color w:val="auto"/>
                <w:kern w:val="2"/>
                <w:sz w:val="21"/>
                <w:szCs w:val="21"/>
                <w:highlight w:val="none"/>
                <w:lang w:val="en-US" w:eastAsia="zh-CN" w:bidi="ar"/>
              </w:rPr>
              <w:t>45</w:t>
            </w:r>
            <w:r>
              <w:rPr>
                <w:rFonts w:hint="default" w:ascii="Courier New" w:hAnsi="Courier New" w:cs="Courier New"/>
                <w:b/>
                <w:bCs/>
                <w:color w:val="auto"/>
                <w:kern w:val="2"/>
                <w:sz w:val="21"/>
                <w:szCs w:val="21"/>
                <w:highlight w:val="none"/>
                <w:lang w:val="en-US" w:eastAsia="zh-CN" w:bidi="ar"/>
              </w:rPr>
              <w:t>分）</w:t>
            </w:r>
          </w:p>
        </w:tc>
        <w:tc>
          <w:tcPr>
            <w:tcW w:w="1420" w:type="dxa"/>
            <w:tcBorders>
              <w:top w:val="single" w:color="000000" w:sz="4" w:space="0"/>
              <w:left w:val="nil"/>
              <w:bottom w:val="single" w:color="000000" w:sz="4" w:space="0"/>
              <w:right w:val="single" w:color="000000" w:sz="4" w:space="0"/>
            </w:tcBorders>
            <w:noWrap w:val="0"/>
            <w:vAlign w:val="center"/>
          </w:tcPr>
          <w:p w14:paraId="1B4B5E91">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default" w:ascii="Courier New" w:hAnsi="Courier New" w:cs="Courier New"/>
                <w:b/>
                <w:bCs/>
                <w:color w:val="auto"/>
                <w:kern w:val="2"/>
                <w:sz w:val="21"/>
                <w:szCs w:val="21"/>
                <w:highlight w:val="none"/>
                <w:lang w:val="en-US" w:eastAsia="zh-CN" w:bidi="ar"/>
              </w:rPr>
              <w:t>总体概述</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8</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000000" w:sz="4" w:space="0"/>
              <w:right w:val="single" w:color="000000" w:sz="4" w:space="0"/>
            </w:tcBorders>
            <w:noWrap w:val="0"/>
            <w:vAlign w:val="center"/>
          </w:tcPr>
          <w:p w14:paraId="52B0F54D">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优（8分）：对项目总体有深刻认识，表达清晰、完整、严谨、合理，措施先进、具体、有效、成熟；施工段划分清晰、合理，符合规范要求。</w:t>
            </w:r>
          </w:p>
          <w:p w14:paraId="05322626">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良（5分）：对项目总体有一定认识，表达较清晰、较完整，措施有效；施工段划分较清晰，符合规范要求。</w:t>
            </w:r>
          </w:p>
          <w:p w14:paraId="1BFEACA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中（2分）：对项目总体有认识，有一定的措施但部分不具体；施工段划分较合理，符合规范要求。</w:t>
            </w:r>
          </w:p>
          <w:p w14:paraId="427CEF29">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46C77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2BF117F2">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092FCD7A">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21BE6D72">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000000" w:sz="4" w:space="0"/>
              <w:right w:val="single" w:color="000000" w:sz="4" w:space="0"/>
            </w:tcBorders>
            <w:noWrap w:val="0"/>
            <w:vAlign w:val="center"/>
          </w:tcPr>
          <w:p w14:paraId="0BEF15CF">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default" w:ascii="Courier New" w:hAnsi="Courier New" w:cs="Courier New"/>
                <w:b/>
                <w:bCs/>
                <w:color w:val="auto"/>
                <w:kern w:val="0"/>
                <w:sz w:val="21"/>
                <w:szCs w:val="21"/>
                <w:highlight w:val="none"/>
                <w:lang w:val="en-US" w:eastAsia="zh-CN" w:bidi="ar"/>
              </w:rPr>
              <w:t>主要施工方法（</w:t>
            </w:r>
            <w:r>
              <w:rPr>
                <w:rFonts w:hint="eastAsia" w:ascii="Courier New" w:hAnsi="Courier New" w:cs="Courier New"/>
                <w:b/>
                <w:bCs/>
                <w:color w:val="auto"/>
                <w:kern w:val="0"/>
                <w:sz w:val="21"/>
                <w:szCs w:val="21"/>
                <w:highlight w:val="none"/>
                <w:lang w:val="en-US" w:eastAsia="zh-CN" w:bidi="ar"/>
              </w:rPr>
              <w:t>10</w:t>
            </w:r>
            <w:r>
              <w:rPr>
                <w:rFonts w:hint="default" w:ascii="Courier New" w:hAnsi="Courier New" w:cs="Courier New"/>
                <w:b/>
                <w:bCs/>
                <w:color w:val="auto"/>
                <w:kern w:val="0"/>
                <w:sz w:val="21"/>
                <w:szCs w:val="21"/>
                <w:highlight w:val="none"/>
                <w:lang w:val="en-US" w:eastAsia="zh-CN" w:bidi="ar"/>
              </w:rPr>
              <w:t>分）</w:t>
            </w:r>
          </w:p>
        </w:tc>
        <w:tc>
          <w:tcPr>
            <w:tcW w:w="4960" w:type="dxa"/>
            <w:tcBorders>
              <w:top w:val="single" w:color="000000" w:sz="4" w:space="0"/>
              <w:left w:val="nil"/>
              <w:bottom w:val="single" w:color="000000" w:sz="4" w:space="0"/>
              <w:right w:val="single" w:color="000000" w:sz="4" w:space="0"/>
            </w:tcBorders>
            <w:noWrap w:val="0"/>
            <w:vAlign w:val="center"/>
          </w:tcPr>
          <w:p w14:paraId="3F85CDE0">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优（10分）：各主要分部施工方法符合项目实际，有详尽的施工技术方案，工艺先进、方法科学合理、可行，能指导具体施工并确保安全；</w:t>
            </w:r>
          </w:p>
          <w:p w14:paraId="74ADB84C">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良（6分）：各主要分部施工方法符合项目实际，有较详尽的施工技术方案，工艺较好、方法科学合理、可行，能指导具体施工并确保安全；</w:t>
            </w:r>
          </w:p>
          <w:p w14:paraId="4141482D">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中（3分）：各主要分部施工方法能满足项目需求，有施工技术方案，能指导具体施工并确保安全；</w:t>
            </w:r>
          </w:p>
          <w:p w14:paraId="7ADFFC0F">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0FC2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660D6E40">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653BB239">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037F8916">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000000" w:sz="4" w:space="0"/>
              <w:right w:val="single" w:color="000000" w:sz="4" w:space="0"/>
            </w:tcBorders>
            <w:noWrap w:val="0"/>
            <w:vAlign w:val="center"/>
          </w:tcPr>
          <w:p w14:paraId="768D33BB">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w:t>
            </w:r>
            <w:r>
              <w:rPr>
                <w:rFonts w:hint="default" w:ascii="Courier New" w:hAnsi="Courier New" w:cs="Courier New"/>
                <w:b/>
                <w:bCs/>
                <w:color w:val="auto"/>
                <w:kern w:val="2"/>
                <w:sz w:val="21"/>
                <w:szCs w:val="21"/>
                <w:highlight w:val="none"/>
                <w:lang w:val="en-US" w:eastAsia="zh-CN" w:bidi="ar"/>
              </w:rPr>
              <w:t>劳动力和材料投入计划及其保证措施</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9</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000000" w:sz="4" w:space="0"/>
              <w:right w:val="single" w:color="000000" w:sz="4" w:space="0"/>
            </w:tcBorders>
            <w:noWrap w:val="0"/>
            <w:vAlign w:val="center"/>
          </w:tcPr>
          <w:p w14:paraId="3A48F9FA">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优</w:t>
            </w:r>
            <w:r>
              <w:rPr>
                <w:rFonts w:hint="eastAsia" w:ascii="宋体" w:hAnsi="宋体" w:eastAsia="宋体" w:cs="宋体"/>
                <w:color w:val="auto"/>
                <w:kern w:val="2"/>
                <w:sz w:val="21"/>
                <w:szCs w:val="21"/>
                <w:highlight w:val="none"/>
                <w:lang w:val="en-US" w:eastAsia="zh-CN" w:bidi="ar"/>
              </w:rPr>
              <w:t>（9分）</w:t>
            </w:r>
            <w:r>
              <w:rPr>
                <w:rFonts w:hint="eastAsia" w:ascii="宋体" w:hAnsi="宋体" w:eastAsia="宋体" w:cs="宋体"/>
                <w:b w:val="0"/>
                <w:bCs w:val="0"/>
                <w:color w:val="auto"/>
                <w:kern w:val="2"/>
                <w:sz w:val="21"/>
                <w:szCs w:val="21"/>
                <w:highlight w:val="none"/>
                <w:lang w:val="en-US" w:eastAsia="zh-CN" w:bidi="ar"/>
              </w:rPr>
              <w:t>：劳动力和材料投入计划与进度计划呼应，完全满足施工需要，调配投入计划合理、准确。</w:t>
            </w:r>
          </w:p>
          <w:p w14:paraId="0D3EAD4C">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良</w:t>
            </w:r>
            <w:r>
              <w:rPr>
                <w:rFonts w:hint="eastAsia" w:ascii="宋体" w:hAnsi="宋体" w:eastAsia="宋体" w:cs="宋体"/>
                <w:color w:val="auto"/>
                <w:kern w:val="2"/>
                <w:sz w:val="21"/>
                <w:szCs w:val="21"/>
                <w:highlight w:val="none"/>
                <w:lang w:val="en-US" w:eastAsia="zh-CN" w:bidi="ar"/>
              </w:rPr>
              <w:t>（6分）</w:t>
            </w:r>
            <w:r>
              <w:rPr>
                <w:rFonts w:hint="eastAsia" w:ascii="宋体" w:hAnsi="宋体" w:eastAsia="宋体" w:cs="宋体"/>
                <w:b w:val="0"/>
                <w:bCs w:val="0"/>
                <w:color w:val="auto"/>
                <w:kern w:val="2"/>
                <w:sz w:val="21"/>
                <w:szCs w:val="21"/>
                <w:highlight w:val="none"/>
                <w:lang w:val="en-US" w:eastAsia="zh-CN" w:bidi="ar"/>
              </w:rPr>
              <w:t>：劳动力和材料投入计划与进度计划呼应，较好满足施工需要，调配投入计划基本合理、准确。</w:t>
            </w:r>
          </w:p>
          <w:p w14:paraId="2C2113A6">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中</w:t>
            </w:r>
            <w:r>
              <w:rPr>
                <w:rFonts w:hint="eastAsia" w:ascii="宋体" w:hAnsi="宋体" w:eastAsia="宋体" w:cs="宋体"/>
                <w:color w:val="auto"/>
                <w:kern w:val="2"/>
                <w:sz w:val="21"/>
                <w:szCs w:val="21"/>
                <w:highlight w:val="none"/>
                <w:lang w:val="en-US" w:eastAsia="zh-CN" w:bidi="ar"/>
              </w:rPr>
              <w:t>（3分）：</w:t>
            </w:r>
            <w:r>
              <w:rPr>
                <w:rFonts w:hint="eastAsia" w:ascii="宋体" w:hAnsi="宋体" w:eastAsia="宋体" w:cs="宋体"/>
                <w:b w:val="0"/>
                <w:bCs w:val="0"/>
                <w:color w:val="auto"/>
                <w:kern w:val="2"/>
                <w:sz w:val="21"/>
                <w:szCs w:val="21"/>
                <w:highlight w:val="none"/>
                <w:lang w:val="en-US" w:eastAsia="zh-CN" w:bidi="ar"/>
              </w:rPr>
              <w:t>劳动力和材料投入计划与进度计划呼应，基本满足施工需要，调配投入计划基本合理。</w:t>
            </w:r>
          </w:p>
          <w:p w14:paraId="63CFD92D">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
              </w:rPr>
              <w:t>差</w:t>
            </w:r>
            <w:r>
              <w:rPr>
                <w:rFonts w:hint="eastAsia" w:ascii="宋体" w:hAnsi="宋体" w:eastAsia="宋体" w:cs="宋体"/>
                <w:color w:val="auto"/>
                <w:kern w:val="2"/>
                <w:sz w:val="21"/>
                <w:szCs w:val="21"/>
                <w:highlight w:val="none"/>
                <w:lang w:val="en-US" w:eastAsia="zh-CN" w:bidi="ar"/>
              </w:rPr>
              <w:t>（0分）</w:t>
            </w: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color w:val="auto"/>
                <w:highlight w:val="none"/>
                <w:lang w:val="en-US" w:eastAsia="zh-CN"/>
              </w:rPr>
              <w:t>未提供或方案不合格。</w:t>
            </w:r>
          </w:p>
        </w:tc>
      </w:tr>
      <w:tr w14:paraId="41F2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5C38C822">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4F2AA3DB">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59B2A98F">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000000" w:sz="4" w:space="0"/>
              <w:right w:val="single" w:color="000000" w:sz="4" w:space="0"/>
            </w:tcBorders>
            <w:noWrap w:val="0"/>
            <w:vAlign w:val="center"/>
          </w:tcPr>
          <w:p w14:paraId="10832416">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4</w:t>
            </w:r>
            <w:r>
              <w:rPr>
                <w:rFonts w:hint="eastAsia" w:ascii="宋体" w:hAnsi="宋体" w:eastAsia="宋体" w:cs="宋体"/>
                <w:b/>
                <w:bCs/>
                <w:color w:val="auto"/>
                <w:kern w:val="2"/>
                <w:sz w:val="21"/>
                <w:szCs w:val="21"/>
                <w:highlight w:val="none"/>
                <w:lang w:val="en-US" w:eastAsia="zh-CN" w:bidi="ar"/>
              </w:rPr>
              <w:t>.</w:t>
            </w:r>
            <w:r>
              <w:rPr>
                <w:rFonts w:hint="default" w:ascii="Courier New" w:hAnsi="Courier New" w:cs="Courier New"/>
                <w:b/>
                <w:bCs/>
                <w:color w:val="auto"/>
                <w:kern w:val="2"/>
                <w:sz w:val="21"/>
                <w:szCs w:val="21"/>
                <w:highlight w:val="none"/>
                <w:lang w:val="en-US" w:eastAsia="zh-CN" w:bidi="ar"/>
              </w:rPr>
              <w:t>关键施工技术、工艺及工程实施的重点、难点和解决方案</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9</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000000" w:sz="4" w:space="0"/>
              <w:right w:val="single" w:color="000000" w:sz="4" w:space="0"/>
            </w:tcBorders>
            <w:noWrap w:val="0"/>
            <w:vAlign w:val="center"/>
          </w:tcPr>
          <w:p w14:paraId="0B8CDB67">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优（9分）：对项目关键技术、工艺有深入的表达，对重点、难点有先进合理的施工措施并有可行的安全措施，解决方案完整、经济、安全、切实可行，措施得力。</w:t>
            </w:r>
          </w:p>
          <w:p w14:paraId="3124C7A4">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良（6分）：对项目关键技术、工艺有深入的表达，对重点、难点有合理的建议，解决方案比较经济、安全、基本可行。</w:t>
            </w:r>
          </w:p>
          <w:p w14:paraId="24FEE9C7">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中（3分）：对项目关键技术有一定了解，对重点、难点有建议，解决方案基本可行。</w:t>
            </w:r>
          </w:p>
          <w:p w14:paraId="6A06C520">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strike/>
                <w:dstrike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31A7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trPr>
        <w:tc>
          <w:tcPr>
            <w:tcW w:w="850" w:type="dxa"/>
            <w:vMerge w:val="continue"/>
            <w:tcBorders>
              <w:top w:val="nil"/>
              <w:left w:val="single" w:color="000000" w:sz="4" w:space="0"/>
              <w:bottom w:val="single" w:color="000000" w:sz="4" w:space="0"/>
              <w:right w:val="single" w:color="000000" w:sz="4" w:space="0"/>
            </w:tcBorders>
            <w:noWrap w:val="0"/>
            <w:vAlign w:val="center"/>
          </w:tcPr>
          <w:p w14:paraId="472DE071">
            <w:pPr>
              <w:rPr>
                <w:rFonts w:hint="default" w:ascii="Times New Roman" w:hAnsi="Times New Roman" w:cs="Times New Roman"/>
                <w:color w:val="auto"/>
                <w:sz w:val="20"/>
                <w:szCs w:val="20"/>
                <w:highlight w:val="none"/>
              </w:rPr>
            </w:pPr>
          </w:p>
        </w:tc>
        <w:tc>
          <w:tcPr>
            <w:tcW w:w="850" w:type="dxa"/>
            <w:vMerge w:val="continue"/>
            <w:tcBorders>
              <w:top w:val="nil"/>
              <w:left w:val="nil"/>
              <w:bottom w:val="single" w:color="000000" w:sz="4" w:space="0"/>
              <w:right w:val="single" w:color="000000" w:sz="4" w:space="0"/>
            </w:tcBorders>
            <w:noWrap w:val="0"/>
            <w:vAlign w:val="center"/>
          </w:tcPr>
          <w:p w14:paraId="1782405B">
            <w:pPr>
              <w:rPr>
                <w:rFonts w:hint="default" w:ascii="Times New Roman" w:hAnsi="Times New Roman" w:cs="Times New Roman"/>
                <w:color w:val="auto"/>
                <w:sz w:val="20"/>
                <w:szCs w:val="20"/>
                <w:highlight w:val="none"/>
              </w:rPr>
            </w:pPr>
          </w:p>
        </w:tc>
        <w:tc>
          <w:tcPr>
            <w:tcW w:w="993" w:type="dxa"/>
            <w:vMerge w:val="continue"/>
            <w:tcBorders>
              <w:top w:val="nil"/>
              <w:left w:val="nil"/>
              <w:bottom w:val="single" w:color="000000" w:sz="4" w:space="0"/>
              <w:right w:val="single" w:color="000000" w:sz="4" w:space="0"/>
            </w:tcBorders>
            <w:noWrap w:val="0"/>
            <w:vAlign w:val="center"/>
          </w:tcPr>
          <w:p w14:paraId="7E07403A">
            <w:pPr>
              <w:rPr>
                <w:rFonts w:hint="default" w:ascii="Times New Roman" w:hAnsi="Times New Roman" w:cs="Times New Roman"/>
                <w:color w:val="auto"/>
                <w:sz w:val="20"/>
                <w:szCs w:val="20"/>
                <w:highlight w:val="none"/>
              </w:rPr>
            </w:pPr>
          </w:p>
        </w:tc>
        <w:tc>
          <w:tcPr>
            <w:tcW w:w="1420" w:type="dxa"/>
            <w:tcBorders>
              <w:top w:val="single" w:color="000000" w:sz="4" w:space="0"/>
              <w:left w:val="nil"/>
              <w:bottom w:val="single" w:color="auto" w:sz="4" w:space="0"/>
              <w:right w:val="single" w:color="000000" w:sz="4" w:space="0"/>
            </w:tcBorders>
            <w:noWrap w:val="0"/>
            <w:vAlign w:val="center"/>
          </w:tcPr>
          <w:p w14:paraId="32002A32">
            <w:pPr>
              <w:keepNext w:val="0"/>
              <w:keepLines w:val="0"/>
              <w:widowControl w:val="0"/>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2"/>
                <w:sz w:val="21"/>
                <w:szCs w:val="21"/>
                <w:highlight w:val="none"/>
              </w:rPr>
            </w:pPr>
            <w:r>
              <w:rPr>
                <w:rFonts w:hint="default" w:ascii="Courier New" w:hAnsi="Courier New" w:cs="Courier New"/>
                <w:b/>
                <w:bCs/>
                <w:color w:val="auto"/>
                <w:kern w:val="2"/>
                <w:sz w:val="21"/>
                <w:szCs w:val="21"/>
                <w:highlight w:val="none"/>
                <w:lang w:val="en-US" w:eastAsia="zh-CN" w:bidi="ar"/>
              </w:rPr>
              <w:t>5</w:t>
            </w:r>
            <w:r>
              <w:rPr>
                <w:rFonts w:hint="eastAsia" w:ascii="宋体" w:hAnsi="宋体" w:eastAsia="宋体" w:cs="宋体"/>
                <w:b/>
                <w:bCs/>
                <w:color w:val="auto"/>
                <w:kern w:val="2"/>
                <w:sz w:val="21"/>
                <w:szCs w:val="21"/>
                <w:highlight w:val="none"/>
                <w:lang w:val="en-US" w:eastAsia="zh-CN" w:bidi="ar"/>
              </w:rPr>
              <w:t>.</w:t>
            </w:r>
            <w:r>
              <w:rPr>
                <w:rFonts w:hint="default" w:ascii="Courier New" w:hAnsi="Courier New" w:cs="Courier New"/>
                <w:b/>
                <w:bCs/>
                <w:color w:val="auto"/>
                <w:kern w:val="2"/>
                <w:sz w:val="21"/>
                <w:szCs w:val="21"/>
                <w:highlight w:val="none"/>
                <w:lang w:val="en-US" w:eastAsia="zh-CN" w:bidi="ar"/>
              </w:rPr>
              <w:t>质量保证与承诺</w:t>
            </w:r>
            <w:r>
              <w:rPr>
                <w:rFonts w:hint="default" w:ascii="Courier New" w:hAnsi="Courier New" w:eastAsia="宋体" w:cs="Courier New"/>
                <w:b/>
                <w:bCs w:val="0"/>
                <w:color w:val="auto"/>
                <w:kern w:val="0"/>
                <w:sz w:val="21"/>
                <w:szCs w:val="21"/>
                <w:highlight w:val="none"/>
                <w:lang w:val="en-US" w:eastAsia="zh-CN" w:bidi="ar"/>
              </w:rPr>
              <w:t>（</w:t>
            </w:r>
            <w:r>
              <w:rPr>
                <w:rFonts w:hint="eastAsia" w:ascii="Courier New" w:hAnsi="Courier New" w:cs="Courier New"/>
                <w:b/>
                <w:bCs w:val="0"/>
                <w:color w:val="auto"/>
                <w:kern w:val="0"/>
                <w:sz w:val="21"/>
                <w:szCs w:val="21"/>
                <w:highlight w:val="none"/>
                <w:lang w:val="en-US" w:eastAsia="zh-CN" w:bidi="ar"/>
              </w:rPr>
              <w:t>9</w:t>
            </w:r>
            <w:r>
              <w:rPr>
                <w:rFonts w:hint="default" w:ascii="Courier New" w:hAnsi="Courier New" w:cs="Courier New"/>
                <w:b/>
                <w:bCs w:val="0"/>
                <w:color w:val="auto"/>
                <w:kern w:val="0"/>
                <w:sz w:val="21"/>
                <w:szCs w:val="21"/>
                <w:highlight w:val="none"/>
                <w:lang w:val="en-US" w:eastAsia="zh-CN" w:bidi="ar"/>
              </w:rPr>
              <w:t>分</w:t>
            </w:r>
            <w:r>
              <w:rPr>
                <w:rFonts w:hint="default" w:ascii="Courier New" w:hAnsi="Courier New" w:eastAsia="宋体" w:cs="Courier New"/>
                <w:b/>
                <w:bCs w:val="0"/>
                <w:color w:val="auto"/>
                <w:kern w:val="0"/>
                <w:sz w:val="21"/>
                <w:szCs w:val="21"/>
                <w:highlight w:val="none"/>
                <w:lang w:val="en-US" w:eastAsia="zh-CN" w:bidi="ar"/>
              </w:rPr>
              <w:t>）</w:t>
            </w:r>
          </w:p>
        </w:tc>
        <w:tc>
          <w:tcPr>
            <w:tcW w:w="4960" w:type="dxa"/>
            <w:tcBorders>
              <w:top w:val="single" w:color="000000" w:sz="4" w:space="0"/>
              <w:left w:val="nil"/>
              <w:bottom w:val="single" w:color="auto" w:sz="4" w:space="0"/>
              <w:right w:val="single" w:color="000000" w:sz="4" w:space="0"/>
            </w:tcBorders>
            <w:noWrap w:val="0"/>
            <w:vAlign w:val="center"/>
          </w:tcPr>
          <w:p w14:paraId="4C3EBA0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优（9分）：针对项目实际提出先进、可行、具体的保证措施，质保期≥5年、保修期≥5年，1小时内能到达现场处理故障。</w:t>
            </w:r>
          </w:p>
          <w:p w14:paraId="71B7A63F">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良（6分）：针对项目实际提出先进、可行、具体的保证措施，4年≤质保期＜5年、4年≤保修期＜5年，4小时内能到达现场处理故障。</w:t>
            </w:r>
          </w:p>
          <w:p w14:paraId="277DB9B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中（3分）：3年≤质保期＜4年、3年≤保修期＜4年，具体措施可行，6小时内能到达现场处理故障。</w:t>
            </w:r>
          </w:p>
          <w:p w14:paraId="1CA81343">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strike/>
                <w:dstrike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差（0分）：</w:t>
            </w:r>
            <w:r>
              <w:rPr>
                <w:rFonts w:hint="eastAsia" w:ascii="宋体" w:hAnsi="宋体" w:eastAsia="宋体" w:cs="宋体"/>
                <w:color w:val="auto"/>
                <w:highlight w:val="none"/>
                <w:lang w:val="en-US" w:eastAsia="zh-CN"/>
              </w:rPr>
              <w:t>未提供或方案不合格。</w:t>
            </w:r>
          </w:p>
        </w:tc>
      </w:tr>
      <w:tr w14:paraId="3FA2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850" w:type="dxa"/>
            <w:tcBorders>
              <w:top w:val="single" w:color="000000" w:sz="4" w:space="0"/>
              <w:left w:val="single" w:color="000000" w:sz="4" w:space="0"/>
              <w:bottom w:val="single" w:color="000000" w:sz="4" w:space="0"/>
              <w:right w:val="single" w:color="000000" w:sz="4" w:space="0"/>
            </w:tcBorders>
            <w:noWrap w:val="0"/>
            <w:vAlign w:val="center"/>
          </w:tcPr>
          <w:p w14:paraId="2DB43667">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2</w:t>
            </w:r>
          </w:p>
        </w:tc>
        <w:tc>
          <w:tcPr>
            <w:tcW w:w="3263" w:type="dxa"/>
            <w:gridSpan w:val="3"/>
            <w:tcBorders>
              <w:top w:val="single" w:color="000000" w:sz="4" w:space="0"/>
              <w:left w:val="nil"/>
              <w:bottom w:val="single" w:color="000000" w:sz="4" w:space="0"/>
              <w:right w:val="single" w:color="000000" w:sz="4" w:space="0"/>
            </w:tcBorders>
            <w:noWrap w:val="0"/>
            <w:vAlign w:val="center"/>
          </w:tcPr>
          <w:p w14:paraId="1C50A5E1">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b/>
                <w:bCs/>
                <w:color w:val="auto"/>
                <w:kern w:val="2"/>
                <w:sz w:val="21"/>
                <w:szCs w:val="21"/>
                <w:highlight w:val="none"/>
              </w:rPr>
            </w:pPr>
            <w:r>
              <w:rPr>
                <w:rFonts w:hint="default" w:ascii="Courier New" w:hAnsi="Courier New" w:cs="Courier New"/>
                <w:b/>
                <w:bCs w:val="0"/>
                <w:color w:val="auto"/>
                <w:kern w:val="0"/>
                <w:sz w:val="21"/>
                <w:szCs w:val="21"/>
                <w:highlight w:val="none"/>
                <w:lang w:val="en-US" w:eastAsia="zh-CN" w:bidi="ar"/>
              </w:rPr>
              <w:t>企业信誉实力评审（满分</w:t>
            </w:r>
            <w:r>
              <w:rPr>
                <w:rFonts w:hint="eastAsia" w:ascii="宋体" w:hAnsi="宋体" w:eastAsia="宋体" w:cs="宋体"/>
                <w:b/>
                <w:bCs w:val="0"/>
                <w:color w:val="auto"/>
                <w:kern w:val="0"/>
                <w:sz w:val="21"/>
                <w:szCs w:val="21"/>
                <w:highlight w:val="none"/>
                <w:lang w:val="en-US" w:eastAsia="zh-CN" w:bidi="ar"/>
              </w:rPr>
              <w:t>10</w:t>
            </w:r>
            <w:r>
              <w:rPr>
                <w:rFonts w:hint="default" w:ascii="Courier New" w:hAnsi="Courier New" w:cs="Courier New"/>
                <w:b/>
                <w:bCs w:val="0"/>
                <w:color w:val="auto"/>
                <w:kern w:val="0"/>
                <w:sz w:val="21"/>
                <w:szCs w:val="21"/>
                <w:highlight w:val="none"/>
                <w:lang w:val="en-US" w:eastAsia="zh-CN" w:bidi="ar"/>
              </w:rPr>
              <w:t>分）</w:t>
            </w:r>
          </w:p>
        </w:tc>
        <w:tc>
          <w:tcPr>
            <w:tcW w:w="4960" w:type="dxa"/>
            <w:tcBorders>
              <w:top w:val="single" w:color="000000" w:sz="4" w:space="0"/>
              <w:left w:val="nil"/>
              <w:bottom w:val="single" w:color="000000" w:sz="4" w:space="0"/>
              <w:right w:val="single" w:color="000000" w:sz="4" w:space="0"/>
            </w:tcBorders>
            <w:noWrap w:val="0"/>
            <w:vAlign w:val="center"/>
          </w:tcPr>
          <w:p w14:paraId="1B5E1CC3">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default" w:ascii="Courier New" w:hAnsi="Courier New" w:cs="Courier New"/>
                <w:color w:val="auto"/>
                <w:kern w:val="2"/>
                <w:sz w:val="21"/>
                <w:szCs w:val="21"/>
                <w:highlight w:val="none"/>
                <w:lang w:val="en-US" w:eastAsia="zh-CN" w:bidi="ar"/>
              </w:rPr>
              <w:t>投标人通过质量管理体系认证</w:t>
            </w:r>
            <w:r>
              <w:rPr>
                <w:rFonts w:hint="default" w:ascii="Courier New" w:hAnsi="Courier New" w:eastAsia="宋体" w:cs="Courier New"/>
                <w:color w:val="auto"/>
                <w:kern w:val="2"/>
                <w:sz w:val="21"/>
                <w:szCs w:val="21"/>
                <w:highlight w:val="none"/>
                <w:lang w:val="en-US" w:eastAsia="zh-CN" w:bidi="ar"/>
              </w:rPr>
              <w:t>且有效（投标文件中提供相关有效证明材料复印件），得</w:t>
            </w:r>
            <w:r>
              <w:rPr>
                <w:rFonts w:hint="eastAsia" w:ascii="宋体" w:hAnsi="宋体" w:eastAsia="宋体" w:cs="宋体"/>
                <w:color w:val="auto"/>
                <w:kern w:val="2"/>
                <w:sz w:val="21"/>
                <w:szCs w:val="21"/>
                <w:highlight w:val="none"/>
                <w:lang w:val="en-US" w:eastAsia="zh-CN" w:bidi="ar"/>
              </w:rPr>
              <w:t>3</w:t>
            </w:r>
            <w:r>
              <w:rPr>
                <w:rFonts w:hint="default" w:ascii="Courier New" w:hAnsi="Courier New" w:eastAsia="宋体" w:cs="Courier New"/>
                <w:color w:val="auto"/>
                <w:kern w:val="2"/>
                <w:sz w:val="21"/>
                <w:szCs w:val="21"/>
                <w:highlight w:val="none"/>
                <w:lang w:val="en-US" w:eastAsia="zh-CN" w:bidi="ar"/>
              </w:rPr>
              <w:t>分。</w:t>
            </w:r>
          </w:p>
          <w:p w14:paraId="631807DF">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default" w:ascii="Courier New" w:hAnsi="Courier New" w:cs="Courier New"/>
                <w:color w:val="auto"/>
                <w:kern w:val="2"/>
                <w:sz w:val="21"/>
                <w:szCs w:val="21"/>
                <w:highlight w:val="none"/>
                <w:lang w:val="en-US" w:eastAsia="zh-CN" w:bidi="ar"/>
              </w:rPr>
              <w:t>业绩分（</w:t>
            </w:r>
            <w:r>
              <w:rPr>
                <w:rFonts w:hint="eastAsia" w:ascii="宋体" w:hAnsi="宋体" w:eastAsia="宋体" w:cs="宋体"/>
                <w:color w:val="auto"/>
                <w:kern w:val="2"/>
                <w:sz w:val="21"/>
                <w:szCs w:val="21"/>
                <w:highlight w:val="none"/>
                <w:lang w:val="en-US" w:eastAsia="zh-CN" w:bidi="ar"/>
              </w:rPr>
              <w:t>7</w:t>
            </w:r>
            <w:r>
              <w:rPr>
                <w:rFonts w:hint="default" w:ascii="Courier New" w:hAnsi="Courier New" w:cs="Courier New"/>
                <w:color w:val="auto"/>
                <w:kern w:val="2"/>
                <w:sz w:val="21"/>
                <w:szCs w:val="21"/>
                <w:highlight w:val="none"/>
                <w:lang w:val="en-US" w:eastAsia="zh-CN" w:bidi="ar"/>
              </w:rPr>
              <w:t>分）：投标人自</w:t>
            </w:r>
            <w:r>
              <w:rPr>
                <w:rFonts w:hint="eastAsia" w:ascii="宋体" w:hAnsi="宋体" w:eastAsia="宋体" w:cs="宋体"/>
                <w:color w:val="auto"/>
                <w:kern w:val="2"/>
                <w:sz w:val="21"/>
                <w:szCs w:val="21"/>
                <w:highlight w:val="none"/>
                <w:lang w:val="en-US" w:eastAsia="zh-CN" w:bidi="ar"/>
              </w:rPr>
              <w:t>202</w:t>
            </w:r>
            <w:r>
              <w:rPr>
                <w:rFonts w:hint="eastAsia" w:ascii="宋体" w:hAnsi="宋体" w:cs="宋体"/>
                <w:color w:val="auto"/>
                <w:kern w:val="2"/>
                <w:sz w:val="21"/>
                <w:szCs w:val="21"/>
                <w:highlight w:val="none"/>
                <w:lang w:val="en-US" w:eastAsia="zh-CN" w:bidi="ar"/>
              </w:rPr>
              <w:t>2</w:t>
            </w:r>
            <w:r>
              <w:rPr>
                <w:rFonts w:hint="default" w:ascii="Courier New" w:hAnsi="Courier New" w:cs="Courier New"/>
                <w:color w:val="auto"/>
                <w:kern w:val="2"/>
                <w:sz w:val="21"/>
                <w:szCs w:val="21"/>
                <w:highlight w:val="none"/>
                <w:lang w:val="en-US" w:eastAsia="zh-CN" w:bidi="ar"/>
              </w:rPr>
              <w:t>年来具有与本工程类别相同的工程项目业绩，每提供</w:t>
            </w:r>
            <w:r>
              <w:rPr>
                <w:rFonts w:hint="eastAsia" w:ascii="宋体" w:hAnsi="宋体" w:eastAsia="宋体" w:cs="宋体"/>
                <w:color w:val="auto"/>
                <w:kern w:val="2"/>
                <w:sz w:val="21"/>
                <w:szCs w:val="21"/>
                <w:highlight w:val="none"/>
                <w:lang w:val="en-US" w:eastAsia="zh-CN" w:bidi="ar"/>
              </w:rPr>
              <w:t>1</w:t>
            </w:r>
            <w:r>
              <w:rPr>
                <w:rFonts w:hint="default" w:ascii="Courier New" w:hAnsi="Courier New" w:cs="Courier New"/>
                <w:color w:val="auto"/>
                <w:kern w:val="2"/>
                <w:sz w:val="21"/>
                <w:szCs w:val="21"/>
                <w:highlight w:val="none"/>
                <w:lang w:val="en-US" w:eastAsia="zh-CN" w:bidi="ar"/>
              </w:rPr>
              <w:t>个得</w:t>
            </w:r>
            <w:r>
              <w:rPr>
                <w:rFonts w:hint="eastAsia" w:ascii="宋体" w:hAnsi="宋体" w:eastAsia="宋体" w:cs="宋体"/>
                <w:color w:val="auto"/>
                <w:kern w:val="2"/>
                <w:sz w:val="21"/>
                <w:szCs w:val="21"/>
                <w:highlight w:val="none"/>
                <w:lang w:val="en-US" w:eastAsia="zh-CN" w:bidi="ar"/>
              </w:rPr>
              <w:t>1</w:t>
            </w:r>
            <w:r>
              <w:rPr>
                <w:rFonts w:hint="default" w:ascii="Courier New" w:hAnsi="Courier New" w:cs="Courier New"/>
                <w:color w:val="auto"/>
                <w:kern w:val="2"/>
                <w:sz w:val="21"/>
                <w:szCs w:val="21"/>
                <w:highlight w:val="none"/>
                <w:lang w:val="en-US" w:eastAsia="zh-CN" w:bidi="ar"/>
              </w:rPr>
              <w:t>分，最多得</w:t>
            </w:r>
            <w:r>
              <w:rPr>
                <w:rFonts w:hint="eastAsia" w:ascii="宋体" w:hAnsi="宋体" w:eastAsia="宋体" w:cs="宋体"/>
                <w:color w:val="auto"/>
                <w:kern w:val="2"/>
                <w:sz w:val="21"/>
                <w:szCs w:val="21"/>
                <w:highlight w:val="none"/>
                <w:lang w:val="en-US" w:eastAsia="zh-CN" w:bidi="ar"/>
              </w:rPr>
              <w:t>7</w:t>
            </w:r>
            <w:r>
              <w:rPr>
                <w:rFonts w:hint="default" w:ascii="Courier New" w:hAnsi="Courier New" w:cs="Courier New"/>
                <w:color w:val="auto"/>
                <w:kern w:val="2"/>
                <w:sz w:val="21"/>
                <w:szCs w:val="21"/>
                <w:highlight w:val="none"/>
                <w:lang w:val="en-US" w:eastAsia="zh-CN" w:bidi="ar"/>
              </w:rPr>
              <w:t>分。</w:t>
            </w:r>
            <w:r>
              <w:rPr>
                <w:rFonts w:hint="eastAsia" w:ascii="宋体" w:hAnsi="宋体" w:cs="宋体"/>
                <w:bCs/>
                <w:color w:val="auto"/>
                <w:szCs w:val="21"/>
                <w:highlight w:val="none"/>
              </w:rPr>
              <w:t>（</w:t>
            </w:r>
            <w:r>
              <w:rPr>
                <w:rFonts w:hint="eastAsia" w:ascii="宋体" w:hAnsi="宋体"/>
                <w:color w:val="auto"/>
                <w:highlight w:val="none"/>
              </w:rPr>
              <w:t>以提供中标、成交通知书或签订的合同扫描件、竣工验收证明材料扫描件为准，并加盖供应商公章，不提供不得分</w:t>
            </w:r>
            <w:r>
              <w:rPr>
                <w:rFonts w:hint="eastAsia" w:ascii="宋体" w:hAnsi="宋体" w:cs="宋体"/>
                <w:bCs/>
                <w:color w:val="auto"/>
                <w:szCs w:val="21"/>
                <w:highlight w:val="none"/>
              </w:rPr>
              <w:t>）</w:t>
            </w:r>
          </w:p>
        </w:tc>
      </w:tr>
      <w:tr w14:paraId="3F84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4113" w:type="dxa"/>
            <w:gridSpan w:val="4"/>
            <w:tcBorders>
              <w:top w:val="single" w:color="000000" w:sz="4" w:space="0"/>
              <w:left w:val="single" w:color="000000" w:sz="4" w:space="0"/>
              <w:bottom w:val="single" w:color="000000" w:sz="4" w:space="0"/>
              <w:right w:val="single" w:color="000000" w:sz="4" w:space="0"/>
            </w:tcBorders>
            <w:noWrap w:val="0"/>
            <w:vAlign w:val="center"/>
          </w:tcPr>
          <w:p w14:paraId="28240963">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b/>
                <w:bCs w:val="0"/>
                <w:color w:val="auto"/>
                <w:kern w:val="0"/>
                <w:sz w:val="21"/>
                <w:szCs w:val="21"/>
                <w:highlight w:val="none"/>
              </w:rPr>
            </w:pPr>
            <w:r>
              <w:rPr>
                <w:rFonts w:hint="default" w:ascii="Courier New" w:hAnsi="Courier New" w:cs="Courier New"/>
                <w:b/>
                <w:bCs w:val="0"/>
                <w:color w:val="auto"/>
                <w:kern w:val="2"/>
                <w:sz w:val="21"/>
                <w:szCs w:val="21"/>
                <w:highlight w:val="none"/>
                <w:lang w:val="en-US" w:eastAsia="zh-CN" w:bidi="ar"/>
              </w:rPr>
              <w:t>综合评分（即投标人汇总得分）</w:t>
            </w:r>
          </w:p>
        </w:tc>
        <w:tc>
          <w:tcPr>
            <w:tcW w:w="4960" w:type="dxa"/>
            <w:tcBorders>
              <w:top w:val="single" w:color="000000" w:sz="4" w:space="0"/>
              <w:left w:val="nil"/>
              <w:bottom w:val="single" w:color="000000" w:sz="4" w:space="0"/>
              <w:right w:val="single" w:color="000000" w:sz="4" w:space="0"/>
            </w:tcBorders>
            <w:noWrap w:val="0"/>
            <w:vAlign w:val="center"/>
          </w:tcPr>
          <w:p w14:paraId="19145951">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b/>
                <w:bCs w:val="0"/>
                <w:color w:val="auto"/>
                <w:kern w:val="2"/>
                <w:sz w:val="21"/>
                <w:szCs w:val="21"/>
                <w:highlight w:val="none"/>
              </w:rPr>
            </w:pPr>
            <w:r>
              <w:rPr>
                <w:rFonts w:hint="default" w:ascii="Courier New" w:hAnsi="Courier New" w:cs="Courier New"/>
                <w:b/>
                <w:bCs w:val="0"/>
                <w:color w:val="auto"/>
                <w:kern w:val="2"/>
                <w:sz w:val="21"/>
                <w:szCs w:val="21"/>
                <w:highlight w:val="none"/>
                <w:lang w:val="en-US" w:eastAsia="zh-CN" w:bidi="ar"/>
              </w:rPr>
              <w:t>投标人汇总得分</w:t>
            </w:r>
            <w:r>
              <w:rPr>
                <w:rFonts w:hint="eastAsia" w:ascii="宋体" w:hAnsi="宋体" w:eastAsia="宋体" w:cs="宋体"/>
                <w:b/>
                <w:bCs w:val="0"/>
                <w:color w:val="auto"/>
                <w:kern w:val="2"/>
                <w:sz w:val="21"/>
                <w:szCs w:val="21"/>
                <w:highlight w:val="none"/>
                <w:lang w:val="en-US" w:eastAsia="zh-CN" w:bidi="ar"/>
              </w:rPr>
              <w:t>=</w:t>
            </w:r>
            <w:r>
              <w:rPr>
                <w:rFonts w:hint="default" w:ascii="Courier New" w:hAnsi="Courier New" w:cs="Courier New"/>
                <w:b/>
                <w:bCs w:val="0"/>
                <w:color w:val="auto"/>
                <w:kern w:val="2"/>
                <w:sz w:val="21"/>
                <w:szCs w:val="21"/>
                <w:highlight w:val="none"/>
                <w:lang w:val="en-US" w:eastAsia="zh-CN" w:bidi="ar"/>
              </w:rPr>
              <w:t>该投标人的商务评审得分</w:t>
            </w:r>
            <w:r>
              <w:rPr>
                <w:rFonts w:hint="eastAsia" w:ascii="宋体" w:hAnsi="宋体" w:eastAsia="宋体" w:cs="宋体"/>
                <w:b/>
                <w:bCs w:val="0"/>
                <w:color w:val="auto"/>
                <w:kern w:val="2"/>
                <w:sz w:val="21"/>
                <w:szCs w:val="21"/>
                <w:highlight w:val="none"/>
                <w:lang w:val="en-US" w:eastAsia="zh-CN" w:bidi="ar"/>
              </w:rPr>
              <w:t>+</w:t>
            </w:r>
            <w:r>
              <w:rPr>
                <w:rFonts w:hint="default" w:ascii="Courier New" w:hAnsi="Courier New" w:cs="Courier New"/>
                <w:b/>
                <w:bCs w:val="0"/>
                <w:color w:val="auto"/>
                <w:kern w:val="2"/>
                <w:sz w:val="21"/>
                <w:szCs w:val="21"/>
                <w:highlight w:val="none"/>
                <w:lang w:val="en-US" w:eastAsia="zh-CN" w:bidi="ar"/>
              </w:rPr>
              <w:t>技术评审得分</w:t>
            </w:r>
            <w:r>
              <w:rPr>
                <w:rFonts w:hint="eastAsia" w:ascii="宋体" w:hAnsi="宋体" w:eastAsia="宋体" w:cs="宋体"/>
                <w:b/>
                <w:bCs w:val="0"/>
                <w:color w:val="auto"/>
                <w:kern w:val="2"/>
                <w:sz w:val="21"/>
                <w:szCs w:val="21"/>
                <w:highlight w:val="none"/>
                <w:lang w:val="en-US" w:eastAsia="zh-CN" w:bidi="ar"/>
              </w:rPr>
              <w:t>+</w:t>
            </w:r>
            <w:r>
              <w:rPr>
                <w:rFonts w:hint="default" w:ascii="Courier New" w:hAnsi="Courier New" w:cs="Courier New"/>
                <w:b/>
                <w:bCs w:val="0"/>
                <w:color w:val="auto"/>
                <w:kern w:val="2"/>
                <w:sz w:val="21"/>
                <w:szCs w:val="21"/>
                <w:highlight w:val="none"/>
                <w:lang w:val="en-US" w:eastAsia="zh-CN" w:bidi="ar"/>
              </w:rPr>
              <w:t>企业信誉实力评审得分</w:t>
            </w:r>
          </w:p>
        </w:tc>
      </w:tr>
    </w:tbl>
    <w:p w14:paraId="60BCB554">
      <w:pPr>
        <w:numPr>
          <w:ilvl w:val="-1"/>
          <w:numId w:val="0"/>
        </w:numPr>
        <w:rPr>
          <w:color w:val="auto"/>
          <w:highlight w:val="none"/>
        </w:rPr>
      </w:pPr>
    </w:p>
    <w:p w14:paraId="76404A81">
      <w:pPr>
        <w:pStyle w:val="17"/>
        <w:rPr>
          <w:color w:val="auto"/>
          <w:highlight w:val="none"/>
        </w:rPr>
      </w:pPr>
    </w:p>
    <w:p w14:paraId="53A2A425">
      <w:pPr>
        <w:rPr>
          <w:color w:val="auto"/>
          <w:highlight w:val="none"/>
        </w:rPr>
      </w:pPr>
    </w:p>
    <w:p w14:paraId="217FF217">
      <w:pPr>
        <w:pStyle w:val="3"/>
        <w:ind w:left="0"/>
        <w:jc w:val="center"/>
        <w:rPr>
          <w:color w:val="auto"/>
          <w:w w:val="95"/>
          <w:sz w:val="30"/>
          <w:szCs w:val="30"/>
          <w:highlight w:val="none"/>
        </w:rPr>
      </w:pPr>
    </w:p>
    <w:p w14:paraId="44771D3E">
      <w:pPr>
        <w:pStyle w:val="3"/>
        <w:ind w:left="0"/>
        <w:jc w:val="center"/>
        <w:rPr>
          <w:color w:val="auto"/>
          <w:w w:val="95"/>
          <w:sz w:val="30"/>
          <w:szCs w:val="30"/>
          <w:highlight w:val="none"/>
        </w:rPr>
      </w:pPr>
    </w:p>
    <w:p w14:paraId="28A9B8E7">
      <w:pPr>
        <w:pStyle w:val="3"/>
        <w:ind w:left="0"/>
        <w:jc w:val="center"/>
        <w:rPr>
          <w:color w:val="auto"/>
          <w:w w:val="95"/>
          <w:sz w:val="30"/>
          <w:szCs w:val="30"/>
          <w:highlight w:val="none"/>
        </w:rPr>
      </w:pPr>
    </w:p>
    <w:p w14:paraId="1227468B">
      <w:pPr>
        <w:rPr>
          <w:color w:val="auto"/>
          <w:w w:val="95"/>
          <w:sz w:val="30"/>
          <w:szCs w:val="30"/>
          <w:highlight w:val="none"/>
        </w:rPr>
      </w:pPr>
    </w:p>
    <w:p w14:paraId="07CA070F">
      <w:pPr>
        <w:pStyle w:val="12"/>
        <w:ind w:left="1260"/>
        <w:rPr>
          <w:color w:val="auto"/>
          <w:w w:val="95"/>
          <w:sz w:val="30"/>
          <w:szCs w:val="30"/>
          <w:highlight w:val="none"/>
        </w:rPr>
      </w:pPr>
    </w:p>
    <w:p w14:paraId="6C7D85A4">
      <w:pPr>
        <w:rPr>
          <w:color w:val="auto"/>
          <w:w w:val="95"/>
          <w:sz w:val="30"/>
          <w:szCs w:val="30"/>
          <w:highlight w:val="none"/>
        </w:rPr>
      </w:pPr>
    </w:p>
    <w:p w14:paraId="54BA71CE">
      <w:pPr>
        <w:pStyle w:val="3"/>
        <w:jc w:val="center"/>
        <w:rPr>
          <w:color w:val="auto"/>
          <w:sz w:val="30"/>
          <w:szCs w:val="30"/>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"_Toc478389008" </w:instrText>
      </w:r>
      <w:r>
        <w:rPr>
          <w:rFonts w:hint="eastAsia"/>
          <w:color w:val="auto"/>
          <w:sz w:val="32"/>
          <w:szCs w:val="32"/>
          <w:highlight w:val="none"/>
        </w:rPr>
        <w:fldChar w:fldCharType="separate"/>
      </w:r>
      <w:r>
        <w:rPr>
          <w:rFonts w:hint="eastAsia"/>
          <w:color w:val="auto"/>
          <w:sz w:val="32"/>
          <w:szCs w:val="32"/>
          <w:highlight w:val="none"/>
        </w:rPr>
        <w:t>第三章  合同主要条款</w:t>
      </w:r>
      <w:r>
        <w:rPr>
          <w:rFonts w:hint="eastAsia"/>
          <w:color w:val="auto"/>
          <w:sz w:val="32"/>
          <w:szCs w:val="32"/>
          <w:highlight w:val="none"/>
        </w:rPr>
        <w:fldChar w:fldCharType="end"/>
      </w:r>
    </w:p>
    <w:p w14:paraId="0FACD99C">
      <w:pPr>
        <w:snapToGrid w:val="0"/>
        <w:spacing w:line="440" w:lineRule="exact"/>
        <w:rPr>
          <w:rFonts w:asciiTheme="minorEastAsia" w:hAnsiTheme="minorEastAsia" w:eastAsiaTheme="minorEastAsia" w:cstheme="minorEastAsia"/>
          <w:color w:val="auto"/>
          <w:sz w:val="24"/>
          <w:highlight w:val="none"/>
        </w:rPr>
      </w:pPr>
    </w:p>
    <w:p w14:paraId="2BB5DEB5">
      <w:pPr>
        <w:keepNext w:val="0"/>
        <w:keepLines w:val="0"/>
        <w:pageBreakBefore w:val="0"/>
        <w:widowControl w:val="0"/>
        <w:kinsoku/>
        <w:wordWrap/>
        <w:overflowPunct/>
        <w:topLinePunct w:val="0"/>
        <w:autoSpaceDE/>
        <w:autoSpaceDN/>
        <w:bidi w:val="0"/>
        <w:adjustRightInd/>
        <w:snapToGrid/>
        <w:spacing w:line="460" w:lineRule="exact"/>
        <w:ind w:right="-199" w:rightChars="-95"/>
        <w:textAlignment w:val="baseline"/>
        <w:rPr>
          <w:rStyle w:val="33"/>
          <w:rFonts w:hint="eastAsia" w:ascii="宋体" w:hAnsi="宋体" w:eastAsia="宋体" w:cs="宋体"/>
          <w:b/>
          <w:color w:val="auto"/>
          <w:kern w:val="0"/>
          <w:sz w:val="24"/>
          <w:szCs w:val="24"/>
          <w:highlight w:val="none"/>
          <w:u w:val="single"/>
        </w:rPr>
      </w:pPr>
      <w:r>
        <w:rPr>
          <w:rStyle w:val="33"/>
          <w:rFonts w:hint="eastAsia" w:ascii="宋体" w:hAnsi="宋体" w:eastAsia="宋体" w:cs="宋体"/>
          <w:b/>
          <w:color w:val="auto"/>
          <w:kern w:val="0"/>
          <w:sz w:val="24"/>
          <w:szCs w:val="24"/>
          <w:highlight w:val="none"/>
        </w:rPr>
        <w:t>建设单位：</w:t>
      </w:r>
      <w:r>
        <w:rPr>
          <w:rStyle w:val="33"/>
          <w:rFonts w:hint="eastAsia" w:ascii="宋体" w:hAnsi="宋体" w:eastAsia="宋体" w:cs="宋体"/>
          <w:b/>
          <w:color w:val="auto"/>
          <w:kern w:val="0"/>
          <w:sz w:val="24"/>
          <w:szCs w:val="24"/>
          <w:highlight w:val="none"/>
          <w:lang w:val="en-US" w:eastAsia="zh-CN"/>
        </w:rPr>
        <w:t xml:space="preserve"> </w:t>
      </w:r>
      <w:r>
        <w:rPr>
          <w:rStyle w:val="33"/>
          <w:rFonts w:hint="eastAsia" w:ascii="宋体" w:hAnsi="宋体" w:eastAsia="宋体" w:cs="宋体"/>
          <w:b/>
          <w:color w:val="auto"/>
          <w:kern w:val="0"/>
          <w:sz w:val="24"/>
          <w:szCs w:val="24"/>
          <w:highlight w:val="none"/>
        </w:rPr>
        <w:t>(以下简称甲方)</w:t>
      </w:r>
    </w:p>
    <w:p w14:paraId="734853D9">
      <w:pPr>
        <w:keepNext w:val="0"/>
        <w:keepLines w:val="0"/>
        <w:pageBreakBefore w:val="0"/>
        <w:widowControl w:val="0"/>
        <w:kinsoku/>
        <w:wordWrap/>
        <w:overflowPunct/>
        <w:topLinePunct w:val="0"/>
        <w:autoSpaceDE/>
        <w:autoSpaceDN/>
        <w:bidi w:val="0"/>
        <w:adjustRightInd/>
        <w:snapToGrid/>
        <w:spacing w:line="460" w:lineRule="exact"/>
        <w:textAlignment w:val="baseline"/>
        <w:rPr>
          <w:rStyle w:val="33"/>
          <w:rFonts w:hint="eastAsia" w:ascii="宋体" w:hAnsi="宋体" w:eastAsia="宋体" w:cs="宋体"/>
          <w:b/>
          <w:color w:val="auto"/>
          <w:kern w:val="0"/>
          <w:sz w:val="24"/>
          <w:szCs w:val="24"/>
          <w:highlight w:val="none"/>
        </w:rPr>
      </w:pPr>
      <w:r>
        <w:rPr>
          <w:rStyle w:val="33"/>
          <w:rFonts w:hint="eastAsia" w:ascii="宋体" w:hAnsi="宋体" w:eastAsia="宋体" w:cs="宋体"/>
          <w:b/>
          <w:color w:val="auto"/>
          <w:kern w:val="0"/>
          <w:sz w:val="24"/>
          <w:szCs w:val="24"/>
          <w:highlight w:val="none"/>
        </w:rPr>
        <w:t>施工单位</w:t>
      </w:r>
      <w:r>
        <w:rPr>
          <w:rStyle w:val="33"/>
          <w:rFonts w:hint="eastAsia" w:ascii="宋体" w:hAnsi="宋体" w:eastAsia="宋体" w:cs="宋体"/>
          <w:b/>
          <w:color w:val="auto"/>
          <w:kern w:val="0"/>
          <w:sz w:val="24"/>
          <w:szCs w:val="24"/>
          <w:highlight w:val="none"/>
          <w:lang w:eastAsia="zh-CN"/>
        </w:rPr>
        <w:t>：</w:t>
      </w:r>
      <w:r>
        <w:rPr>
          <w:rStyle w:val="33"/>
          <w:rFonts w:hint="eastAsia" w:ascii="宋体" w:hAnsi="宋体" w:eastAsia="宋体" w:cs="宋体"/>
          <w:b/>
          <w:color w:val="auto"/>
          <w:kern w:val="0"/>
          <w:sz w:val="24"/>
          <w:szCs w:val="24"/>
          <w:highlight w:val="none"/>
        </w:rPr>
        <w:t>（以下简称乙方）</w:t>
      </w:r>
    </w:p>
    <w:p w14:paraId="0BC31E2E">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甲方委托乙方进行“桂林市人民医院</w:t>
      </w:r>
      <w:r>
        <w:rPr>
          <w:rStyle w:val="33"/>
          <w:rFonts w:hint="eastAsia" w:ascii="宋体" w:hAnsi="宋体" w:eastAsia="宋体" w:cs="宋体"/>
          <w:color w:val="auto"/>
          <w:kern w:val="0"/>
          <w:sz w:val="24"/>
          <w:szCs w:val="24"/>
          <w:highlight w:val="none"/>
          <w:lang w:val="en-US" w:eastAsia="zh-CN"/>
        </w:rPr>
        <w:t>北门社区卫生服务中心电力改造及新增发电机组工程</w:t>
      </w:r>
      <w:r>
        <w:rPr>
          <w:rStyle w:val="33"/>
          <w:rFonts w:hint="eastAsia" w:ascii="宋体" w:hAnsi="宋体" w:eastAsia="宋体" w:cs="宋体"/>
          <w:color w:val="auto"/>
          <w:kern w:val="0"/>
          <w:sz w:val="24"/>
          <w:szCs w:val="24"/>
          <w:highlight w:val="none"/>
        </w:rPr>
        <w:t>”的施工，为确保工程顺利进行，经双方友好协商，特定以下条款共同遵守。</w:t>
      </w:r>
    </w:p>
    <w:p w14:paraId="7A6ED662">
      <w:pPr>
        <w:keepNext w:val="0"/>
        <w:keepLines w:val="0"/>
        <w:pageBreakBefore w:val="0"/>
        <w:widowControl w:val="0"/>
        <w:tabs>
          <w:tab w:val="left" w:pos="210"/>
        </w:tabs>
        <w:kinsoku/>
        <w:wordWrap/>
        <w:overflowPunct/>
        <w:topLinePunct w:val="0"/>
        <w:autoSpaceDE/>
        <w:autoSpaceDN/>
        <w:bidi w:val="0"/>
        <w:adjustRightInd/>
        <w:snapToGrid/>
        <w:spacing w:line="460" w:lineRule="exact"/>
        <w:ind w:left="239" w:leftChars="114" w:firstLine="241" w:firstLineChars="1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一、工程概况、地点及付款方式</w:t>
      </w:r>
    </w:p>
    <w:p w14:paraId="541635E0">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工程地点：桂林市北门社区服务中心</w:t>
      </w:r>
    </w:p>
    <w:p w14:paraId="209F0C16">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2</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工程概况：本工程为桂林市人民医院</w:t>
      </w:r>
      <w:r>
        <w:rPr>
          <w:rStyle w:val="33"/>
          <w:rFonts w:hint="eastAsia" w:ascii="宋体" w:hAnsi="宋体" w:eastAsia="宋体" w:cs="宋体"/>
          <w:color w:val="auto"/>
          <w:kern w:val="0"/>
          <w:sz w:val="24"/>
          <w:szCs w:val="24"/>
          <w:highlight w:val="none"/>
          <w:lang w:val="en-US" w:eastAsia="zh-CN"/>
        </w:rPr>
        <w:t>北门社区卫生服务中心电力改造及新增发电机组工程</w:t>
      </w:r>
      <w:r>
        <w:rPr>
          <w:rStyle w:val="33"/>
          <w:rFonts w:hint="eastAsia" w:ascii="宋体" w:hAnsi="宋体" w:eastAsia="宋体" w:cs="宋体"/>
          <w:color w:val="auto"/>
          <w:kern w:val="0"/>
          <w:sz w:val="24"/>
          <w:szCs w:val="24"/>
          <w:highlight w:val="none"/>
        </w:rPr>
        <w:t>，位于广西壮族自治区桂林市。</w:t>
      </w:r>
    </w:p>
    <w:p w14:paraId="35DD9795">
      <w:pPr>
        <w:keepNext w:val="0"/>
        <w:keepLines w:val="0"/>
        <w:pageBreakBefore w:val="0"/>
        <w:widowControl w:val="0"/>
        <w:tabs>
          <w:tab w:val="left" w:pos="315"/>
        </w:tabs>
        <w:kinsoku/>
        <w:wordWrap/>
        <w:overflowPunct/>
        <w:topLinePunct w:val="0"/>
        <w:autoSpaceDE/>
        <w:autoSpaceDN/>
        <w:bidi w:val="0"/>
        <w:adjustRightInd/>
        <w:snapToGrid/>
        <w:spacing w:line="460" w:lineRule="exact"/>
        <w:ind w:left="479" w:leftChars="228"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Cs/>
          <w:color w:val="auto"/>
          <w:kern w:val="0"/>
          <w:sz w:val="24"/>
          <w:szCs w:val="24"/>
          <w:highlight w:val="none"/>
        </w:rPr>
        <w:t>3</w:t>
      </w:r>
      <w:r>
        <w:rPr>
          <w:rStyle w:val="33"/>
          <w:rFonts w:hint="eastAsia" w:ascii="宋体" w:hAnsi="宋体" w:eastAsia="宋体" w:cs="宋体"/>
          <w:bCs/>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承包方式、金额、拨款方法：</w:t>
      </w:r>
    </w:p>
    <w:p w14:paraId="7777E198">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val="zh-CN"/>
        </w:rPr>
        <w:t>本工程合同总价暂定</w:t>
      </w:r>
      <w:r>
        <w:rPr>
          <w:rStyle w:val="33"/>
          <w:rFonts w:hint="eastAsia" w:ascii="宋体" w:hAnsi="宋体" w:eastAsia="宋体" w:cs="宋体"/>
          <w:color w:val="auto"/>
          <w:kern w:val="0"/>
          <w:sz w:val="24"/>
          <w:szCs w:val="24"/>
          <w:highlight w:val="none"/>
        </w:rPr>
        <w:t>为人民币：</w:t>
      </w:r>
      <w:r>
        <w:rPr>
          <w:rStyle w:val="33"/>
          <w:rFonts w:hint="eastAsia" w:ascii="宋体" w:hAnsi="宋体" w:eastAsia="宋体" w:cs="宋体"/>
          <w:color w:val="auto"/>
          <w:kern w:val="0"/>
          <w:sz w:val="24"/>
          <w:szCs w:val="24"/>
          <w:highlight w:val="none"/>
          <w:u w:val="single"/>
        </w:rPr>
        <w:t>￥</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kern w:val="0"/>
          <w:sz w:val="24"/>
          <w:szCs w:val="24"/>
          <w:highlight w:val="none"/>
        </w:rPr>
        <w:t>（大写：</w:t>
      </w:r>
      <w:r>
        <w:rPr>
          <w:rStyle w:val="33"/>
          <w:rFonts w:hint="eastAsia" w:cs="宋体"/>
          <w:color w:val="auto"/>
          <w:kern w:val="0"/>
          <w:sz w:val="24"/>
          <w:szCs w:val="24"/>
          <w:highlight w:val="none"/>
          <w:u w:val="single"/>
          <w:lang w:val="en-US" w:eastAsia="zh-CN"/>
        </w:rPr>
        <w:t xml:space="preserve">      </w:t>
      </w:r>
      <w:r>
        <w:rPr>
          <w:rStyle w:val="33"/>
          <w:rFonts w:hint="eastAsia" w:cs="宋体"/>
          <w:color w:val="auto"/>
          <w:kern w:val="0"/>
          <w:sz w:val="24"/>
          <w:szCs w:val="24"/>
          <w:highlight w:val="none"/>
          <w:lang w:val="en-US" w:eastAsia="zh-CN"/>
        </w:rPr>
        <w:t>含暂列金</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kern w:val="0"/>
          <w:sz w:val="24"/>
          <w:szCs w:val="24"/>
          <w:highlight w:val="none"/>
        </w:rPr>
        <w:t>），该价格含工程</w:t>
      </w:r>
      <w:r>
        <w:rPr>
          <w:rStyle w:val="33"/>
          <w:rFonts w:hint="eastAsia" w:cs="宋体"/>
          <w:color w:val="auto"/>
          <w:kern w:val="0"/>
          <w:sz w:val="24"/>
          <w:szCs w:val="24"/>
          <w:highlight w:val="none"/>
          <w:lang w:val="en-US" w:eastAsia="zh-CN"/>
        </w:rPr>
        <w:t>税费、</w:t>
      </w:r>
      <w:r>
        <w:rPr>
          <w:rStyle w:val="33"/>
          <w:rFonts w:hint="eastAsia" w:ascii="宋体" w:hAnsi="宋体" w:eastAsia="宋体" w:cs="宋体"/>
          <w:color w:val="auto"/>
          <w:kern w:val="0"/>
          <w:sz w:val="24"/>
          <w:szCs w:val="24"/>
          <w:highlight w:val="none"/>
        </w:rPr>
        <w:t>施工费、供电验收、未通过供电验收的整改和移交等所有费用。</w:t>
      </w:r>
    </w:p>
    <w:p w14:paraId="1DA7A443">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合同价格形式：本项目采用单价合同形式，合同价款采用固定单价，总价可调方式确定。</w:t>
      </w:r>
    </w:p>
    <w:p w14:paraId="7E2774C8">
      <w:pPr>
        <w:keepNext w:val="0"/>
        <w:keepLines w:val="0"/>
        <w:pageBreakBefore w:val="0"/>
        <w:widowControl w:val="0"/>
        <w:tabs>
          <w:tab w:val="left" w:pos="220"/>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设计修改或签证增加工程项目：增加工程量以甲方认可的工程量，及经甲方认可的实际竣工图所载工程量为依据。合同中已有适用于变更工程的价格，按合同已有的价格变更合同价款；合同中只有类似于变更工程的价格，可以参照类似的价格变更合同价款；合同中没有适用或类似于变更工程的价格，由乙方提出适当的变更价格，经甲方确认后执行。</w:t>
      </w:r>
    </w:p>
    <w:p w14:paraId="0B724D07">
      <w:pPr>
        <w:keepNext w:val="0"/>
        <w:keepLines w:val="0"/>
        <w:pageBreakBefore w:val="0"/>
        <w:widowControl w:val="0"/>
        <w:tabs>
          <w:tab w:val="left" w:pos="220"/>
        </w:tabs>
        <w:kinsoku/>
        <w:wordWrap/>
        <w:overflowPunct/>
        <w:topLinePunct w:val="0"/>
        <w:autoSpaceDE/>
        <w:autoSpaceDN/>
        <w:bidi w:val="0"/>
        <w:adjustRightInd/>
        <w:snapToGrid/>
        <w:spacing w:line="460" w:lineRule="exact"/>
        <w:ind w:left="15" w:hanging="15"/>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 xml:space="preserve">    （2）施工期间</w:t>
      </w:r>
      <w:r>
        <w:rPr>
          <w:rStyle w:val="33"/>
          <w:rFonts w:hint="eastAsia" w:ascii="宋体" w:hAnsi="宋体" w:eastAsia="宋体" w:cs="宋体"/>
          <w:color w:val="auto"/>
          <w:sz w:val="24"/>
          <w:szCs w:val="24"/>
          <w:highlight w:val="none"/>
        </w:rPr>
        <w:t>乙</w:t>
      </w:r>
      <w:r>
        <w:rPr>
          <w:rStyle w:val="33"/>
          <w:rFonts w:hint="eastAsia" w:ascii="宋体" w:hAnsi="宋体" w:eastAsia="宋体" w:cs="宋体"/>
          <w:color w:val="auto"/>
          <w:kern w:val="0"/>
          <w:sz w:val="24"/>
          <w:szCs w:val="24"/>
          <w:highlight w:val="none"/>
        </w:rPr>
        <w:t>方所使用的水电由甲方提供,水电费用由乙方承担，结算时予以扣除。</w:t>
      </w:r>
    </w:p>
    <w:p w14:paraId="6DD2C3ED">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3</w:t>
      </w: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乙方</w:t>
      </w:r>
      <w:r>
        <w:rPr>
          <w:rStyle w:val="33"/>
          <w:rFonts w:hint="eastAsia" w:ascii="宋体" w:hAnsi="宋体" w:eastAsia="宋体" w:cs="宋体"/>
          <w:color w:val="auto"/>
          <w:kern w:val="0"/>
          <w:sz w:val="24"/>
          <w:szCs w:val="24"/>
          <w:highlight w:val="none"/>
        </w:rPr>
        <w:t>是否提供履约担保:按合同价款的3%在第一次转账支付工程进度款时扣除，项目结算完成后无息退返。</w:t>
      </w:r>
    </w:p>
    <w:p w14:paraId="1B2BD646">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4</w:t>
      </w:r>
      <w:r>
        <w:rPr>
          <w:rStyle w:val="33"/>
          <w:rFonts w:hint="eastAsia" w:cs="宋体"/>
          <w:color w:val="auto"/>
          <w:kern w:val="0"/>
          <w:sz w:val="24"/>
          <w:szCs w:val="24"/>
          <w:highlight w:val="none"/>
          <w:lang w:eastAsia="zh-CN"/>
        </w:rPr>
        <w:t>）</w:t>
      </w:r>
      <w:r>
        <w:rPr>
          <w:rStyle w:val="33"/>
          <w:rFonts w:hint="eastAsia" w:cs="宋体"/>
          <w:color w:val="auto"/>
          <w:kern w:val="0"/>
          <w:sz w:val="24"/>
          <w:szCs w:val="24"/>
          <w:highlight w:val="none"/>
          <w:lang w:val="en-US" w:eastAsia="zh-CN"/>
        </w:rPr>
        <w:t>乙方</w:t>
      </w:r>
      <w:r>
        <w:rPr>
          <w:rStyle w:val="33"/>
          <w:rFonts w:hint="eastAsia" w:ascii="宋体" w:hAnsi="宋体" w:eastAsia="宋体" w:cs="宋体"/>
          <w:color w:val="auto"/>
          <w:kern w:val="0"/>
          <w:sz w:val="24"/>
          <w:szCs w:val="24"/>
          <w:highlight w:val="none"/>
        </w:rPr>
        <w:t>提供安全生产风险抵押的形式、金额及期限的:按合同价款的2%在第一次转账支付工程进度款时扣除，项目施工竣工验收合格后无息退返。</w:t>
      </w:r>
    </w:p>
    <w:p w14:paraId="18B19839">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4</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工程款按如下办法支付：</w:t>
      </w:r>
    </w:p>
    <w:p w14:paraId="50DDCA27">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（1）合同签订、签发开工令支付合同造价的20%(扣除暂列金，安全风险金 2%，履约保证金 3%)；</w:t>
      </w:r>
    </w:p>
    <w:p w14:paraId="6AF9C167">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（2）主要设备进场后甲方支付至合同总额的50%作为工程进度款，用于土建、安装及设备与材料的款项支付；</w:t>
      </w:r>
    </w:p>
    <w:p w14:paraId="14D2AAF1">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（3）本工程施工完成、送电验收合格后，支付至合同总额的80%；</w:t>
      </w:r>
    </w:p>
    <w:p w14:paraId="62DE5A7F">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（4）乙方提交竣工付款申请单，最终结算以审计部门的审定结果为准。验收合格后，工程款按最终审定的结算造价支付至95％，</w:t>
      </w:r>
    </w:p>
    <w:p w14:paraId="35EDB95D">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w:t>
      </w:r>
      <w:r>
        <w:rPr>
          <w:rStyle w:val="33"/>
          <w:rFonts w:hint="eastAsia" w:cs="宋体"/>
          <w:color w:val="auto"/>
          <w:kern w:val="0"/>
          <w:sz w:val="24"/>
          <w:szCs w:val="24"/>
          <w:highlight w:val="none"/>
          <w:u w:val="none"/>
          <w:lang w:val="en-US" w:eastAsia="zh-CN"/>
        </w:rPr>
        <w:t>5</w:t>
      </w:r>
      <w:r>
        <w:rPr>
          <w:rStyle w:val="33"/>
          <w:rFonts w:hint="eastAsia" w:ascii="宋体" w:hAnsi="宋体" w:eastAsia="宋体" w:cs="宋体"/>
          <w:color w:val="auto"/>
          <w:kern w:val="0"/>
          <w:sz w:val="24"/>
          <w:szCs w:val="24"/>
          <w:highlight w:val="none"/>
          <w:u w:val="none"/>
          <w:lang w:val="en-US" w:eastAsia="zh-CN"/>
        </w:rPr>
        <w:t>）余工程审核造价金额的</w:t>
      </w:r>
      <w:r>
        <w:rPr>
          <w:rStyle w:val="33"/>
          <w:rFonts w:hint="eastAsia" w:cs="宋体"/>
          <w:color w:val="auto"/>
          <w:kern w:val="0"/>
          <w:sz w:val="24"/>
          <w:szCs w:val="24"/>
          <w:highlight w:val="none"/>
          <w:u w:val="none"/>
          <w:lang w:val="en-US" w:eastAsia="zh-CN"/>
        </w:rPr>
        <w:t>5</w:t>
      </w:r>
      <w:r>
        <w:rPr>
          <w:rStyle w:val="33"/>
          <w:rFonts w:hint="eastAsia" w:ascii="宋体" w:hAnsi="宋体" w:eastAsia="宋体" w:cs="宋体"/>
          <w:color w:val="auto"/>
          <w:kern w:val="0"/>
          <w:sz w:val="24"/>
          <w:szCs w:val="24"/>
          <w:highlight w:val="none"/>
          <w:u w:val="none"/>
          <w:lang w:val="en-US" w:eastAsia="zh-CN"/>
        </w:rPr>
        <w:t>%作为质保金，质保期自竣工之日起计算</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kern w:val="0"/>
          <w:sz w:val="24"/>
          <w:szCs w:val="24"/>
          <w:highlight w:val="none"/>
          <w:u w:val="none"/>
          <w:lang w:val="en-US" w:eastAsia="zh-CN"/>
        </w:rPr>
        <w:t>年（防水5年）</w:t>
      </w:r>
      <w:r>
        <w:rPr>
          <w:rStyle w:val="33"/>
          <w:rFonts w:hint="eastAsia" w:cs="宋体"/>
          <w:color w:val="auto"/>
          <w:kern w:val="0"/>
          <w:sz w:val="24"/>
          <w:szCs w:val="24"/>
          <w:highlight w:val="none"/>
          <w:u w:val="none"/>
          <w:lang w:val="en-US" w:eastAsia="zh-CN"/>
        </w:rPr>
        <w:t>，</w:t>
      </w:r>
      <w:r>
        <w:rPr>
          <w:rStyle w:val="33"/>
          <w:rFonts w:hint="eastAsia" w:ascii="宋体" w:hAnsi="宋体" w:eastAsia="宋体" w:cs="宋体"/>
          <w:color w:val="auto"/>
          <w:kern w:val="0"/>
          <w:sz w:val="24"/>
          <w:szCs w:val="24"/>
          <w:highlight w:val="none"/>
          <w:u w:val="none"/>
          <w:lang w:val="en-US" w:eastAsia="zh-CN"/>
        </w:rPr>
        <w:t>质保期满如未出现质量缺陷，或虽出现质量缺陷，但</w:t>
      </w:r>
      <w:r>
        <w:rPr>
          <w:rStyle w:val="33"/>
          <w:rFonts w:hint="eastAsia" w:cs="宋体"/>
          <w:color w:val="auto"/>
          <w:kern w:val="0"/>
          <w:sz w:val="24"/>
          <w:szCs w:val="24"/>
          <w:highlight w:val="none"/>
          <w:u w:val="none"/>
          <w:lang w:val="en-US" w:eastAsia="zh-CN"/>
        </w:rPr>
        <w:t>乙方</w:t>
      </w:r>
      <w:r>
        <w:rPr>
          <w:rStyle w:val="33"/>
          <w:rFonts w:hint="eastAsia" w:ascii="宋体" w:hAnsi="宋体" w:eastAsia="宋体" w:cs="宋体"/>
          <w:color w:val="auto"/>
          <w:kern w:val="0"/>
          <w:sz w:val="24"/>
          <w:szCs w:val="24"/>
          <w:highlight w:val="none"/>
          <w:u w:val="none"/>
          <w:lang w:val="en-US" w:eastAsia="zh-CN"/>
        </w:rPr>
        <w:t>已按合同约定条款履行了保修责任，并经</w:t>
      </w:r>
      <w:r>
        <w:rPr>
          <w:rStyle w:val="33"/>
          <w:rFonts w:hint="eastAsia" w:cs="宋体"/>
          <w:color w:val="auto"/>
          <w:kern w:val="0"/>
          <w:sz w:val="24"/>
          <w:szCs w:val="24"/>
          <w:highlight w:val="none"/>
          <w:u w:val="none"/>
          <w:lang w:val="en-US" w:eastAsia="zh-CN"/>
        </w:rPr>
        <w:t>甲方</w:t>
      </w:r>
      <w:r>
        <w:rPr>
          <w:rStyle w:val="33"/>
          <w:rFonts w:hint="eastAsia" w:ascii="宋体" w:hAnsi="宋体" w:eastAsia="宋体" w:cs="宋体"/>
          <w:color w:val="auto"/>
          <w:kern w:val="0"/>
          <w:sz w:val="24"/>
          <w:szCs w:val="24"/>
          <w:highlight w:val="none"/>
          <w:u w:val="none"/>
          <w:lang w:val="en-US" w:eastAsia="zh-CN"/>
        </w:rPr>
        <w:t>验收合格，质保期满30个工作日后付清（无息）。</w:t>
      </w:r>
    </w:p>
    <w:p w14:paraId="442CF824">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u w:val="none"/>
          <w:lang w:val="en-US" w:eastAsia="zh-CN"/>
        </w:rPr>
      </w:pPr>
      <w:r>
        <w:rPr>
          <w:rStyle w:val="33"/>
          <w:rFonts w:hint="eastAsia" w:ascii="宋体" w:hAnsi="宋体" w:eastAsia="宋体" w:cs="宋体"/>
          <w:color w:val="auto"/>
          <w:kern w:val="0"/>
          <w:sz w:val="24"/>
          <w:szCs w:val="24"/>
          <w:highlight w:val="none"/>
          <w:u w:val="none"/>
          <w:lang w:val="en-US" w:eastAsia="zh-CN"/>
        </w:rPr>
        <w:t>（</w:t>
      </w:r>
      <w:r>
        <w:rPr>
          <w:rStyle w:val="33"/>
          <w:rFonts w:hint="eastAsia" w:cs="宋体"/>
          <w:color w:val="auto"/>
          <w:kern w:val="0"/>
          <w:sz w:val="24"/>
          <w:szCs w:val="24"/>
          <w:highlight w:val="none"/>
          <w:u w:val="none"/>
          <w:lang w:val="en-US" w:eastAsia="zh-CN"/>
        </w:rPr>
        <w:t>6</w:t>
      </w:r>
      <w:r>
        <w:rPr>
          <w:rStyle w:val="33"/>
          <w:rFonts w:hint="eastAsia" w:ascii="宋体" w:hAnsi="宋体" w:eastAsia="宋体" w:cs="宋体"/>
          <w:color w:val="auto"/>
          <w:kern w:val="0"/>
          <w:sz w:val="24"/>
          <w:szCs w:val="24"/>
          <w:highlight w:val="none"/>
          <w:u w:val="none"/>
          <w:lang w:val="en-US" w:eastAsia="zh-CN"/>
        </w:rPr>
        <w:t>）每次付款前，乙方需向甲方提供等额有效税务发票。（各阶段进度款均需先扣除暂列金）；工程款的支付形式为银行转账；乙方应该开具真实、有效的税务发票，一旦查出乙方提供的发票作假，自动解除协议并且甲方有权利不支付该笔发票款项。</w:t>
      </w:r>
    </w:p>
    <w:p w14:paraId="7E34CC9C">
      <w:pPr>
        <w:keepNext w:val="0"/>
        <w:keepLines w:val="0"/>
        <w:pageBreakBefore w:val="0"/>
        <w:widowControl w:val="0"/>
        <w:tabs>
          <w:tab w:val="left" w:pos="420"/>
        </w:tabs>
        <w:kinsoku/>
        <w:wordWrap/>
        <w:overflowPunct/>
        <w:topLinePunct w:val="0"/>
        <w:autoSpaceDE/>
        <w:autoSpaceDN/>
        <w:bidi w:val="0"/>
        <w:adjustRightInd/>
        <w:snapToGrid/>
        <w:spacing w:line="460" w:lineRule="exact"/>
        <w:ind w:left="426" w:leftChars="203"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二</w:t>
      </w:r>
      <w:r>
        <w:rPr>
          <w:rStyle w:val="33"/>
          <w:rFonts w:hint="eastAsia" w:ascii="宋体" w:hAnsi="宋体" w:eastAsia="宋体" w:cs="宋体"/>
          <w:b/>
          <w:color w:val="auto"/>
          <w:kern w:val="0"/>
          <w:sz w:val="24"/>
          <w:szCs w:val="24"/>
          <w:highlight w:val="none"/>
        </w:rPr>
        <w:t>、工程工期</w:t>
      </w:r>
    </w:p>
    <w:p w14:paraId="224299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zh-CN"/>
        </w:rPr>
        <w:t>本工程计划开工日期</w:t>
      </w:r>
      <w:r>
        <w:rPr>
          <w:rStyle w:val="33"/>
          <w:rFonts w:hint="eastAsia" w:ascii="宋体" w:hAnsi="宋体" w:cs="宋体"/>
          <w:color w:val="auto"/>
          <w:sz w:val="24"/>
          <w:szCs w:val="24"/>
          <w:highlight w:val="none"/>
          <w:lang w:val="en-US" w:eastAsia="zh-CN"/>
        </w:rPr>
        <w:t>202</w:t>
      </w:r>
      <w:r>
        <w:rPr>
          <w:rStyle w:val="33"/>
          <w:rFonts w:hint="eastAsia" w:cs="宋体"/>
          <w:color w:val="auto"/>
          <w:sz w:val="24"/>
          <w:szCs w:val="24"/>
          <w:highlight w:val="none"/>
          <w:lang w:val="en-US" w:eastAsia="zh-CN"/>
        </w:rPr>
        <w:t>5</w:t>
      </w:r>
      <w:r>
        <w:rPr>
          <w:rStyle w:val="33"/>
          <w:rFonts w:hint="eastAsia" w:ascii="宋体" w:hAnsi="宋体" w:eastAsia="宋体" w:cs="宋体"/>
          <w:color w:val="auto"/>
          <w:sz w:val="24"/>
          <w:szCs w:val="24"/>
          <w:highlight w:val="none"/>
          <w:lang w:val="zh-CN"/>
        </w:rPr>
        <w:t>年</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月</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日，</w:t>
      </w:r>
      <w:r>
        <w:rPr>
          <w:rStyle w:val="33"/>
          <w:rFonts w:hint="eastAsia" w:ascii="宋体" w:hAnsi="宋体" w:eastAsia="宋体" w:cs="宋体"/>
          <w:color w:val="auto"/>
          <w:sz w:val="24"/>
          <w:szCs w:val="24"/>
          <w:highlight w:val="none"/>
        </w:rPr>
        <w:t>竣工日期</w:t>
      </w:r>
      <w:r>
        <w:rPr>
          <w:rStyle w:val="33"/>
          <w:rFonts w:hint="eastAsia" w:ascii="宋体" w:hAnsi="宋体" w:cs="宋体"/>
          <w:color w:val="auto"/>
          <w:sz w:val="24"/>
          <w:szCs w:val="24"/>
          <w:highlight w:val="none"/>
          <w:lang w:val="en-US" w:eastAsia="zh-CN"/>
        </w:rPr>
        <w:t>202</w:t>
      </w:r>
      <w:r>
        <w:rPr>
          <w:rStyle w:val="33"/>
          <w:rFonts w:hint="eastAsia" w:cs="宋体"/>
          <w:color w:val="auto"/>
          <w:sz w:val="24"/>
          <w:szCs w:val="24"/>
          <w:highlight w:val="none"/>
          <w:lang w:val="en-US" w:eastAsia="zh-CN"/>
        </w:rPr>
        <w:t>5</w:t>
      </w:r>
      <w:r>
        <w:rPr>
          <w:rStyle w:val="33"/>
          <w:rFonts w:hint="eastAsia" w:ascii="宋体" w:hAnsi="宋体" w:eastAsia="宋体" w:cs="宋体"/>
          <w:color w:val="auto"/>
          <w:sz w:val="24"/>
          <w:szCs w:val="24"/>
          <w:highlight w:val="none"/>
          <w:lang w:val="zh-CN"/>
        </w:rPr>
        <w:t>年</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月</w:t>
      </w:r>
      <w:r>
        <w:rPr>
          <w:rStyle w:val="33"/>
          <w:rFonts w:hint="eastAsia" w:ascii="宋体" w:hAnsi="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lang w:val="zh-CN"/>
        </w:rPr>
        <w:t>日</w:t>
      </w:r>
      <w:r>
        <w:rPr>
          <w:rStyle w:val="33"/>
          <w:rFonts w:hint="eastAsia" w:ascii="宋体" w:hAnsi="宋体" w:eastAsia="宋体" w:cs="宋体"/>
          <w:color w:val="auto"/>
          <w:sz w:val="24"/>
          <w:szCs w:val="24"/>
          <w:highlight w:val="none"/>
        </w:rPr>
        <w:t>。因不可抗力及甲方原因引起的工期延误，工期顺延。</w:t>
      </w:r>
    </w:p>
    <w:p w14:paraId="3F812C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三、工程质量</w:t>
      </w:r>
    </w:p>
    <w:p w14:paraId="21DCD057">
      <w:pPr>
        <w:keepNext w:val="0"/>
        <w:keepLines w:val="0"/>
        <w:pageBreakBefore w:val="0"/>
        <w:widowControl w:val="0"/>
        <w:tabs>
          <w:tab w:val="left" w:pos="315"/>
        </w:tabs>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val="en-US" w:eastAsia="zh-CN"/>
        </w:rPr>
        <w:t>.</w:t>
      </w:r>
      <w:r>
        <w:rPr>
          <w:rStyle w:val="33"/>
          <w:rFonts w:hint="eastAsia" w:ascii="宋体" w:hAnsi="宋体" w:eastAsia="宋体" w:cs="宋体"/>
          <w:color w:val="auto"/>
          <w:kern w:val="0"/>
          <w:sz w:val="24"/>
          <w:szCs w:val="24"/>
          <w:highlight w:val="none"/>
        </w:rPr>
        <w:t>工程质量合格。乙方必须严格按照国家现行有关标准、施工规范、设计文件及现行施工验收规范等要求进行施工，工程质量</w:t>
      </w:r>
      <w:r>
        <w:rPr>
          <w:rStyle w:val="33"/>
          <w:rFonts w:hint="eastAsia" w:cs="宋体"/>
          <w:color w:val="auto"/>
          <w:kern w:val="0"/>
          <w:sz w:val="24"/>
          <w:szCs w:val="24"/>
          <w:highlight w:val="none"/>
          <w:lang w:val="en-US" w:eastAsia="zh-CN"/>
        </w:rPr>
        <w:t>达到</w:t>
      </w:r>
      <w:r>
        <w:rPr>
          <w:rStyle w:val="33"/>
          <w:rFonts w:hint="eastAsia" w:ascii="宋体" w:hAnsi="宋体" w:eastAsia="宋体" w:cs="宋体"/>
          <w:color w:val="auto"/>
          <w:kern w:val="0"/>
          <w:sz w:val="24"/>
          <w:szCs w:val="24"/>
          <w:highlight w:val="none"/>
        </w:rPr>
        <w:t>国家施工验收规范标准。乙方应服从监理、甲方的施工指令，随时接受监理、甲方及其委派人员的检查检验。</w:t>
      </w:r>
    </w:p>
    <w:p w14:paraId="5A68781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Style w:val="33"/>
          <w:rFonts w:hint="default" w:ascii="Times New Roman" w:hAnsi="Times New Roman" w:eastAsia="宋体" w:cs="Times New Roman"/>
          <w:color w:val="auto"/>
          <w:sz w:val="24"/>
          <w:szCs w:val="24"/>
          <w:highlight w:val="none"/>
          <w:lang w:val="en-US" w:eastAsia="zh-CN"/>
        </w:rPr>
        <w:t>1.1</w:t>
      </w:r>
      <w:r>
        <w:rPr>
          <w:rFonts w:hint="eastAsia" w:ascii="宋体" w:hAnsi="宋体" w:eastAsia="宋体" w:cs="宋体"/>
          <w:color w:val="auto"/>
          <w:sz w:val="24"/>
          <w:szCs w:val="24"/>
          <w:highlight w:val="none"/>
        </w:rPr>
        <w:t>适用法律法规：《中华人民共和国民法典》。</w:t>
      </w:r>
    </w:p>
    <w:p w14:paraId="5D98E9D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适用标准、规范：</w:t>
      </w:r>
    </w:p>
    <w:p w14:paraId="16FC37A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1.2.1《普通混凝土配合比设计规定（JGJ55-2011）》</w:t>
      </w:r>
    </w:p>
    <w:p w14:paraId="19A3E6F7">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1.2.2《混凝土强度检验评定标准（GB50107-2010）》</w:t>
      </w:r>
    </w:p>
    <w:p w14:paraId="564C687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1.2.3《混凝土结构工程施工质量验收规范（GB50204-2015）》</w:t>
      </w:r>
    </w:p>
    <w:p w14:paraId="5AEAD870">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1.2.4《钢结构焊接规程（GB50661-2011）》</w:t>
      </w:r>
    </w:p>
    <w:p w14:paraId="37E1BF8A">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1.2.5《电器装置安装工程 低压电器施工及验收规范（GB50254-2014）》</w:t>
      </w:r>
    </w:p>
    <w:p w14:paraId="6C9841A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1.2.6《1kV及以下配线工程施工与验收规范（GB 50575-2010）》</w:t>
      </w:r>
    </w:p>
    <w:p w14:paraId="61970B7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1.2.7《高压绝缘子瓷件技术条件（GB/T 772-2005）》</w:t>
      </w:r>
    </w:p>
    <w:p w14:paraId="6844E46D">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1.2.8</w:t>
      </w:r>
      <w:r>
        <w:rPr>
          <w:rFonts w:hint="eastAsia" w:ascii="宋体" w:hAnsi="宋体" w:eastAsia="宋体" w:cs="宋体"/>
          <w:color w:val="auto"/>
          <w:sz w:val="24"/>
          <w:szCs w:val="24"/>
          <w:highlight w:val="none"/>
        </w:rPr>
        <w:t>《1000kV架空输电线路施工及验收规范（Q/GDW 1153-2012）》</w:t>
      </w:r>
    </w:p>
    <w:p w14:paraId="4B7FE5B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1.2.9</w:t>
      </w:r>
      <w:r>
        <w:rPr>
          <w:rFonts w:hint="eastAsia" w:ascii="宋体" w:hAnsi="宋体" w:eastAsia="宋体" w:cs="宋体"/>
          <w:color w:val="auto"/>
          <w:sz w:val="24"/>
          <w:szCs w:val="24"/>
          <w:highlight w:val="none"/>
        </w:rPr>
        <w:t>《电气装置安装工程高压电器施工及验收规范（GB50147-2010）》</w:t>
      </w:r>
    </w:p>
    <w:p w14:paraId="44C93E0F">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1.2.10</w:t>
      </w:r>
      <w:r>
        <w:rPr>
          <w:rFonts w:hint="eastAsia" w:ascii="宋体" w:hAnsi="宋体" w:eastAsia="宋体" w:cs="宋体"/>
          <w:color w:val="auto"/>
          <w:sz w:val="24"/>
          <w:szCs w:val="24"/>
          <w:highlight w:val="none"/>
        </w:rPr>
        <w:t>《电气装置安装工程电力变压器、油浸电抗器、互感器施工及验收规范（GB</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0148-2010）》</w:t>
      </w:r>
    </w:p>
    <w:p w14:paraId="0405C6CF">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1.2.11《电气装置安装工程盘、柜及二次回路接线施工及验收规范（GB50171-2012）》</w:t>
      </w:r>
    </w:p>
    <w:p w14:paraId="35EB19B4">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1.2.12《1000kV系统电气装置安装工程电气设备交接试验标准（GB/T50832-2013）》</w:t>
      </w:r>
    </w:p>
    <w:p w14:paraId="2E5C2D48">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1.2.13</w:t>
      </w:r>
      <w:r>
        <w:rPr>
          <w:rFonts w:hint="eastAsia" w:ascii="宋体" w:hAnsi="宋体" w:eastAsia="宋体" w:cs="宋体"/>
          <w:color w:val="auto"/>
          <w:sz w:val="24"/>
          <w:szCs w:val="24"/>
          <w:highlight w:val="none"/>
        </w:rPr>
        <w:t>《电气装置安装工程 电缆线路施工及验收标准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GB 50168-2018</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36EC3F5F">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1.2.14</w:t>
      </w:r>
      <w:r>
        <w:rPr>
          <w:rFonts w:hint="eastAsia" w:ascii="宋体" w:hAnsi="宋体" w:eastAsia="宋体" w:cs="宋体"/>
          <w:color w:val="auto"/>
          <w:sz w:val="24"/>
          <w:szCs w:val="24"/>
          <w:highlight w:val="none"/>
        </w:rPr>
        <w:t>《电气装置安装工程接地装置施工及验收规范（GB50169-2016）》</w:t>
      </w:r>
    </w:p>
    <w:p w14:paraId="0B8F9DA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1.2.15《电气装置安装工程质量检验及评定规程（DL/T 5161.17-2018）》</w:t>
      </w:r>
    </w:p>
    <w:p w14:paraId="42996268">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2.乙方提供的材料必须符合设计文件的规定要求，提供的设备、材料必须是新近出厂的材料，并附有出厂合格证明或材质检测报告及检验合格证书等，经甲方及监理工程</w:t>
      </w:r>
      <w:r>
        <w:rPr>
          <w:rStyle w:val="33"/>
          <w:rFonts w:hint="eastAsia" w:ascii="宋体" w:hAnsi="宋体" w:eastAsia="宋体" w:cs="宋体"/>
          <w:color w:val="auto"/>
          <w:kern w:val="0"/>
          <w:sz w:val="24"/>
          <w:szCs w:val="24"/>
          <w:highlight w:val="none"/>
        </w:rPr>
        <w:t>师验收合格后方可进场安装施工，并以此甲方及监理工程师验收签认的凭证作为该设备、</w:t>
      </w:r>
      <w:r>
        <w:rPr>
          <w:rFonts w:hint="eastAsia" w:ascii="宋体" w:hAnsi="宋体" w:eastAsia="宋体" w:cs="宋体"/>
          <w:color w:val="auto"/>
          <w:sz w:val="24"/>
          <w:szCs w:val="24"/>
          <w:highlight w:val="none"/>
          <w:lang w:val="en-US" w:eastAsia="zh-CN"/>
        </w:rPr>
        <w:t>材料价款结算的依据。</w:t>
      </w:r>
    </w:p>
    <w:p w14:paraId="527C3B7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3.乙方须做好施工原始记录，隐蔽工程记录。隐蔽工程在隐蔽前，应通知甲方进行验</w:t>
      </w:r>
      <w:r>
        <w:rPr>
          <w:rStyle w:val="33"/>
          <w:rFonts w:hint="eastAsia" w:ascii="宋体" w:hAnsi="宋体" w:eastAsia="宋体" w:cs="宋体"/>
          <w:color w:val="auto"/>
          <w:kern w:val="0"/>
          <w:sz w:val="24"/>
          <w:szCs w:val="24"/>
          <w:highlight w:val="none"/>
        </w:rPr>
        <w:t>收，验收合格后方可进行隐蔽，</w:t>
      </w:r>
      <w:r>
        <w:rPr>
          <w:rStyle w:val="33"/>
          <w:rFonts w:hint="eastAsia" w:ascii="宋体" w:hAnsi="宋体" w:eastAsia="宋体" w:cs="宋体"/>
          <w:color w:val="auto"/>
          <w:sz w:val="24"/>
          <w:szCs w:val="24"/>
          <w:highlight w:val="none"/>
        </w:rPr>
        <w:t>如甲方接到乙方通知后超过2个工作日未组织检查，则视为验收通过；如果甲方要求对已隐蔽的内容进行检查／复查，乙方应积极配合，经检查为合格，费用由甲方负责；经检查为不合格者，乙方应返工，费用及工期延误均由</w:t>
      </w:r>
      <w:r>
        <w:rPr>
          <w:rFonts w:hint="eastAsia" w:ascii="宋体" w:hAnsi="宋体" w:eastAsia="宋体" w:cs="宋体"/>
          <w:color w:val="auto"/>
          <w:sz w:val="24"/>
          <w:szCs w:val="24"/>
          <w:highlight w:val="none"/>
          <w:lang w:val="en-US" w:eastAsia="zh-CN"/>
        </w:rPr>
        <w:t>乙方负责。</w:t>
      </w:r>
    </w:p>
    <w:p w14:paraId="09E3027F">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四、双方义务</w:t>
      </w:r>
    </w:p>
    <w:p w14:paraId="434D4953">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（一）甲方义务：</w:t>
      </w:r>
    </w:p>
    <w:p w14:paraId="0B611447">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1.按本协议约定支付工程款。</w:t>
      </w:r>
    </w:p>
    <w:p w14:paraId="51A9A132">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2.清理待建的施工现场，满足乙方进场施工条件，提供施工水电便利接口，施工水电连接由乙方负责。</w:t>
      </w:r>
    </w:p>
    <w:p w14:paraId="433F9F8D">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3.按要求做好规划审批及报建手续。</w:t>
      </w:r>
    </w:p>
    <w:p w14:paraId="24B1775B">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4.提供良好施工环境，委派本工程工地代表，解决、协调施工中非乙方原因的问题。</w:t>
      </w:r>
    </w:p>
    <w:p w14:paraId="579CFA3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5.参加工程验收。</w:t>
      </w:r>
    </w:p>
    <w:p w14:paraId="30C4CD19">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（二）乙方义务：</w:t>
      </w:r>
    </w:p>
    <w:p w14:paraId="0D03B451">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1.严格按国家有关部门施工工艺、施工验收规程、规范和设计文件的要求及约定工期完成工程施工，对工程施工质量负责。</w:t>
      </w:r>
    </w:p>
    <w:p w14:paraId="1F533085">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2.注意安全管理，严格按安全作业规范进行施工，确保人身、设备安全。承担自身原因造成的事故的损失。</w:t>
      </w:r>
    </w:p>
    <w:p w14:paraId="4946AC66">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3.遵守施工现场甲方有关的管理规章、制度，赔偿因违反这些规章制度给甲方造成的损失。</w:t>
      </w:r>
    </w:p>
    <w:p w14:paraId="0FA612AA">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4.乙方所购置本工程用设备、材料必须符合国家标准，有正式出厂合格证书，对采购的材料的质量负责。</w:t>
      </w:r>
    </w:p>
    <w:p w14:paraId="41146B60">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5.乙方负责工程通过桂林供电部门验收合格。</w:t>
      </w:r>
    </w:p>
    <w:p w14:paraId="73C812C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6.验收时乙方应提供竣工图纸资料包括但不限于施工管理资料、施工技术资料、施工物资资料、施工记录、施工试验记录及检测报告、施工质量验收记录、竣工验收资料等。</w:t>
      </w:r>
    </w:p>
    <w:p w14:paraId="3CCC17D2">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7.协助由甲方需要办理的相关手续，确保按时通电。</w:t>
      </w:r>
    </w:p>
    <w:p w14:paraId="778D7194">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8.乙方负责办理本工程移交甲方的相关手续，所发生费用已包含在本合同其他单价内，不再另行收取。</w:t>
      </w:r>
    </w:p>
    <w:p w14:paraId="658CC4D0">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9.遵守甲方关于现场施工管理规定。</w:t>
      </w:r>
    </w:p>
    <w:p w14:paraId="30D750D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10.竣工退场，工完场清，地表还原，乙方应按照甲方要求恢复临时占地及场地清理。</w:t>
      </w:r>
    </w:p>
    <w:p w14:paraId="4C26F78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11.乙方施工安排合理不对周边建筑、管线、道路、地下设施等产生不良影响。</w:t>
      </w:r>
    </w:p>
    <w:p w14:paraId="7E7F639C">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12.乙方必须及时提交变更和签证资料给甲方审定，最迟在项目竣工验收前完成审核签定，配合甲方完成变更签证手续和流程，否则，该签证变更在结算中甲方将不予确认。</w:t>
      </w:r>
    </w:p>
    <w:p w14:paraId="4E1CC11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13.乙方提交竣工付款申请单的期限：经审定工程竣工结算并由乙方提出申请后28天内。</w:t>
      </w:r>
    </w:p>
    <w:p w14:paraId="2BD056A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竣工结算付款申请单应包括的内容：竣工结算由乙方提交相关结算资料（主要包括合同、工程量计算书、项目报审表、送审承诺书、结算书、变更设计通知单、签证单、竣工图等）齐全后经监理初审、发包人审定后，方可办理工程结算或竣工决算，最终结算以审计部门的审定结果为准。验收合格后，工程款按最终审定的结算造价支付至95％，预留的5％的质保金。</w:t>
      </w:r>
    </w:p>
    <w:p w14:paraId="3C84B928">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未按本项约定的期限和内容提交竣工结算付款申请单或者未按审核部门要求提交修正后的竣工结算付款申请单，经发包人发函催促后14天内仍未提交或者没有明确答复的，发包人有权根据已有资料进行审查，审查确定的竣工结算价和竣工付款金额视同是经乙方认可的工程竣工结算价和竣工付款金额。乙方因特殊原因无法在28天内提交齐全资料的，应向发包方提出书面申请，写明原因，经发包方审核同意后，可延续一定时间，但最迟不得超过半年。</w:t>
      </w:r>
    </w:p>
    <w:p w14:paraId="26E0CBF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33"/>
          <w:rFonts w:hint="eastAsia" w:ascii="宋体" w:hAnsi="宋体" w:eastAsia="宋体" w:cs="宋体"/>
          <w:b w:val="0"/>
          <w:bCs/>
          <w:color w:val="auto"/>
          <w:sz w:val="24"/>
          <w:szCs w:val="24"/>
          <w:highlight w:val="none"/>
        </w:rPr>
      </w:pPr>
      <w:r>
        <w:rPr>
          <w:rStyle w:val="33"/>
          <w:rFonts w:hint="eastAsia" w:cs="宋体"/>
          <w:b w:val="0"/>
          <w:bCs/>
          <w:color w:val="auto"/>
          <w:sz w:val="24"/>
          <w:szCs w:val="24"/>
          <w:highlight w:val="none"/>
          <w:lang w:val="en-US" w:eastAsia="zh-CN"/>
        </w:rPr>
        <w:t>14.</w:t>
      </w:r>
      <w:r>
        <w:rPr>
          <w:rStyle w:val="33"/>
          <w:rFonts w:hint="eastAsia" w:ascii="宋体" w:hAnsi="宋体" w:eastAsia="宋体" w:cs="宋体"/>
          <w:b w:val="0"/>
          <w:bCs/>
          <w:color w:val="auto"/>
          <w:sz w:val="24"/>
          <w:szCs w:val="24"/>
          <w:highlight w:val="none"/>
        </w:rPr>
        <w:t>乙方应该开具真实的发票，一旦查出发票作假，自动解除协议并且甲方有权利不支付该笔发票款项。</w:t>
      </w:r>
    </w:p>
    <w:p w14:paraId="4EA1838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b/>
          <w:color w:val="auto"/>
          <w:sz w:val="24"/>
          <w:szCs w:val="24"/>
          <w:highlight w:val="none"/>
        </w:rPr>
        <w:t>五、材料供应</w:t>
      </w:r>
    </w:p>
    <w:p w14:paraId="209DFB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本工程使用的设备及材料全部由乙方自行采购，乙方采购的设备、材料必须符合合同约定要求，同时附有质量合格证书，并通过甲方验收合格。</w:t>
      </w:r>
    </w:p>
    <w:p w14:paraId="0F419900">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电缆及电缆套管数量，竣工结算时按实际发生计算。货到现场的电缆、电缆套管或设备数量的核算，以甲乙双方现场责任人员初步验收合格并书面签字确认为准；如验收不合格的，乙方须无条件更换，因此而发生经济损失及工期延误全部由乙方承担。现场核验书面证明，作为完工结算的依据。乙方提供的材料、设备通过初步验收的，并不排除乙方因材料、设备不符合合同约定或因质量问题应承担的责任。</w:t>
      </w:r>
    </w:p>
    <w:p w14:paraId="295EB692">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乙方应保证对本合同供应之设备、材料具有完全处分权，且无任何抵押、质押、查封等权利瑕疵，确保甲方在使用时不会侵犯任何第三方的知识产权或其他权利，如甲方因此遭致损失的由乙方承担全部赔偿责任。</w:t>
      </w:r>
    </w:p>
    <w:p w14:paraId="60FF8A16">
      <w:pPr>
        <w:keepNext w:val="0"/>
        <w:keepLines w:val="0"/>
        <w:pageBreakBefore w:val="0"/>
        <w:widowControl w:val="0"/>
        <w:kinsoku/>
        <w:wordWrap/>
        <w:overflowPunct/>
        <w:topLinePunct w:val="0"/>
        <w:autoSpaceDE/>
        <w:autoSpaceDN/>
        <w:bidi w:val="0"/>
        <w:adjustRightInd/>
        <w:snapToGrid/>
        <w:spacing w:line="460" w:lineRule="exact"/>
        <w:ind w:left="-141" w:leftChars="-67" w:firstLine="564" w:firstLineChars="234"/>
        <w:textAlignment w:val="baseline"/>
        <w:rPr>
          <w:rStyle w:val="33"/>
          <w:rFonts w:hint="eastAsia" w:ascii="宋体" w:hAnsi="宋体" w:eastAsia="宋体" w:cs="宋体"/>
          <w:b/>
          <w:color w:val="auto"/>
          <w:kern w:val="0"/>
          <w:sz w:val="24"/>
          <w:szCs w:val="24"/>
          <w:highlight w:val="none"/>
        </w:rPr>
      </w:pPr>
      <w:r>
        <w:rPr>
          <w:rStyle w:val="33"/>
          <w:rFonts w:hint="eastAsia" w:ascii="宋体" w:hAnsi="宋体" w:eastAsia="宋体" w:cs="宋体"/>
          <w:b/>
          <w:color w:val="auto"/>
          <w:kern w:val="0"/>
          <w:sz w:val="24"/>
          <w:szCs w:val="24"/>
          <w:highlight w:val="none"/>
        </w:rPr>
        <w:t>六、违约责任</w:t>
      </w:r>
    </w:p>
    <w:p w14:paraId="3182FD20">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在施工过程中，如发现施工质量问题，甲方有权责令乙方及时进行返修、整改，并达到合同约定标准，因此引起的费用增加由乙方承担，如导致工期延误，工期不顺延。</w:t>
      </w:r>
    </w:p>
    <w:p w14:paraId="3BF0248B">
      <w:pPr>
        <w:keepNext w:val="0"/>
        <w:keepLines w:val="0"/>
        <w:pageBreakBefore w:val="0"/>
        <w:widowControl w:val="0"/>
        <w:kinsoku/>
        <w:wordWrap/>
        <w:overflowPunct/>
        <w:topLinePunct w:val="0"/>
        <w:autoSpaceDE/>
        <w:autoSpaceDN/>
        <w:bidi w:val="0"/>
        <w:adjustRightInd/>
        <w:snapToGrid/>
        <w:spacing w:line="460" w:lineRule="exact"/>
        <w:ind w:left="-141" w:leftChars="-67" w:firstLine="561" w:firstLineChars="234"/>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乙方必须在合同约定的时间（或甲方要求时间）内分别完成本各期（或组团）变配电土建、安装工程，并经</w:t>
      </w:r>
      <w:r>
        <w:rPr>
          <w:rStyle w:val="33"/>
          <w:rFonts w:hint="eastAsia" w:ascii="宋体" w:hAnsi="宋体" w:eastAsia="宋体" w:cs="宋体"/>
          <w:color w:val="auto"/>
          <w:sz w:val="24"/>
          <w:szCs w:val="24"/>
          <w:highlight w:val="none"/>
          <w:lang w:val="en-US" w:eastAsia="zh-CN"/>
        </w:rPr>
        <w:t>供电部门验收</w:t>
      </w:r>
      <w:r>
        <w:rPr>
          <w:rStyle w:val="33"/>
          <w:rFonts w:hint="eastAsia" w:cs="宋体"/>
          <w:color w:val="auto"/>
          <w:sz w:val="24"/>
          <w:szCs w:val="24"/>
          <w:highlight w:val="none"/>
          <w:lang w:val="en-US" w:eastAsia="zh-CN"/>
        </w:rPr>
        <w:t>（如需）且</w:t>
      </w:r>
      <w:r>
        <w:rPr>
          <w:rStyle w:val="33"/>
          <w:rFonts w:hint="eastAsia" w:ascii="宋体" w:hAnsi="宋体" w:eastAsia="宋体" w:cs="宋体"/>
          <w:color w:val="auto"/>
          <w:sz w:val="24"/>
          <w:szCs w:val="24"/>
          <w:highlight w:val="none"/>
        </w:rPr>
        <w:t>甲方验收合格后，及时办理移交甲方手续。如因乙方原因造成工期延误和无法按时通电的，乙方应按2000元/天向甲方给付违约金；工期延误超过15天，甲方有权解除合同，按本合同第六、5条款约定追究乙方相应的违约责任。</w:t>
      </w:r>
    </w:p>
    <w:p w14:paraId="27F77541">
      <w:pPr>
        <w:keepNext w:val="0"/>
        <w:keepLines w:val="0"/>
        <w:pageBreakBefore w:val="0"/>
        <w:widowControl w:val="0"/>
        <w:kinsoku/>
        <w:wordWrap/>
        <w:overflowPunct/>
        <w:topLinePunct w:val="0"/>
        <w:autoSpaceDE/>
        <w:autoSpaceDN/>
        <w:bidi w:val="0"/>
        <w:adjustRightInd/>
        <w:snapToGrid/>
        <w:spacing w:line="460" w:lineRule="exact"/>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3</w:t>
      </w:r>
      <w:r>
        <w:rPr>
          <w:rStyle w:val="33"/>
          <w:rFonts w:hint="eastAsia" w:ascii="宋体" w:hAnsi="宋体" w:eastAsia="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乙方在承包范围内的工程施工过程中，应服从甲方的施工进度安排，并在甲方约定的时间内完成。不得以甲方要求赶工、加班等为由拒绝履行合同约定责任或临时起价。一旦发生此类情况则视为违约，乙方同意向甲方支付2000元/次的违约金；</w:t>
      </w:r>
      <w:r>
        <w:rPr>
          <w:rStyle w:val="33"/>
          <w:rFonts w:hint="eastAsia" w:ascii="宋体" w:hAnsi="宋体" w:eastAsia="宋体" w:cs="宋体"/>
          <w:bCs/>
          <w:color w:val="auto"/>
          <w:sz w:val="24"/>
          <w:szCs w:val="24"/>
          <w:highlight w:val="none"/>
          <w:lang w:val="zh-CN"/>
        </w:rPr>
        <w:t>如该类情况出现次数累计达到三次的，甲方有权单方解除本合同，并按本合同第六、</w:t>
      </w:r>
      <w:r>
        <w:rPr>
          <w:rStyle w:val="33"/>
          <w:rFonts w:hint="eastAsia" w:ascii="宋体" w:hAnsi="宋体" w:eastAsia="宋体" w:cs="宋体"/>
          <w:bCs/>
          <w:color w:val="auto"/>
          <w:sz w:val="24"/>
          <w:szCs w:val="24"/>
          <w:highlight w:val="none"/>
        </w:rPr>
        <w:t>5</w:t>
      </w:r>
      <w:r>
        <w:rPr>
          <w:rStyle w:val="33"/>
          <w:rFonts w:hint="eastAsia" w:ascii="宋体" w:hAnsi="宋体" w:eastAsia="宋体" w:cs="宋体"/>
          <w:bCs/>
          <w:color w:val="auto"/>
          <w:sz w:val="24"/>
          <w:szCs w:val="24"/>
          <w:highlight w:val="none"/>
          <w:lang w:val="zh-CN"/>
        </w:rPr>
        <w:t>条款追究乙方相应的违约责任</w:t>
      </w:r>
      <w:r>
        <w:rPr>
          <w:rStyle w:val="33"/>
          <w:rFonts w:hint="eastAsia" w:ascii="宋体" w:hAnsi="宋体" w:eastAsia="宋体" w:cs="宋体"/>
          <w:color w:val="auto"/>
          <w:sz w:val="24"/>
          <w:szCs w:val="24"/>
          <w:highlight w:val="none"/>
        </w:rPr>
        <w:t>。</w:t>
      </w:r>
    </w:p>
    <w:p w14:paraId="627AFA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4</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不得将本工程转包或者分包。如发现转包或分包，甲方有权要求乙方按暂定合同造价的10%给付违约金；且甲方有权选择单方解除本合同，并要求乙方退还全部已付款项，或选择要求乙方终止转包／分包后继续严格履行本合同。</w:t>
      </w:r>
    </w:p>
    <w:p w14:paraId="0C7F31E4">
      <w:pPr>
        <w:keepNext w:val="0"/>
        <w:keepLines w:val="0"/>
        <w:pageBreakBefore w:val="0"/>
        <w:widowControl w:val="0"/>
        <w:kinsoku/>
        <w:wordWrap/>
        <w:overflowPunct/>
        <w:topLinePunct w:val="0"/>
        <w:autoSpaceDE/>
        <w:autoSpaceDN/>
        <w:bidi w:val="0"/>
        <w:adjustRightInd/>
        <w:snapToGrid/>
        <w:spacing w:line="460" w:lineRule="exact"/>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5</w:t>
      </w:r>
      <w:r>
        <w:rPr>
          <w:rStyle w:val="33"/>
          <w:rFonts w:hint="eastAsia" w:ascii="宋体" w:hAnsi="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除本合同另有约定外，如因乙方原因单方面终止合同或因乙方违约致使甲方依约解除合同，乙方须按合同造价的20%向甲方给付违约金。</w:t>
      </w:r>
    </w:p>
    <w:p w14:paraId="751F8573">
      <w:pPr>
        <w:keepNext w:val="0"/>
        <w:keepLines w:val="0"/>
        <w:pageBreakBefore w:val="0"/>
        <w:widowControl w:val="0"/>
        <w:kinsoku/>
        <w:wordWrap/>
        <w:overflowPunct/>
        <w:topLinePunct w:val="0"/>
        <w:autoSpaceDE/>
        <w:autoSpaceDN/>
        <w:bidi w:val="0"/>
        <w:adjustRightInd/>
        <w:snapToGrid/>
        <w:spacing w:line="460" w:lineRule="exact"/>
        <w:ind w:firstLine="480"/>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6</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本合同项下任一方违约，除应承担相应的违约责任外，还须赔偿守约方为实现合法权益而产生的诉讼费、律师费等合理费用；如守约方的实际损失（包括但不限于直接经济损失、因向第三方赔付而产生的间接经济损失等）超出违约金数额，违约方须赔付至可弥补守约方的全部实际损失为止。</w:t>
      </w:r>
    </w:p>
    <w:p w14:paraId="2BC05720">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baseline"/>
        <w:outlineLvl w:val="9"/>
        <w:rPr>
          <w:rStyle w:val="33"/>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由地震、火灾、战争等不可抗力因素影响无法履行或延迟履行其在本合同项下的一部分或全部的，应立即通知另一方，但该方无须承担任何责任，未遭受不可抗力影响的那部分义务仍应继续履行。</w:t>
      </w:r>
    </w:p>
    <w:p w14:paraId="037E0429">
      <w:pPr>
        <w:keepNext w:val="0"/>
        <w:keepLines w:val="0"/>
        <w:pageBreakBefore w:val="0"/>
        <w:widowControl w:val="0"/>
        <w:tabs>
          <w:tab w:val="left" w:pos="420"/>
        </w:tabs>
        <w:kinsoku/>
        <w:wordWrap/>
        <w:overflowPunct/>
        <w:topLinePunct w:val="0"/>
        <w:autoSpaceDE/>
        <w:autoSpaceDN/>
        <w:bidi w:val="0"/>
        <w:adjustRightInd/>
        <w:snapToGrid/>
        <w:spacing w:line="460" w:lineRule="exact"/>
        <w:ind w:left="426" w:leftChars="203"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七、工程保修期</w:t>
      </w:r>
    </w:p>
    <w:p w14:paraId="469D9C6F">
      <w:pPr>
        <w:keepNext w:val="0"/>
        <w:keepLines w:val="0"/>
        <w:pageBreakBefore w:val="0"/>
        <w:widowControl w:val="0"/>
        <w:kinsoku/>
        <w:wordWrap/>
        <w:overflowPunct/>
        <w:topLinePunct w:val="0"/>
        <w:autoSpaceDE/>
        <w:autoSpaceDN/>
        <w:bidi w:val="0"/>
        <w:adjustRightInd/>
        <w:snapToGrid/>
        <w:spacing w:line="460" w:lineRule="exact"/>
        <w:ind w:left="63" w:leftChars="30" w:firstLine="420" w:firstLineChars="175"/>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en-US" w:eastAsia="zh-CN"/>
        </w:rPr>
        <w:t>1.</w:t>
      </w:r>
      <w:r>
        <w:rPr>
          <w:rStyle w:val="33"/>
          <w:rFonts w:hint="eastAsia" w:ascii="宋体" w:hAnsi="宋体" w:eastAsia="宋体" w:cs="宋体"/>
          <w:color w:val="auto"/>
          <w:sz w:val="24"/>
          <w:szCs w:val="24"/>
          <w:highlight w:val="none"/>
        </w:rPr>
        <w:t>保修范围：乙方负责对所承建</w:t>
      </w:r>
      <w:r>
        <w:rPr>
          <w:rStyle w:val="33"/>
          <w:rFonts w:hint="eastAsia" w:ascii="宋体" w:hAnsi="宋体" w:eastAsia="宋体" w:cs="宋体"/>
          <w:color w:val="auto"/>
          <w:sz w:val="24"/>
          <w:szCs w:val="24"/>
          <w:highlight w:val="none"/>
          <w:lang w:val="en-US" w:eastAsia="zh-CN"/>
        </w:rPr>
        <w:t>工程</w:t>
      </w:r>
      <w:r>
        <w:rPr>
          <w:rStyle w:val="33"/>
          <w:rFonts w:hint="eastAsia" w:ascii="宋体" w:hAnsi="宋体" w:eastAsia="宋体" w:cs="宋体"/>
          <w:color w:val="auto"/>
          <w:sz w:val="24"/>
          <w:szCs w:val="24"/>
          <w:highlight w:val="none"/>
        </w:rPr>
        <w:t>的</w:t>
      </w:r>
      <w:r>
        <w:rPr>
          <w:rStyle w:val="33"/>
          <w:rFonts w:hint="eastAsia" w:ascii="宋体" w:hAnsi="宋体" w:eastAsia="宋体" w:cs="宋体"/>
          <w:color w:val="auto"/>
          <w:sz w:val="24"/>
          <w:szCs w:val="24"/>
          <w:highlight w:val="none"/>
          <w:lang w:val="en-US" w:eastAsia="zh-CN"/>
        </w:rPr>
        <w:t>施工范围</w:t>
      </w:r>
      <w:r>
        <w:rPr>
          <w:rStyle w:val="33"/>
          <w:rFonts w:hint="eastAsia" w:ascii="宋体" w:hAnsi="宋体" w:eastAsia="宋体" w:cs="宋体"/>
          <w:color w:val="auto"/>
          <w:sz w:val="24"/>
          <w:szCs w:val="24"/>
          <w:highlight w:val="none"/>
        </w:rPr>
        <w:t>所出现质量问题予以保修。</w:t>
      </w:r>
    </w:p>
    <w:p w14:paraId="097A9602">
      <w:pPr>
        <w:keepNext w:val="0"/>
        <w:keepLines w:val="0"/>
        <w:pageBreakBefore w:val="0"/>
        <w:widowControl w:val="0"/>
        <w:kinsoku/>
        <w:wordWrap/>
        <w:overflowPunct/>
        <w:topLinePunct w:val="0"/>
        <w:autoSpaceDE/>
        <w:autoSpaceDN/>
        <w:bidi w:val="0"/>
        <w:adjustRightInd/>
        <w:snapToGrid/>
        <w:spacing w:line="460" w:lineRule="exact"/>
        <w:ind w:left="63" w:leftChars="30" w:firstLine="420" w:firstLineChars="175"/>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保修期限：从工程通过</w:t>
      </w:r>
      <w:r>
        <w:rPr>
          <w:rStyle w:val="33"/>
          <w:rFonts w:hint="eastAsia" w:ascii="宋体" w:hAnsi="宋体" w:eastAsia="宋体" w:cs="宋体"/>
          <w:color w:val="auto"/>
          <w:kern w:val="0"/>
          <w:sz w:val="24"/>
          <w:szCs w:val="24"/>
          <w:highlight w:val="none"/>
        </w:rPr>
        <w:t>桂林供电部门验收</w:t>
      </w:r>
      <w:r>
        <w:rPr>
          <w:rStyle w:val="33"/>
          <w:rFonts w:hint="eastAsia" w:ascii="宋体" w:hAnsi="宋体" w:eastAsia="宋体" w:cs="宋体"/>
          <w:color w:val="auto"/>
          <w:kern w:val="0"/>
          <w:sz w:val="24"/>
          <w:szCs w:val="24"/>
          <w:highlight w:val="none"/>
          <w:lang w:val="en-US" w:eastAsia="zh-CN"/>
        </w:rPr>
        <w:t>且同时通过</w:t>
      </w:r>
      <w:r>
        <w:rPr>
          <w:rStyle w:val="33"/>
          <w:rFonts w:hint="eastAsia" w:ascii="宋体" w:hAnsi="宋体" w:eastAsia="宋体" w:cs="宋体"/>
          <w:color w:val="auto"/>
          <w:sz w:val="24"/>
          <w:szCs w:val="24"/>
          <w:highlight w:val="none"/>
        </w:rPr>
        <w:t>甲方竣工验收之日起计算，保修期</w:t>
      </w:r>
      <w:r>
        <w:rPr>
          <w:rStyle w:val="33"/>
          <w:rFonts w:hint="eastAsia" w:cs="宋体"/>
          <w:color w:val="auto"/>
          <w:kern w:val="0"/>
          <w:sz w:val="24"/>
          <w:szCs w:val="24"/>
          <w:highlight w:val="none"/>
          <w:u w:val="single"/>
          <w:lang w:val="en-US" w:eastAsia="zh-CN"/>
        </w:rPr>
        <w:t xml:space="preserve">        </w:t>
      </w:r>
      <w:r>
        <w:rPr>
          <w:rStyle w:val="33"/>
          <w:rFonts w:hint="eastAsia" w:ascii="宋体" w:hAnsi="宋体" w:eastAsia="宋体" w:cs="宋体"/>
          <w:color w:val="auto"/>
          <w:sz w:val="24"/>
          <w:szCs w:val="24"/>
          <w:highlight w:val="none"/>
        </w:rPr>
        <w:t>。</w:t>
      </w:r>
    </w:p>
    <w:p w14:paraId="787521A7">
      <w:pPr>
        <w:keepNext w:val="0"/>
        <w:keepLines w:val="0"/>
        <w:pageBreakBefore w:val="0"/>
        <w:widowControl w:val="0"/>
        <w:kinsoku/>
        <w:wordWrap/>
        <w:overflowPunct/>
        <w:topLinePunct w:val="0"/>
        <w:autoSpaceDE/>
        <w:autoSpaceDN/>
        <w:bidi w:val="0"/>
        <w:adjustRightInd/>
        <w:snapToGrid/>
        <w:spacing w:line="460" w:lineRule="exact"/>
        <w:ind w:left="63" w:leftChars="30" w:firstLine="420" w:firstLineChars="175"/>
        <w:jc w:val="left"/>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保修期间，</w:t>
      </w:r>
      <w:r>
        <w:rPr>
          <w:rStyle w:val="33"/>
          <w:rFonts w:hint="eastAsia" w:ascii="宋体" w:hAnsi="宋体" w:eastAsia="宋体" w:cs="宋体"/>
          <w:color w:val="auto"/>
          <w:kern w:val="0"/>
          <w:sz w:val="24"/>
          <w:szCs w:val="24"/>
          <w:highlight w:val="none"/>
        </w:rPr>
        <w:t>在保修范围和保修期限内发生质量问题的，乙方应当履行保修责任。如因乙方原因造成的质量问题，乙方在接到甲方书面通知之日起，应于24小时内派人维修。否则，甲方可委托其他专业公司维修，维修所发生的费用在应付乙方预留质保金中扣除，不足部分由乙方于甲方书面通知后3日内补足。</w:t>
      </w:r>
      <w:r>
        <w:rPr>
          <w:rStyle w:val="33"/>
          <w:rFonts w:hint="eastAsia" w:ascii="宋体" w:hAnsi="宋体" w:eastAsia="宋体" w:cs="宋体"/>
          <w:color w:val="auto"/>
          <w:sz w:val="24"/>
          <w:szCs w:val="24"/>
          <w:highlight w:val="none"/>
        </w:rPr>
        <w:t>非乙方原因造成返修的费用由甲方承担。</w:t>
      </w:r>
    </w:p>
    <w:p w14:paraId="1CB4C698">
      <w:pPr>
        <w:keepNext w:val="0"/>
        <w:keepLines w:val="0"/>
        <w:pageBreakBefore w:val="0"/>
        <w:widowControl w:val="0"/>
        <w:kinsoku/>
        <w:wordWrap/>
        <w:overflowPunct/>
        <w:topLinePunct w:val="0"/>
        <w:autoSpaceDE/>
        <w:autoSpaceDN/>
        <w:bidi w:val="0"/>
        <w:adjustRightInd/>
        <w:snapToGrid/>
        <w:spacing w:line="460" w:lineRule="exact"/>
        <w:ind w:left="-141" w:leftChars="-67"/>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b/>
          <w:color w:val="auto"/>
          <w:kern w:val="0"/>
          <w:sz w:val="24"/>
          <w:szCs w:val="24"/>
          <w:highlight w:val="none"/>
        </w:rPr>
        <w:t xml:space="preserve"> </w:t>
      </w:r>
      <w:r>
        <w:rPr>
          <w:rStyle w:val="33"/>
          <w:rFonts w:hint="eastAsia" w:ascii="宋体" w:hAnsi="宋体" w:eastAsia="宋体" w:cs="宋体"/>
          <w:b/>
          <w:color w:val="auto"/>
          <w:kern w:val="0"/>
          <w:sz w:val="24"/>
          <w:szCs w:val="24"/>
          <w:highlight w:val="none"/>
          <w:lang w:val="en-US" w:eastAsia="zh-CN"/>
        </w:rPr>
        <w:t xml:space="preserve">   </w:t>
      </w:r>
      <w:r>
        <w:rPr>
          <w:rStyle w:val="33"/>
          <w:rFonts w:hint="eastAsia" w:ascii="宋体" w:hAnsi="宋体" w:eastAsia="宋体" w:cs="宋体"/>
          <w:b/>
          <w:color w:val="auto"/>
          <w:kern w:val="0"/>
          <w:sz w:val="24"/>
          <w:szCs w:val="24"/>
          <w:highlight w:val="none"/>
        </w:rPr>
        <w:t>八、</w:t>
      </w:r>
      <w:r>
        <w:rPr>
          <w:rStyle w:val="33"/>
          <w:rFonts w:hint="eastAsia" w:ascii="宋体" w:hAnsi="宋体" w:eastAsia="宋体" w:cs="宋体"/>
          <w:b/>
          <w:color w:val="auto"/>
          <w:sz w:val="24"/>
          <w:szCs w:val="24"/>
          <w:highlight w:val="none"/>
        </w:rPr>
        <w:t>安全文明施工</w:t>
      </w:r>
    </w:p>
    <w:p w14:paraId="34F0C54F">
      <w:pPr>
        <w:keepNext w:val="0"/>
        <w:keepLines w:val="0"/>
        <w:pageBreakBefore w:val="0"/>
        <w:widowControl w:val="0"/>
        <w:kinsoku/>
        <w:wordWrap/>
        <w:overflowPunct/>
        <w:topLinePunct w:val="0"/>
        <w:autoSpaceDE/>
        <w:autoSpaceDN/>
        <w:bidi w:val="0"/>
        <w:adjustRightInd/>
        <w:snapToGrid/>
        <w:spacing w:line="460" w:lineRule="exact"/>
        <w:ind w:left="-120" w:leftChars="-57"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w:t>
      </w:r>
      <w:r>
        <w:rPr>
          <w:rStyle w:val="33"/>
          <w:rFonts w:hint="eastAsia" w:ascii="宋体" w:hAnsi="宋体" w:eastAsia="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乙方必须按照有关规定实施安全、文明施工。采取可靠安全的防护措施，依法为相关施工人员购置相关保险，加强安全、文明施工教育，确保施工安全，杜绝重大安全事故的发生。若乙方违反相关施工管理规定，给甲方和第三方造成的经济损失，其责任和因此造成的费用支出全部由乙方负责。</w:t>
      </w:r>
    </w:p>
    <w:p w14:paraId="329AD510">
      <w:pPr>
        <w:keepNext w:val="0"/>
        <w:keepLines w:val="0"/>
        <w:pageBreakBefore w:val="0"/>
        <w:widowControl w:val="0"/>
        <w:kinsoku/>
        <w:wordWrap/>
        <w:overflowPunct/>
        <w:topLinePunct w:val="0"/>
        <w:autoSpaceDE/>
        <w:autoSpaceDN/>
        <w:bidi w:val="0"/>
        <w:adjustRightInd/>
        <w:snapToGrid/>
        <w:spacing w:line="460" w:lineRule="exact"/>
        <w:ind w:left="-120" w:leftChars="-57"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乙方保证施工安全，在施工中由于安全措施不力或乙方自身原因，而造成的一切经济损失及法律责任全部由乙方负责，甲方不承担任何责任。</w:t>
      </w:r>
    </w:p>
    <w:p w14:paraId="1A75C83B">
      <w:pPr>
        <w:keepNext w:val="0"/>
        <w:keepLines w:val="0"/>
        <w:pageBreakBefore w:val="0"/>
        <w:widowControl w:val="0"/>
        <w:kinsoku/>
        <w:wordWrap/>
        <w:overflowPunct/>
        <w:topLinePunct w:val="0"/>
        <w:autoSpaceDE/>
        <w:autoSpaceDN/>
        <w:bidi w:val="0"/>
        <w:adjustRightInd/>
        <w:snapToGrid/>
        <w:spacing w:line="460" w:lineRule="exact"/>
        <w:ind w:left="-120" w:leftChars="-57" w:firstLine="480" w:firstLineChars="200"/>
        <w:textAlignment w:val="baseline"/>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3</w:t>
      </w:r>
      <w:r>
        <w:rPr>
          <w:rStyle w:val="33"/>
          <w:rFonts w:hint="eastAsia" w:ascii="宋体" w:hAnsi="宋体" w:eastAsia="宋体" w:cs="宋体"/>
          <w:color w:val="auto"/>
          <w:sz w:val="24"/>
          <w:szCs w:val="24"/>
          <w:highlight w:val="none"/>
          <w:lang w:eastAsia="zh-CN"/>
        </w:rPr>
        <w:t>.</w:t>
      </w:r>
      <w:r>
        <w:rPr>
          <w:rStyle w:val="33"/>
          <w:rFonts w:hint="eastAsia" w:ascii="宋体" w:hAnsi="宋体" w:eastAsia="宋体" w:cs="宋体"/>
          <w:color w:val="auto"/>
          <w:sz w:val="24"/>
          <w:szCs w:val="24"/>
          <w:highlight w:val="none"/>
        </w:rPr>
        <w:t>乙方对施工现场已有的成品和半成品负有保护的责任，如因乙方原因造成其损失和损坏，因此而发生的一切经济损失及法律责任，应由乙方承担。在工程竣工未移交甲方前，乙方应负有对现场自身施工的一切设施和工程成品进行保护的责任，并承担相关的费用。</w:t>
      </w:r>
    </w:p>
    <w:p w14:paraId="7F62D3DE">
      <w:pPr>
        <w:keepNext w:val="0"/>
        <w:keepLines w:val="0"/>
        <w:pageBreakBefore w:val="0"/>
        <w:widowControl w:val="0"/>
        <w:tabs>
          <w:tab w:val="left" w:pos="420"/>
        </w:tabs>
        <w:kinsoku/>
        <w:wordWrap/>
        <w:overflowPunct/>
        <w:topLinePunct w:val="0"/>
        <w:autoSpaceDE/>
        <w:autoSpaceDN/>
        <w:bidi w:val="0"/>
        <w:adjustRightInd/>
        <w:snapToGrid/>
        <w:spacing w:line="460" w:lineRule="exact"/>
        <w:ind w:left="426" w:leftChars="203" w:firstLine="0" w:firstLineChars="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九、争议解决办法</w:t>
      </w:r>
    </w:p>
    <w:p w14:paraId="660075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协议实施过程中，若有违约行为并造成对方损失的，由双方商议解决；如双方无法协商一致，可依法向工程项目所在地人民法院起诉。</w:t>
      </w:r>
    </w:p>
    <w:p w14:paraId="6C4F19B3">
      <w:pPr>
        <w:keepNext w:val="0"/>
        <w:keepLines w:val="0"/>
        <w:pageBreakBefore w:val="0"/>
        <w:widowControl w:val="0"/>
        <w:tabs>
          <w:tab w:val="left" w:pos="420"/>
        </w:tabs>
        <w:kinsoku/>
        <w:wordWrap/>
        <w:overflowPunct/>
        <w:topLinePunct w:val="0"/>
        <w:autoSpaceDE/>
        <w:autoSpaceDN/>
        <w:bidi w:val="0"/>
        <w:adjustRightInd/>
        <w:snapToGrid/>
        <w:spacing w:line="460" w:lineRule="exact"/>
        <w:ind w:firstLine="482"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b/>
          <w:color w:val="auto"/>
          <w:kern w:val="0"/>
          <w:sz w:val="24"/>
          <w:szCs w:val="24"/>
          <w:highlight w:val="none"/>
        </w:rPr>
        <w:t>十、其他事宜：</w:t>
      </w:r>
    </w:p>
    <w:p w14:paraId="623D220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1</w:t>
      </w:r>
      <w:r>
        <w:rPr>
          <w:rStyle w:val="33"/>
          <w:rFonts w:hint="eastAsia" w:ascii="宋体" w:hAnsi="宋体" w:eastAsia="宋体" w:cs="宋体"/>
          <w:color w:val="auto"/>
          <w:kern w:val="0"/>
          <w:sz w:val="24"/>
          <w:szCs w:val="24"/>
          <w:highlight w:val="none"/>
          <w:lang w:eastAsia="zh-CN"/>
        </w:rPr>
        <w:t>.</w:t>
      </w:r>
      <w:r>
        <w:rPr>
          <w:rStyle w:val="33"/>
          <w:rFonts w:hint="eastAsia" w:ascii="宋体" w:hAnsi="宋体" w:eastAsia="宋体" w:cs="宋体"/>
          <w:color w:val="auto"/>
          <w:kern w:val="0"/>
          <w:sz w:val="24"/>
          <w:szCs w:val="24"/>
          <w:highlight w:val="none"/>
        </w:rPr>
        <w:t>协议未尽事宜，双方协商解决。</w:t>
      </w:r>
    </w:p>
    <w:p w14:paraId="456C5A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2</w:t>
      </w:r>
      <w:r>
        <w:rPr>
          <w:rStyle w:val="33"/>
          <w:rFonts w:hint="eastAsia" w:ascii="宋体" w:hAnsi="宋体" w:eastAsia="宋体" w:cs="宋体"/>
          <w:color w:val="auto"/>
          <w:kern w:val="0"/>
          <w:sz w:val="24"/>
          <w:szCs w:val="24"/>
          <w:highlight w:val="none"/>
          <w:lang w:eastAsia="zh-CN"/>
        </w:rPr>
        <w:t>.</w:t>
      </w:r>
      <w:r>
        <w:rPr>
          <w:rStyle w:val="33"/>
          <w:rFonts w:hint="eastAsia" w:ascii="宋体" w:hAnsi="宋体" w:eastAsia="宋体" w:cs="宋体"/>
          <w:color w:val="auto"/>
          <w:kern w:val="0"/>
          <w:sz w:val="24"/>
          <w:szCs w:val="24"/>
          <w:highlight w:val="none"/>
        </w:rPr>
        <w:t>本协议壹式伍份，甲方执叁份，乙方执贰份。协议经双方盖章后生效，工程竣工并结清工程款以及保修期完结后自动失效。</w:t>
      </w:r>
    </w:p>
    <w:p w14:paraId="02F3A9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baseline"/>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rPr>
        <w:t>3</w:t>
      </w:r>
      <w:r>
        <w:rPr>
          <w:rStyle w:val="33"/>
          <w:rFonts w:hint="eastAsia" w:ascii="宋体" w:hAnsi="宋体" w:eastAsia="宋体" w:cs="宋体"/>
          <w:color w:val="auto"/>
          <w:kern w:val="0"/>
          <w:sz w:val="24"/>
          <w:szCs w:val="24"/>
          <w:highlight w:val="none"/>
          <w:lang w:eastAsia="zh-CN"/>
        </w:rPr>
        <w:t>.</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送审造价核减（增）率在超过5%以内的，由发包人支付评审费用；</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送审造价核减（增）率超过5%的不超过10%，由</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支付超过5%的部分评审费用；</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送审造价核减（增）率超过10%的，由</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支付全部评审费用。</w:t>
      </w:r>
      <w:r>
        <w:rPr>
          <w:rStyle w:val="33"/>
          <w:rFonts w:hint="eastAsia" w:cs="宋体"/>
          <w:color w:val="auto"/>
          <w:kern w:val="0"/>
          <w:sz w:val="24"/>
          <w:szCs w:val="24"/>
          <w:highlight w:val="none"/>
          <w:lang w:eastAsia="zh-CN"/>
        </w:rPr>
        <w:t>乙方</w:t>
      </w:r>
      <w:r>
        <w:rPr>
          <w:rStyle w:val="33"/>
          <w:rFonts w:hint="eastAsia" w:ascii="宋体" w:hAnsi="宋体" w:eastAsia="宋体" w:cs="宋体"/>
          <w:color w:val="auto"/>
          <w:kern w:val="0"/>
          <w:sz w:val="24"/>
          <w:szCs w:val="24"/>
          <w:highlight w:val="none"/>
        </w:rPr>
        <w:t>在发包人出具审核结果前，需足额支付超出部分评审费方可领取结算审核报告。</w:t>
      </w:r>
    </w:p>
    <w:p w14:paraId="3C3F46A8">
      <w:pPr>
        <w:rPr>
          <w:rFonts w:hint="eastAsia"/>
          <w:color w:val="auto"/>
          <w:sz w:val="30"/>
          <w:szCs w:val="30"/>
          <w:highlight w:val="none"/>
        </w:rPr>
      </w:pPr>
      <w:r>
        <w:rPr>
          <w:rFonts w:hint="eastAsia"/>
          <w:color w:val="auto"/>
          <w:sz w:val="30"/>
          <w:szCs w:val="30"/>
          <w:highlight w:val="none"/>
        </w:rPr>
        <w:br w:type="page"/>
      </w:r>
    </w:p>
    <w:p w14:paraId="76FF7EE6">
      <w:pPr>
        <w:pStyle w:val="3"/>
        <w:jc w:val="center"/>
        <w:rPr>
          <w:color w:val="auto"/>
          <w:sz w:val="30"/>
          <w:szCs w:val="30"/>
          <w:highlight w:val="none"/>
        </w:rPr>
      </w:pPr>
      <w:r>
        <w:rPr>
          <w:rFonts w:hint="eastAsia"/>
          <w:color w:val="auto"/>
          <w:sz w:val="30"/>
          <w:szCs w:val="30"/>
          <w:highlight w:val="none"/>
        </w:rPr>
        <w:t>第四章  投标文件格式</w:t>
      </w:r>
    </w:p>
    <w:p w14:paraId="42B436B7">
      <w:pPr>
        <w:pStyle w:val="14"/>
        <w:spacing w:line="440" w:lineRule="exact"/>
        <w:ind w:firstLine="590" w:firstLineChars="196"/>
        <w:jc w:val="center"/>
        <w:rPr>
          <w:rFonts w:hAnsi="宋体" w:cs="宋体"/>
          <w:b/>
          <w:color w:val="auto"/>
          <w:sz w:val="30"/>
          <w:szCs w:val="30"/>
          <w:highlight w:val="none"/>
        </w:rPr>
      </w:pPr>
    </w:p>
    <w:p w14:paraId="16A3D962">
      <w:pPr>
        <w:pStyle w:val="14"/>
        <w:spacing w:line="440" w:lineRule="exact"/>
        <w:ind w:firstLine="590" w:firstLineChars="196"/>
        <w:jc w:val="center"/>
        <w:rPr>
          <w:rFonts w:hAnsi="宋体" w:cs="宋体"/>
          <w:b/>
          <w:color w:val="auto"/>
          <w:sz w:val="30"/>
          <w:szCs w:val="30"/>
          <w:highlight w:val="none"/>
        </w:rPr>
      </w:pPr>
      <w:r>
        <w:rPr>
          <w:rFonts w:hint="eastAsia" w:hAnsi="宋体" w:cs="宋体"/>
          <w:b/>
          <w:color w:val="auto"/>
          <w:sz w:val="30"/>
          <w:szCs w:val="30"/>
          <w:highlight w:val="none"/>
        </w:rPr>
        <w:t>（一）法人授权委托书（格式）</w:t>
      </w:r>
    </w:p>
    <w:p w14:paraId="26D74258">
      <w:pPr>
        <w:spacing w:line="440" w:lineRule="exact"/>
        <w:jc w:val="left"/>
        <w:rPr>
          <w:rFonts w:ascii="宋体" w:hAnsi="宋体" w:cs="宋体"/>
          <w:color w:val="auto"/>
          <w:sz w:val="20"/>
          <w:highlight w:val="none"/>
        </w:rPr>
      </w:pPr>
    </w:p>
    <w:p w14:paraId="2B18F739">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桂林市人民医院</w:t>
      </w:r>
    </w:p>
    <w:p w14:paraId="77D10398">
      <w:pPr>
        <w:spacing w:line="500" w:lineRule="exact"/>
        <w:ind w:firstLine="420"/>
        <w:jc w:val="left"/>
        <w:rPr>
          <w:rFonts w:ascii="宋体" w:hAnsi="宋体" w:cs="宋体"/>
          <w:color w:val="auto"/>
          <w:sz w:val="24"/>
          <w:highlight w:val="none"/>
        </w:rPr>
      </w:pPr>
      <w:r>
        <w:rPr>
          <w:rFonts w:hint="eastAsia" w:ascii="宋体" w:hAnsi="宋体" w:cs="宋体"/>
          <w:color w:val="auto"/>
          <w:sz w:val="24"/>
          <w:highlight w:val="none"/>
        </w:rPr>
        <w:t>我（姓名）系（供应商名称）的法定代表人（负责人），现授权委托本单位在职职工（姓名）以我方名义参加</w:t>
      </w:r>
      <w:r>
        <w:rPr>
          <w:rFonts w:hint="eastAsia" w:ascii="宋体" w:hAnsi="宋体" w:cs="宋体"/>
          <w:color w:val="auto"/>
          <w:sz w:val="24"/>
          <w:highlight w:val="none"/>
          <w:u w:val="single"/>
        </w:rPr>
        <w:t xml:space="preserve">      （项目名称及项目编号）        </w:t>
      </w:r>
      <w:r>
        <w:rPr>
          <w:rFonts w:hint="eastAsia" w:ascii="宋体" w:hAnsi="宋体" w:cs="宋体"/>
          <w:color w:val="auto"/>
          <w:sz w:val="24"/>
          <w:highlight w:val="none"/>
        </w:rPr>
        <w:t>项目的议价采购活动，并代表我方全权办理针对上述项目的具体事务和签署相关文件。</w:t>
      </w:r>
    </w:p>
    <w:p w14:paraId="2883DFC6">
      <w:pPr>
        <w:spacing w:line="500" w:lineRule="exact"/>
        <w:ind w:firstLine="420"/>
        <w:jc w:val="left"/>
        <w:rPr>
          <w:rFonts w:ascii="宋体" w:hAnsi="宋体" w:cs="宋体"/>
          <w:color w:val="auto"/>
          <w:sz w:val="24"/>
          <w:highlight w:val="none"/>
        </w:rPr>
      </w:pPr>
      <w:r>
        <w:rPr>
          <w:rFonts w:hint="eastAsia" w:ascii="宋体" w:hAnsi="宋体" w:cs="宋体"/>
          <w:color w:val="auto"/>
          <w:sz w:val="24"/>
          <w:highlight w:val="none"/>
        </w:rPr>
        <w:t>我方对被授权人的签字事项负全部责任。</w:t>
      </w:r>
    </w:p>
    <w:p w14:paraId="662C64A7">
      <w:pPr>
        <w:spacing w:line="50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授权委托代理期限：从  年  月  日起至     年  月 日止。</w:t>
      </w:r>
    </w:p>
    <w:p w14:paraId="501E3D93">
      <w:pPr>
        <w:spacing w:line="440" w:lineRule="exact"/>
        <w:jc w:val="left"/>
        <w:rPr>
          <w:rFonts w:ascii="宋体" w:hAnsi="宋体" w:cs="宋体"/>
          <w:color w:val="auto"/>
          <w:sz w:val="24"/>
          <w:highlight w:val="none"/>
          <w:u w:val="single"/>
        </w:rPr>
      </w:pPr>
    </w:p>
    <w:p w14:paraId="332D0140">
      <w:pPr>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代理人无转委托权,特此委托。 </w:t>
      </w:r>
    </w:p>
    <w:p w14:paraId="6095CDB6">
      <w:pPr>
        <w:snapToGrid w:val="0"/>
        <w:spacing w:line="440" w:lineRule="exact"/>
        <w:ind w:firstLine="525"/>
        <w:jc w:val="left"/>
        <w:rPr>
          <w:rFonts w:ascii="宋体" w:hAnsi="宋体" w:cs="宋体"/>
          <w:color w:val="auto"/>
          <w:sz w:val="24"/>
          <w:highlight w:val="none"/>
        </w:rPr>
      </w:pPr>
    </w:p>
    <w:p w14:paraId="6E01BAAC">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我已在下面签字，以资证明。</w:t>
      </w:r>
    </w:p>
    <w:p w14:paraId="5363467A">
      <w:pPr>
        <w:snapToGrid w:val="0"/>
        <w:spacing w:line="440" w:lineRule="exact"/>
        <w:ind w:firstLine="420"/>
        <w:jc w:val="left"/>
        <w:rPr>
          <w:rFonts w:ascii="宋体" w:hAnsi="宋体" w:cs="宋体"/>
          <w:color w:val="auto"/>
          <w:sz w:val="24"/>
          <w:highlight w:val="none"/>
        </w:rPr>
      </w:pPr>
    </w:p>
    <w:p w14:paraId="2293A90A">
      <w:pPr>
        <w:snapToGrid w:val="0"/>
        <w:spacing w:line="440" w:lineRule="exact"/>
        <w:ind w:firstLine="420"/>
        <w:jc w:val="left"/>
        <w:rPr>
          <w:rFonts w:ascii="宋体" w:hAnsi="宋体" w:cs="宋体"/>
          <w:color w:val="auto"/>
          <w:sz w:val="24"/>
          <w:highlight w:val="none"/>
        </w:rPr>
      </w:pPr>
    </w:p>
    <w:p w14:paraId="15C89BA2">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4C0755C4">
      <w:pPr>
        <w:snapToGrid w:val="0"/>
        <w:spacing w:line="440" w:lineRule="exact"/>
        <w:ind w:firstLine="420"/>
        <w:jc w:val="left"/>
        <w:rPr>
          <w:rFonts w:ascii="宋体" w:hAnsi="宋体" w:cs="宋体"/>
          <w:color w:val="auto"/>
          <w:sz w:val="24"/>
          <w:highlight w:val="none"/>
        </w:rPr>
      </w:pPr>
    </w:p>
    <w:p w14:paraId="507217B8">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法定代表人（负责人）签字或盖章：  </w:t>
      </w:r>
    </w:p>
    <w:p w14:paraId="4404CDAD">
      <w:pPr>
        <w:snapToGrid w:val="0"/>
        <w:spacing w:line="440" w:lineRule="exact"/>
        <w:ind w:firstLine="480" w:firstLineChars="200"/>
        <w:jc w:val="left"/>
        <w:rPr>
          <w:rFonts w:ascii="宋体" w:hAnsi="宋体" w:cs="宋体"/>
          <w:color w:val="auto"/>
          <w:sz w:val="24"/>
          <w:highlight w:val="none"/>
        </w:rPr>
      </w:pPr>
    </w:p>
    <w:p w14:paraId="07534BE7">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2BFF1126">
      <w:pPr>
        <w:pStyle w:val="4"/>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0CBB78DF">
      <w:pPr>
        <w:spacing w:line="40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投标人参加政府采购活动前3年内在经营活动中没有重大违法记录的书面声明（格式）</w:t>
      </w:r>
    </w:p>
    <w:p w14:paraId="48F9C1E9">
      <w:pPr>
        <w:snapToGrid w:val="0"/>
        <w:spacing w:line="400" w:lineRule="exact"/>
        <w:rPr>
          <w:rFonts w:hint="eastAsia" w:ascii="宋体" w:hAnsi="宋体" w:eastAsia="宋体" w:cs="宋体"/>
          <w:b/>
          <w:color w:val="auto"/>
          <w:kern w:val="0"/>
          <w:sz w:val="24"/>
          <w:szCs w:val="24"/>
          <w:highlight w:val="none"/>
        </w:rPr>
      </w:pPr>
    </w:p>
    <w:p w14:paraId="7EAC5A2D">
      <w:pPr>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致</w:t>
      </w:r>
      <w:r>
        <w:rPr>
          <w:rFonts w:hint="eastAsia" w:ascii="宋体" w:hAnsi="宋体" w:eastAsia="宋体" w:cs="宋体"/>
          <w:color w:val="auto"/>
          <w:kern w:val="0"/>
          <w:sz w:val="24"/>
          <w:szCs w:val="24"/>
          <w:highlight w:val="none"/>
        </w:rPr>
        <w:t>：桂林市人民医院</w:t>
      </w:r>
    </w:p>
    <w:p w14:paraId="41A1BC51">
      <w:pPr>
        <w:rPr>
          <w:rFonts w:hint="eastAsia" w:ascii="宋体" w:hAnsi="宋体" w:eastAsia="宋体" w:cs="宋体"/>
          <w:color w:val="auto"/>
          <w:kern w:val="0"/>
          <w:sz w:val="24"/>
          <w:szCs w:val="24"/>
          <w:highlight w:val="none"/>
        </w:rPr>
      </w:pPr>
    </w:p>
    <w:p w14:paraId="59BBBAF5">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kern w:val="0"/>
          <w:sz w:val="24"/>
          <w:szCs w:val="24"/>
          <w:highlight w:val="none"/>
        </w:rPr>
        <w:t>，完全符合本项目招标文件规定的投标人资格条件，我方对此声明负全部法律责任。</w:t>
      </w:r>
    </w:p>
    <w:p w14:paraId="54432EF7">
      <w:pPr>
        <w:snapToGrid w:val="0"/>
        <w:spacing w:before="50" w:after="156" w:afterLines="50" w:line="360" w:lineRule="auto"/>
        <w:jc w:val="left"/>
        <w:rPr>
          <w:rFonts w:hint="eastAsia" w:ascii="宋体" w:hAnsi="宋体" w:eastAsia="宋体" w:cs="宋体"/>
          <w:color w:val="auto"/>
          <w:sz w:val="24"/>
          <w:szCs w:val="24"/>
          <w:highlight w:val="none"/>
        </w:rPr>
      </w:pPr>
    </w:p>
    <w:p w14:paraId="26ABDE00">
      <w:pPr>
        <w:snapToGrid w:val="0"/>
        <w:spacing w:before="156" w:beforeLines="50"/>
        <w:ind w:left="4860" w:leftChars="2200" w:right="480" w:hanging="240" w:hanging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14:paraId="6664A714">
      <w:pPr>
        <w:snapToGrid w:val="0"/>
        <w:spacing w:before="156" w:beforeLines="50"/>
        <w:ind w:right="480"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r>
        <w:rPr>
          <w:rFonts w:hint="eastAsia" w:ascii="宋体" w:hAnsi="宋体" w:eastAsia="宋体" w:cs="宋体"/>
          <w:color w:val="auto"/>
          <w:sz w:val="24"/>
          <w:szCs w:val="24"/>
          <w:highlight w:val="none"/>
          <w:u w:val="single"/>
        </w:rPr>
        <w:t xml:space="preserve">                 </w:t>
      </w:r>
    </w:p>
    <w:p w14:paraId="6169E92A">
      <w:pPr>
        <w:snapToGrid w:val="0"/>
        <w:spacing w:before="156" w:beforeLines="50" w:after="50"/>
        <w:ind w:right="900" w:firstLine="5400" w:firstLineChars="2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D4C2054">
      <w:pPr>
        <w:spacing w:line="400" w:lineRule="exact"/>
        <w:jc w:val="center"/>
        <w:rPr>
          <w:rFonts w:hint="eastAsia" w:ascii="宋体" w:hAnsi="宋体" w:eastAsia="宋体" w:cs="宋体"/>
          <w:b/>
          <w:color w:val="auto"/>
          <w:sz w:val="24"/>
          <w:szCs w:val="24"/>
          <w:highlight w:val="none"/>
        </w:rPr>
      </w:pPr>
    </w:p>
    <w:p w14:paraId="2B80316A">
      <w:pPr>
        <w:pStyle w:val="4"/>
        <w:spacing w:line="400" w:lineRule="exact"/>
        <w:jc w:val="center"/>
        <w:rPr>
          <w:rFonts w:hint="eastAsia" w:ascii="宋体" w:hAnsi="宋体" w:cs="宋体"/>
          <w:color w:val="auto"/>
          <w:sz w:val="24"/>
          <w:highlight w:val="none"/>
        </w:rPr>
      </w:pPr>
    </w:p>
    <w:p w14:paraId="57FEDA33">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1939F88">
      <w:pPr>
        <w:pStyle w:val="4"/>
        <w:spacing w:line="400" w:lineRule="exact"/>
        <w:jc w:val="center"/>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（二）响应函及响应函附录</w:t>
      </w:r>
    </w:p>
    <w:p w14:paraId="375BEA3E">
      <w:pPr>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响应函</w:t>
      </w:r>
    </w:p>
    <w:p w14:paraId="5C360B16">
      <w:pPr>
        <w:spacing w:line="460" w:lineRule="exact"/>
        <w:rPr>
          <w:rFonts w:ascii="宋体" w:hAnsi="宋体" w:cs="宋体"/>
          <w:color w:val="auto"/>
          <w:kern w:val="0"/>
          <w:sz w:val="24"/>
          <w:highlight w:val="none"/>
          <w:u w:val="single"/>
        </w:rPr>
      </w:pPr>
    </w:p>
    <w:p w14:paraId="20543E8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（采购人名称）：</w:t>
      </w:r>
    </w:p>
    <w:p w14:paraId="5AEFC4B1">
      <w:pPr>
        <w:tabs>
          <w:tab w:val="left" w:pos="7560"/>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1.根据你方项目编号为</w:t>
      </w:r>
      <w:r>
        <w:rPr>
          <w:rFonts w:hint="eastAsia" w:ascii="宋体" w:hAnsi="宋体" w:cs="宋体"/>
          <w:color w:val="auto"/>
          <w:sz w:val="24"/>
          <w:highlight w:val="none"/>
          <w:u w:val="single"/>
        </w:rPr>
        <w:t xml:space="preserve">           （ 项目编号）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（工程项目名称）</w:t>
      </w:r>
      <w:r>
        <w:rPr>
          <w:rFonts w:hint="eastAsia" w:ascii="宋体" w:hAnsi="宋体" w:cs="宋体"/>
          <w:color w:val="auto"/>
          <w:sz w:val="24"/>
          <w:highlight w:val="none"/>
        </w:rPr>
        <w:t>议价文件，遵照《中华人民共和国招标投标法》等有关规定，经研究上述议价文件、合同条款、图纸、工程建设标准和工程量清单及其他有关文件后，我方愿意以投标总报价人民币（大写）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元)（其中：投标报价（大写）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元)、安全文明施工费¥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元、规费¥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bookmarkStart w:id="4" w:name="OLE_LINK2"/>
      <w:r>
        <w:rPr>
          <w:rFonts w:hint="eastAsia" w:ascii="宋体" w:hAnsi="宋体" w:cs="宋体"/>
          <w:color w:val="auto"/>
          <w:sz w:val="24"/>
          <w:highlight w:val="none"/>
        </w:rPr>
        <w:t>增值税¥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bookmarkEnd w:id="4"/>
      <w:r>
        <w:rPr>
          <w:rFonts w:hint="eastAsia" w:ascii="宋体" w:hAnsi="宋体" w:cs="宋体"/>
          <w:color w:val="auto"/>
          <w:sz w:val="24"/>
          <w:highlight w:val="none"/>
        </w:rPr>
        <w:t>、暂列金额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元），并按上述图纸、合同条款、工程建设标准和工程量清单（如有时）的条件要求承包上述工程的施工、竣工，并承担任何质量缺陷保修责任。我方保证工程质量达到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等级。</w:t>
      </w:r>
    </w:p>
    <w:p w14:paraId="3B59999C">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2.我方已详细审核全部议价文件，包括修改文件（如有时）及有关附件。</w:t>
      </w:r>
    </w:p>
    <w:p w14:paraId="7766D14E">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3.我方承认响应函附录是我方响应函的组成部分。</w:t>
      </w:r>
    </w:p>
    <w:p w14:paraId="3E78A32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4.一旦我方中标，我方保证在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天（日历天）内竣工并移交整个工程。</w:t>
      </w:r>
    </w:p>
    <w:p w14:paraId="35181F42">
      <w:pPr>
        <w:spacing w:line="440" w:lineRule="exact"/>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rPr>
        <w:t>项目经理: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技术负责人：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施工员：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安全员：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质量员：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973E5C3">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5.如果我方中标，我方将按照文件规定提交安全风险金（履约保证金）作为履约担保。</w:t>
      </w:r>
    </w:p>
    <w:p w14:paraId="6E427248">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6.我方同意所提交的报价文件在议价文件的供应商响应有效期内有效，在此期间内如果中标，我方将受此约束。</w:t>
      </w:r>
    </w:p>
    <w:p w14:paraId="06272B85">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7.除非另外达成协议并生效，你方的成交通知书和本议价文件将成为约束双方的合同文件的组成部分。</w:t>
      </w:r>
    </w:p>
    <w:p w14:paraId="27BD4E6E">
      <w:pPr>
        <w:spacing w:line="440" w:lineRule="exact"/>
        <w:rPr>
          <w:rFonts w:ascii="宋体" w:hAnsi="宋体" w:cs="宋体"/>
          <w:color w:val="auto"/>
          <w:kern w:val="0"/>
          <w:sz w:val="24"/>
          <w:highlight w:val="none"/>
        </w:rPr>
      </w:pPr>
    </w:p>
    <w:p w14:paraId="2476A5E2">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spacing w:val="-1"/>
          <w:kern w:val="0"/>
          <w:sz w:val="24"/>
          <w:highlight w:val="none"/>
        </w:rPr>
        <w:t>：</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（盖单位公章） </w:t>
      </w:r>
    </w:p>
    <w:p w14:paraId="76C6935C">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（签</w:t>
      </w:r>
      <w:r>
        <w:rPr>
          <w:rFonts w:hint="eastAsia" w:ascii="宋体" w:hAnsi="宋体" w:cs="宋体"/>
          <w:color w:val="auto"/>
          <w:spacing w:val="-1"/>
          <w:kern w:val="0"/>
          <w:sz w:val="24"/>
          <w:highlight w:val="none"/>
        </w:rPr>
        <w:t>字或盖章</w:t>
      </w:r>
      <w:r>
        <w:rPr>
          <w:rFonts w:hint="eastAsia" w:ascii="宋体" w:hAnsi="宋体" w:cs="宋体"/>
          <w:color w:val="auto"/>
          <w:kern w:val="0"/>
          <w:sz w:val="24"/>
          <w:highlight w:val="none"/>
        </w:rPr>
        <w:t xml:space="preserve">） </w:t>
      </w:r>
    </w:p>
    <w:p w14:paraId="3B101C78">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p>
    <w:p w14:paraId="7420FEBC">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30D955A7">
      <w:pPr>
        <w:spacing w:line="440" w:lineRule="exact"/>
        <w:ind w:firstLine="2160" w:firstLineChars="9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1CB7BC1D">
      <w:pPr>
        <w:spacing w:line="440" w:lineRule="exact"/>
        <w:ind w:firstLine="2142" w:firstLineChars="900"/>
        <w:jc w:val="left"/>
        <w:rPr>
          <w:rFonts w:ascii="宋体" w:hAnsi="宋体" w:cs="宋体"/>
          <w:color w:val="auto"/>
          <w:kern w:val="0"/>
          <w:sz w:val="24"/>
          <w:highlight w:val="none"/>
        </w:rPr>
      </w:pPr>
      <w:r>
        <w:rPr>
          <w:rFonts w:hint="eastAsia" w:ascii="宋体" w:hAnsi="宋体" w:cs="宋体"/>
          <w:color w:val="auto"/>
          <w:spacing w:val="-1"/>
          <w:kern w:val="0"/>
          <w:sz w:val="24"/>
          <w:highlight w:val="none"/>
          <w:u w:val="single"/>
        </w:rPr>
        <w:t xml:space="preserve">         </w:t>
      </w:r>
      <w:r>
        <w:rPr>
          <w:rFonts w:hint="eastAsia" w:ascii="宋体" w:hAnsi="宋体" w:cs="宋体"/>
          <w:color w:val="auto"/>
          <w:spacing w:val="-1"/>
          <w:kern w:val="0"/>
          <w:sz w:val="24"/>
          <w:highlight w:val="none"/>
        </w:rPr>
        <w:t>年</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月</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日</w:t>
      </w:r>
    </w:p>
    <w:p w14:paraId="4FB87336">
      <w:pPr>
        <w:rPr>
          <w:rFonts w:ascii="黑体" w:hAnsi="黑体" w:eastAsia="黑体" w:cs="黑体"/>
          <w:b/>
          <w:color w:val="auto"/>
          <w:kern w:val="0"/>
          <w:sz w:val="28"/>
          <w:szCs w:val="28"/>
          <w:highlight w:val="none"/>
        </w:rPr>
      </w:pPr>
    </w:p>
    <w:p w14:paraId="7228ADD0">
      <w:pPr>
        <w:jc w:val="center"/>
        <w:rPr>
          <w:rFonts w:ascii="宋体" w:hAnsi="宋体" w:cs="宋体"/>
          <w:b/>
          <w:color w:val="auto"/>
          <w:kern w:val="0"/>
          <w:sz w:val="28"/>
          <w:szCs w:val="28"/>
          <w:highlight w:val="none"/>
        </w:rPr>
      </w:pPr>
    </w:p>
    <w:p w14:paraId="1DA1048B">
      <w:pPr>
        <w:jc w:val="center"/>
        <w:rPr>
          <w:rFonts w:ascii="宋体" w:hAnsi="宋体" w:cs="宋体"/>
          <w:b/>
          <w:color w:val="auto"/>
          <w:kern w:val="0"/>
          <w:sz w:val="28"/>
          <w:szCs w:val="28"/>
          <w:highlight w:val="none"/>
        </w:rPr>
      </w:pPr>
    </w:p>
    <w:p w14:paraId="45380543">
      <w:pPr>
        <w:jc w:val="center"/>
        <w:rPr>
          <w:rFonts w:ascii="宋体" w:hAnsi="宋体" w:cs="宋体"/>
          <w:b/>
          <w:color w:val="auto"/>
          <w:kern w:val="0"/>
          <w:sz w:val="28"/>
          <w:szCs w:val="28"/>
          <w:highlight w:val="none"/>
        </w:rPr>
      </w:pPr>
    </w:p>
    <w:p w14:paraId="112EC118">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响应函附录</w:t>
      </w:r>
    </w:p>
    <w:p w14:paraId="49B282D2">
      <w:pPr>
        <w:pStyle w:val="19"/>
        <w:rPr>
          <w:rFonts w:ascii="黑体" w:hAnsi="黑体" w:eastAsia="黑体" w:cs="黑体"/>
          <w:b/>
          <w:color w:val="auto"/>
          <w:kern w:val="0"/>
          <w:szCs w:val="28"/>
          <w:highlight w:val="none"/>
        </w:rPr>
      </w:pPr>
    </w:p>
    <w:p w14:paraId="6051889B">
      <w:pPr>
        <w:pStyle w:val="20"/>
        <w:rPr>
          <w:color w:val="auto"/>
          <w:highlight w:val="none"/>
        </w:rPr>
      </w:pPr>
    </w:p>
    <w:tbl>
      <w:tblPr>
        <w:tblStyle w:val="2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D6F0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2F285B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1D017EED">
            <w:pPr>
              <w:jc w:val="center"/>
              <w:rPr>
                <w:rFonts w:ascii="宋体" w:hAnsi="宋体" w:cs="宋体"/>
                <w:color w:val="auto"/>
                <w:sz w:val="24"/>
                <w:highlight w:val="none"/>
              </w:rPr>
            </w:pPr>
            <w:r>
              <w:rPr>
                <w:rFonts w:hint="eastAsia" w:ascii="宋体" w:hAnsi="宋体" w:cs="宋体"/>
                <w:color w:val="auto"/>
                <w:sz w:val="24"/>
                <w:highlight w:val="none"/>
              </w:rPr>
              <w:t>内       容</w:t>
            </w:r>
          </w:p>
        </w:tc>
      </w:tr>
      <w:tr w14:paraId="55FA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761724D">
            <w:pPr>
              <w:jc w:val="center"/>
              <w:rPr>
                <w:rFonts w:ascii="宋体" w:hAnsi="宋体" w:cs="宋体"/>
                <w:color w:val="auto"/>
                <w:sz w:val="24"/>
                <w:highlight w:val="none"/>
              </w:rPr>
            </w:pPr>
            <w:r>
              <w:rPr>
                <w:rFonts w:hint="eastAsia" w:ascii="宋体" w:hAnsi="宋体" w:cs="宋体"/>
                <w:color w:val="auto"/>
                <w:sz w:val="24"/>
                <w:highlight w:val="none"/>
              </w:rPr>
              <w:t>1</w:t>
            </w:r>
          </w:p>
        </w:tc>
        <w:tc>
          <w:tcPr>
            <w:tcW w:w="7871" w:type="dxa"/>
            <w:tcBorders>
              <w:top w:val="single" w:color="auto" w:sz="6" w:space="0"/>
              <w:left w:val="single" w:color="auto" w:sz="6" w:space="0"/>
              <w:bottom w:val="single" w:color="auto" w:sz="6" w:space="0"/>
              <w:right w:val="single" w:color="auto" w:sz="6" w:space="0"/>
            </w:tcBorders>
            <w:vAlign w:val="center"/>
          </w:tcPr>
          <w:p w14:paraId="406AA2F4">
            <w:pPr>
              <w:rPr>
                <w:rFonts w:ascii="宋体" w:hAnsi="宋体" w:cs="宋体"/>
                <w:color w:val="auto"/>
                <w:sz w:val="24"/>
                <w:highlight w:val="none"/>
              </w:rPr>
            </w:pPr>
            <w:r>
              <w:rPr>
                <w:rFonts w:hint="eastAsia" w:ascii="宋体" w:hAnsi="宋体" w:cs="宋体"/>
                <w:color w:val="auto"/>
                <w:sz w:val="24"/>
                <w:highlight w:val="none"/>
              </w:rPr>
              <w:t>施工企业资质等级：</w:t>
            </w:r>
          </w:p>
        </w:tc>
      </w:tr>
      <w:tr w14:paraId="5E4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7C7E1BB9">
            <w:pPr>
              <w:jc w:val="center"/>
              <w:rPr>
                <w:rFonts w:ascii="宋体" w:hAnsi="宋体" w:cs="宋体"/>
                <w:color w:val="auto"/>
                <w:sz w:val="24"/>
                <w:highlight w:val="none"/>
              </w:rPr>
            </w:pPr>
            <w:r>
              <w:rPr>
                <w:rFonts w:hint="eastAsia" w:ascii="宋体" w:hAnsi="宋体" w:cs="宋体"/>
                <w:color w:val="auto"/>
                <w:sz w:val="24"/>
                <w:highlight w:val="none"/>
              </w:rPr>
              <w:t>2</w:t>
            </w:r>
          </w:p>
        </w:tc>
        <w:tc>
          <w:tcPr>
            <w:tcW w:w="7871" w:type="dxa"/>
            <w:tcBorders>
              <w:top w:val="single" w:color="auto" w:sz="6" w:space="0"/>
              <w:left w:val="single" w:color="auto" w:sz="6" w:space="0"/>
              <w:bottom w:val="single" w:color="auto" w:sz="6" w:space="0"/>
              <w:right w:val="single" w:color="auto" w:sz="6" w:space="0"/>
            </w:tcBorders>
            <w:vAlign w:val="center"/>
          </w:tcPr>
          <w:p w14:paraId="0CFA8CAF">
            <w:pPr>
              <w:rPr>
                <w:rFonts w:ascii="宋体" w:hAnsi="宋体" w:cs="宋体"/>
                <w:color w:val="auto"/>
                <w:sz w:val="24"/>
                <w:highlight w:val="none"/>
              </w:rPr>
            </w:pPr>
            <w:r>
              <w:rPr>
                <w:rFonts w:hint="eastAsia" w:ascii="宋体" w:hAnsi="宋体" w:cs="宋体"/>
                <w:color w:val="auto"/>
                <w:sz w:val="24"/>
                <w:highlight w:val="none"/>
              </w:rPr>
              <w:t>项目经理姓名：</w:t>
            </w:r>
          </w:p>
          <w:p w14:paraId="02F3CE73">
            <w:pPr>
              <w:rPr>
                <w:rFonts w:ascii="宋体" w:hAnsi="宋体" w:cs="宋体"/>
                <w:color w:val="auto"/>
                <w:sz w:val="24"/>
                <w:highlight w:val="none"/>
              </w:rPr>
            </w:pPr>
            <w:r>
              <w:rPr>
                <w:rFonts w:hint="eastAsia" w:ascii="宋体" w:hAnsi="宋体" w:cs="宋体"/>
                <w:color w:val="auto"/>
                <w:sz w:val="24"/>
                <w:highlight w:val="none"/>
              </w:rPr>
              <w:t>注册建造师证书专业、等级：</w:t>
            </w:r>
          </w:p>
        </w:tc>
      </w:tr>
      <w:tr w14:paraId="600E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82CC935">
            <w:pPr>
              <w:jc w:val="center"/>
              <w:rPr>
                <w:rFonts w:ascii="宋体" w:hAnsi="宋体" w:cs="宋体"/>
                <w:color w:val="auto"/>
                <w:sz w:val="24"/>
                <w:highlight w:val="none"/>
              </w:rPr>
            </w:pPr>
            <w:r>
              <w:rPr>
                <w:rFonts w:hint="eastAsia" w:ascii="宋体" w:hAnsi="宋体" w:cs="宋体"/>
                <w:color w:val="auto"/>
                <w:sz w:val="24"/>
                <w:highlight w:val="none"/>
              </w:rPr>
              <w:t>3</w:t>
            </w:r>
          </w:p>
        </w:tc>
        <w:tc>
          <w:tcPr>
            <w:tcW w:w="7871" w:type="dxa"/>
            <w:tcBorders>
              <w:top w:val="single" w:color="auto" w:sz="6" w:space="0"/>
              <w:left w:val="single" w:color="auto" w:sz="6" w:space="0"/>
              <w:bottom w:val="single" w:color="auto" w:sz="6" w:space="0"/>
              <w:right w:val="single" w:color="auto" w:sz="6" w:space="0"/>
            </w:tcBorders>
            <w:vAlign w:val="center"/>
          </w:tcPr>
          <w:p w14:paraId="192FF675">
            <w:pPr>
              <w:rPr>
                <w:rFonts w:ascii="宋体" w:hAnsi="宋体" w:cs="宋体"/>
                <w:color w:val="auto"/>
                <w:sz w:val="24"/>
                <w:highlight w:val="none"/>
              </w:rPr>
            </w:pP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天（日历</w:t>
            </w:r>
            <w:r>
              <w:rPr>
                <w:rFonts w:hint="eastAsia" w:ascii="宋体" w:hAnsi="宋体" w:cs="宋体"/>
                <w:color w:val="auto"/>
                <w:sz w:val="24"/>
                <w:highlight w:val="none"/>
                <w:lang w:val="en-US" w:eastAsia="zh-CN"/>
              </w:rPr>
              <w:t>日</w:t>
            </w:r>
            <w:r>
              <w:rPr>
                <w:rFonts w:hint="eastAsia" w:ascii="宋体" w:hAnsi="宋体" w:cs="宋体"/>
                <w:color w:val="auto"/>
                <w:sz w:val="24"/>
                <w:highlight w:val="none"/>
              </w:rPr>
              <w:t>）</w:t>
            </w:r>
          </w:p>
        </w:tc>
      </w:tr>
      <w:tr w14:paraId="7DC5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FBC6FBD">
            <w:pPr>
              <w:jc w:val="center"/>
              <w:rPr>
                <w:rFonts w:ascii="宋体" w:hAnsi="宋体" w:cs="宋体"/>
                <w:color w:val="auto"/>
                <w:sz w:val="24"/>
                <w:highlight w:val="none"/>
              </w:rPr>
            </w:pPr>
            <w:r>
              <w:rPr>
                <w:rFonts w:hint="eastAsia" w:ascii="宋体" w:hAnsi="宋体" w:cs="宋体"/>
                <w:color w:val="auto"/>
                <w:sz w:val="24"/>
                <w:highlight w:val="none"/>
              </w:rPr>
              <w:t>4</w:t>
            </w:r>
          </w:p>
        </w:tc>
        <w:tc>
          <w:tcPr>
            <w:tcW w:w="7871" w:type="dxa"/>
            <w:tcBorders>
              <w:top w:val="single" w:color="auto" w:sz="6" w:space="0"/>
              <w:left w:val="single" w:color="auto" w:sz="6" w:space="0"/>
              <w:bottom w:val="single" w:color="auto" w:sz="6" w:space="0"/>
              <w:right w:val="single" w:color="auto" w:sz="6" w:space="0"/>
            </w:tcBorders>
            <w:vAlign w:val="center"/>
          </w:tcPr>
          <w:p w14:paraId="6B1773E2">
            <w:pPr>
              <w:rPr>
                <w:rFonts w:ascii="宋体" w:hAnsi="宋体" w:cs="宋体"/>
                <w:color w:val="auto"/>
                <w:sz w:val="24"/>
                <w:highlight w:val="none"/>
              </w:rPr>
            </w:pPr>
            <w:r>
              <w:rPr>
                <w:rFonts w:hint="eastAsia" w:ascii="宋体" w:hAnsi="宋体" w:cs="宋体"/>
                <w:color w:val="auto"/>
                <w:sz w:val="24"/>
                <w:highlight w:val="none"/>
              </w:rPr>
              <w:t>质量等级：</w:t>
            </w:r>
          </w:p>
        </w:tc>
      </w:tr>
      <w:tr w14:paraId="1DB6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20470B66">
            <w:pPr>
              <w:jc w:val="center"/>
              <w:rPr>
                <w:rFonts w:ascii="宋体" w:hAnsi="宋体" w:cs="宋体"/>
                <w:color w:val="auto"/>
                <w:sz w:val="24"/>
                <w:highlight w:val="none"/>
              </w:rPr>
            </w:pPr>
            <w:r>
              <w:rPr>
                <w:rFonts w:hint="eastAsia" w:ascii="宋体" w:hAnsi="宋体" w:cs="宋体"/>
                <w:color w:val="auto"/>
                <w:sz w:val="24"/>
                <w:highlight w:val="none"/>
              </w:rPr>
              <w:t>5</w:t>
            </w:r>
          </w:p>
        </w:tc>
        <w:tc>
          <w:tcPr>
            <w:tcW w:w="7871" w:type="dxa"/>
            <w:tcBorders>
              <w:top w:val="single" w:color="auto" w:sz="6" w:space="0"/>
              <w:left w:val="single" w:color="auto" w:sz="6" w:space="0"/>
              <w:bottom w:val="single" w:color="auto" w:sz="6" w:space="0"/>
              <w:right w:val="single" w:color="auto" w:sz="6" w:space="0"/>
            </w:tcBorders>
            <w:vAlign w:val="center"/>
          </w:tcPr>
          <w:p w14:paraId="608D099E">
            <w:pPr>
              <w:rPr>
                <w:rFonts w:ascii="宋体" w:hAnsi="宋体" w:cs="宋体"/>
                <w:color w:val="auto"/>
                <w:sz w:val="24"/>
                <w:highlight w:val="none"/>
              </w:rPr>
            </w:pPr>
            <w:r>
              <w:rPr>
                <w:rFonts w:hint="eastAsia" w:ascii="宋体" w:hAnsi="宋体" w:cs="宋体"/>
                <w:color w:val="auto"/>
                <w:sz w:val="24"/>
                <w:highlight w:val="none"/>
              </w:rPr>
              <w:t>其    他：</w:t>
            </w:r>
          </w:p>
        </w:tc>
      </w:tr>
    </w:tbl>
    <w:p w14:paraId="0867361A">
      <w:pPr>
        <w:spacing w:line="480" w:lineRule="exact"/>
        <w:rPr>
          <w:rFonts w:ascii="宋体" w:hAnsi="宋体" w:cs="宋体"/>
          <w:color w:val="auto"/>
          <w:sz w:val="24"/>
          <w:highlight w:val="none"/>
        </w:rPr>
      </w:pPr>
    </w:p>
    <w:p w14:paraId="7A934B6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供应商：                      （盖章）</w:t>
      </w:r>
    </w:p>
    <w:p w14:paraId="7FBF8A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（签字或盖章）</w:t>
      </w:r>
    </w:p>
    <w:p w14:paraId="69E81372">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221D465">
      <w:pPr>
        <w:rPr>
          <w:rFonts w:hint="eastAsia" w:ascii="宋体" w:hAnsi="宋体" w:cs="宋体"/>
          <w:color w:val="auto"/>
          <w:sz w:val="24"/>
          <w:highlight w:val="none"/>
        </w:rPr>
      </w:pPr>
      <w:r>
        <w:rPr>
          <w:rFonts w:hint="eastAsia" w:ascii="宋体" w:hAnsi="宋体" w:cs="宋体"/>
          <w:color w:val="auto"/>
          <w:sz w:val="24"/>
          <w:highlight w:val="none"/>
        </w:rPr>
        <w:br w:type="page"/>
      </w:r>
    </w:p>
    <w:p w14:paraId="6A52D6DB">
      <w:pPr>
        <w:spacing w:line="360" w:lineRule="auto"/>
        <w:jc w:val="right"/>
        <w:rPr>
          <w:rFonts w:hint="eastAsia" w:ascii="宋体" w:hAnsi="宋体" w:cs="宋体"/>
          <w:color w:val="auto"/>
          <w:sz w:val="24"/>
          <w:highlight w:val="none"/>
        </w:rPr>
        <w:sectPr>
          <w:footerReference r:id="rId4" w:type="default"/>
          <w:pgSz w:w="11906" w:h="16838"/>
          <w:pgMar w:top="1417" w:right="1417" w:bottom="1417" w:left="1304" w:header="850" w:footer="992" w:gutter="0"/>
          <w:cols w:space="720" w:num="1"/>
          <w:docGrid w:linePitch="312" w:charSpace="0"/>
        </w:sectPr>
      </w:pPr>
    </w:p>
    <w:p w14:paraId="6BD5A3E1">
      <w:pPr>
        <w:numPr>
          <w:ilvl w:val="0"/>
          <w:numId w:val="2"/>
        </w:numPr>
        <w:spacing w:line="480" w:lineRule="auto"/>
        <w:jc w:val="center"/>
        <w:rPr>
          <w:rFonts w:ascii="宋体" w:hAnsi="宋体"/>
          <w:b/>
          <w:color w:val="auto"/>
          <w:sz w:val="28"/>
          <w:szCs w:val="28"/>
          <w:highlight w:val="none"/>
        </w:rPr>
      </w:pPr>
      <w:bookmarkStart w:id="5" w:name="_Toc3744"/>
      <w:bookmarkStart w:id="6" w:name="_Toc25320280"/>
      <w:bookmarkStart w:id="7" w:name="_Toc25320401"/>
      <w:r>
        <w:rPr>
          <w:rFonts w:ascii="宋体" w:hAnsi="宋体"/>
          <w:b/>
          <w:color w:val="auto"/>
          <w:sz w:val="28"/>
          <w:szCs w:val="28"/>
          <w:highlight w:val="none"/>
        </w:rPr>
        <w:t>供应商基本情况表</w:t>
      </w:r>
    </w:p>
    <w:p w14:paraId="2EBA60AD">
      <w:pPr>
        <w:pStyle w:val="1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color w:val="auto"/>
          <w:sz w:val="24"/>
          <w:szCs w:val="24"/>
          <w:highlight w:val="none"/>
        </w:rPr>
      </w:pPr>
      <w:r>
        <w:rPr>
          <w:rFonts w:hint="eastAsia" w:ascii="宋体" w:hAnsi="宋体"/>
          <w:b/>
          <w:color w:val="auto"/>
          <w:sz w:val="24"/>
          <w:szCs w:val="24"/>
          <w:highlight w:val="none"/>
        </w:rPr>
        <w:t>供应商基本情况表（并附</w:t>
      </w:r>
      <w:r>
        <w:rPr>
          <w:rFonts w:hint="eastAsia" w:ascii="宋体" w:hAnsi="宋体" w:cs="宋体"/>
          <w:b/>
          <w:bCs/>
          <w:color w:val="auto"/>
          <w:kern w:val="21"/>
          <w:sz w:val="24"/>
          <w:szCs w:val="24"/>
          <w:highlight w:val="none"/>
        </w:rPr>
        <w:t>有效的电力工程施工总承包三级以上（含三级）资质或输变电工程专业承包三级以上（含三级）资质扫描件、有效的《承装（修、试）电力设施许可证》承装类、承修类、承试类五级以上（含五级）资质扫描件以及有效的安全生产许可证扫描件</w:t>
      </w:r>
      <w:r>
        <w:rPr>
          <w:rFonts w:hint="eastAsia" w:ascii="宋体" w:hAnsi="宋体"/>
          <w:b/>
          <w:color w:val="auto"/>
          <w:sz w:val="24"/>
          <w:szCs w:val="24"/>
          <w:highlight w:val="none"/>
        </w:rPr>
        <w:t>）</w:t>
      </w:r>
      <w:r>
        <w:rPr>
          <w:rFonts w:hint="eastAsia" w:ascii="宋体" w:hAnsi="宋体" w:cs="宋体"/>
          <w:b/>
          <w:color w:val="auto"/>
          <w:kern w:val="21"/>
          <w:sz w:val="24"/>
          <w:szCs w:val="24"/>
          <w:highlight w:val="none"/>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737"/>
      </w:tblGrid>
      <w:tr w14:paraId="2351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AE733C7">
            <w:pPr>
              <w:jc w:val="center"/>
              <w:rPr>
                <w:rFonts w:ascii="宋体" w:hAnsi="宋体"/>
                <w:color w:val="auto"/>
                <w:szCs w:val="21"/>
                <w:highlight w:val="none"/>
              </w:rPr>
            </w:pPr>
            <w:r>
              <w:rPr>
                <w:rFonts w:ascii="宋体" w:hAnsi="宋体"/>
                <w:color w:val="auto"/>
                <w:szCs w:val="21"/>
                <w:highlight w:val="none"/>
              </w:rPr>
              <w:t>供应商名称</w:t>
            </w:r>
          </w:p>
        </w:tc>
        <w:tc>
          <w:tcPr>
            <w:tcW w:w="7341" w:type="dxa"/>
            <w:gridSpan w:val="9"/>
            <w:noWrap w:val="0"/>
            <w:vAlign w:val="center"/>
          </w:tcPr>
          <w:p w14:paraId="5B6D2012">
            <w:pPr>
              <w:jc w:val="center"/>
              <w:rPr>
                <w:rFonts w:ascii="宋体" w:hAnsi="宋体"/>
                <w:color w:val="auto"/>
                <w:szCs w:val="21"/>
                <w:highlight w:val="none"/>
              </w:rPr>
            </w:pPr>
          </w:p>
        </w:tc>
      </w:tr>
      <w:tr w14:paraId="7850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A1C9224">
            <w:pPr>
              <w:jc w:val="center"/>
              <w:rPr>
                <w:rFonts w:ascii="宋体" w:hAnsi="宋体"/>
                <w:color w:val="auto"/>
                <w:szCs w:val="21"/>
                <w:highlight w:val="none"/>
              </w:rPr>
            </w:pPr>
            <w:r>
              <w:rPr>
                <w:rFonts w:ascii="宋体" w:hAnsi="宋体"/>
                <w:color w:val="auto"/>
                <w:szCs w:val="21"/>
                <w:highlight w:val="none"/>
              </w:rPr>
              <w:t>注册地址</w:t>
            </w:r>
          </w:p>
        </w:tc>
        <w:tc>
          <w:tcPr>
            <w:tcW w:w="3389" w:type="dxa"/>
            <w:gridSpan w:val="5"/>
            <w:noWrap w:val="0"/>
            <w:vAlign w:val="center"/>
          </w:tcPr>
          <w:p w14:paraId="7BD87803">
            <w:pPr>
              <w:jc w:val="center"/>
              <w:rPr>
                <w:rFonts w:ascii="宋体" w:hAnsi="宋体"/>
                <w:color w:val="auto"/>
                <w:szCs w:val="21"/>
                <w:highlight w:val="none"/>
              </w:rPr>
            </w:pPr>
          </w:p>
        </w:tc>
        <w:tc>
          <w:tcPr>
            <w:tcW w:w="1246" w:type="dxa"/>
            <w:noWrap w:val="0"/>
            <w:vAlign w:val="center"/>
          </w:tcPr>
          <w:p w14:paraId="34774585">
            <w:pPr>
              <w:jc w:val="center"/>
              <w:rPr>
                <w:rFonts w:ascii="宋体" w:hAnsi="宋体"/>
                <w:color w:val="auto"/>
                <w:szCs w:val="21"/>
                <w:highlight w:val="none"/>
              </w:rPr>
            </w:pPr>
            <w:r>
              <w:rPr>
                <w:rFonts w:ascii="宋体" w:hAnsi="宋体"/>
                <w:color w:val="auto"/>
                <w:szCs w:val="21"/>
                <w:highlight w:val="none"/>
              </w:rPr>
              <w:t>邮政编码</w:t>
            </w:r>
          </w:p>
        </w:tc>
        <w:tc>
          <w:tcPr>
            <w:tcW w:w="2706" w:type="dxa"/>
            <w:gridSpan w:val="3"/>
            <w:noWrap w:val="0"/>
            <w:vAlign w:val="center"/>
          </w:tcPr>
          <w:p w14:paraId="333CBD8E">
            <w:pPr>
              <w:jc w:val="center"/>
              <w:rPr>
                <w:rFonts w:ascii="宋体" w:hAnsi="宋体"/>
                <w:color w:val="auto"/>
                <w:szCs w:val="21"/>
                <w:highlight w:val="none"/>
              </w:rPr>
            </w:pPr>
          </w:p>
        </w:tc>
      </w:tr>
      <w:tr w14:paraId="3D81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79374DC3">
            <w:pPr>
              <w:jc w:val="center"/>
              <w:rPr>
                <w:rFonts w:ascii="宋体" w:hAnsi="宋体"/>
                <w:color w:val="auto"/>
                <w:szCs w:val="21"/>
                <w:highlight w:val="none"/>
              </w:rPr>
            </w:pPr>
            <w:r>
              <w:rPr>
                <w:rFonts w:ascii="宋体" w:hAnsi="宋体"/>
                <w:color w:val="auto"/>
                <w:szCs w:val="21"/>
                <w:highlight w:val="none"/>
              </w:rPr>
              <w:t>联系方式</w:t>
            </w:r>
          </w:p>
        </w:tc>
        <w:tc>
          <w:tcPr>
            <w:tcW w:w="897" w:type="dxa"/>
            <w:noWrap w:val="0"/>
            <w:vAlign w:val="center"/>
          </w:tcPr>
          <w:p w14:paraId="70FF5EB9">
            <w:pPr>
              <w:jc w:val="center"/>
              <w:rPr>
                <w:rFonts w:ascii="宋体" w:hAnsi="宋体"/>
                <w:color w:val="auto"/>
                <w:szCs w:val="21"/>
                <w:highlight w:val="none"/>
              </w:rPr>
            </w:pPr>
            <w:r>
              <w:rPr>
                <w:rFonts w:ascii="宋体" w:hAnsi="宋体"/>
                <w:color w:val="auto"/>
                <w:szCs w:val="21"/>
                <w:highlight w:val="none"/>
              </w:rPr>
              <w:t>联系人</w:t>
            </w:r>
          </w:p>
        </w:tc>
        <w:tc>
          <w:tcPr>
            <w:tcW w:w="2492" w:type="dxa"/>
            <w:gridSpan w:val="4"/>
            <w:noWrap w:val="0"/>
            <w:vAlign w:val="center"/>
          </w:tcPr>
          <w:p w14:paraId="2310D362">
            <w:pPr>
              <w:jc w:val="center"/>
              <w:rPr>
                <w:rFonts w:ascii="宋体" w:hAnsi="宋体"/>
                <w:color w:val="auto"/>
                <w:szCs w:val="21"/>
                <w:highlight w:val="none"/>
              </w:rPr>
            </w:pPr>
          </w:p>
        </w:tc>
        <w:tc>
          <w:tcPr>
            <w:tcW w:w="1246" w:type="dxa"/>
            <w:noWrap w:val="0"/>
            <w:vAlign w:val="center"/>
          </w:tcPr>
          <w:p w14:paraId="225321BE">
            <w:pPr>
              <w:jc w:val="center"/>
              <w:rPr>
                <w:rFonts w:ascii="宋体" w:hAnsi="宋体"/>
                <w:color w:val="auto"/>
                <w:szCs w:val="21"/>
                <w:highlight w:val="none"/>
              </w:rPr>
            </w:pPr>
            <w:r>
              <w:rPr>
                <w:rFonts w:ascii="宋体" w:hAnsi="宋体"/>
                <w:color w:val="auto"/>
                <w:szCs w:val="21"/>
                <w:highlight w:val="none"/>
              </w:rPr>
              <w:t>电  话</w:t>
            </w:r>
          </w:p>
        </w:tc>
        <w:tc>
          <w:tcPr>
            <w:tcW w:w="2706" w:type="dxa"/>
            <w:gridSpan w:val="3"/>
            <w:noWrap w:val="0"/>
            <w:vAlign w:val="center"/>
          </w:tcPr>
          <w:p w14:paraId="684027E0">
            <w:pPr>
              <w:jc w:val="center"/>
              <w:rPr>
                <w:rFonts w:ascii="宋体" w:hAnsi="宋体"/>
                <w:color w:val="auto"/>
                <w:szCs w:val="21"/>
                <w:highlight w:val="none"/>
              </w:rPr>
            </w:pPr>
          </w:p>
        </w:tc>
      </w:tr>
      <w:tr w14:paraId="672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11B4A444">
            <w:pPr>
              <w:jc w:val="center"/>
              <w:rPr>
                <w:rFonts w:ascii="宋体" w:hAnsi="宋体"/>
                <w:color w:val="auto"/>
                <w:szCs w:val="21"/>
                <w:highlight w:val="none"/>
              </w:rPr>
            </w:pPr>
          </w:p>
        </w:tc>
        <w:tc>
          <w:tcPr>
            <w:tcW w:w="897" w:type="dxa"/>
            <w:noWrap w:val="0"/>
            <w:vAlign w:val="center"/>
          </w:tcPr>
          <w:p w14:paraId="0ADCDA9F">
            <w:pPr>
              <w:jc w:val="center"/>
              <w:rPr>
                <w:rFonts w:ascii="宋体" w:hAnsi="宋体"/>
                <w:color w:val="auto"/>
                <w:szCs w:val="21"/>
                <w:highlight w:val="none"/>
              </w:rPr>
            </w:pPr>
            <w:r>
              <w:rPr>
                <w:rFonts w:ascii="宋体" w:hAnsi="宋体"/>
                <w:color w:val="auto"/>
                <w:szCs w:val="21"/>
                <w:highlight w:val="none"/>
              </w:rPr>
              <w:t>传  真</w:t>
            </w:r>
          </w:p>
        </w:tc>
        <w:tc>
          <w:tcPr>
            <w:tcW w:w="2492" w:type="dxa"/>
            <w:gridSpan w:val="4"/>
            <w:noWrap w:val="0"/>
            <w:vAlign w:val="center"/>
          </w:tcPr>
          <w:p w14:paraId="60A6C4E4">
            <w:pPr>
              <w:jc w:val="center"/>
              <w:rPr>
                <w:rFonts w:ascii="宋体" w:hAnsi="宋体"/>
                <w:color w:val="auto"/>
                <w:szCs w:val="21"/>
                <w:highlight w:val="none"/>
              </w:rPr>
            </w:pPr>
          </w:p>
        </w:tc>
        <w:tc>
          <w:tcPr>
            <w:tcW w:w="1246" w:type="dxa"/>
            <w:noWrap w:val="0"/>
            <w:vAlign w:val="center"/>
          </w:tcPr>
          <w:p w14:paraId="4536BBAC">
            <w:pPr>
              <w:jc w:val="center"/>
              <w:rPr>
                <w:rFonts w:ascii="宋体" w:hAnsi="宋体"/>
                <w:color w:val="auto"/>
                <w:szCs w:val="21"/>
                <w:highlight w:val="none"/>
              </w:rPr>
            </w:pPr>
            <w:r>
              <w:rPr>
                <w:rFonts w:ascii="宋体" w:hAnsi="宋体"/>
                <w:color w:val="auto"/>
                <w:szCs w:val="21"/>
                <w:highlight w:val="none"/>
              </w:rPr>
              <w:t>网  址</w:t>
            </w:r>
          </w:p>
        </w:tc>
        <w:tc>
          <w:tcPr>
            <w:tcW w:w="2706" w:type="dxa"/>
            <w:gridSpan w:val="3"/>
            <w:noWrap w:val="0"/>
            <w:vAlign w:val="center"/>
          </w:tcPr>
          <w:p w14:paraId="27A983EE">
            <w:pPr>
              <w:jc w:val="center"/>
              <w:rPr>
                <w:rFonts w:ascii="宋体" w:hAnsi="宋体"/>
                <w:color w:val="auto"/>
                <w:szCs w:val="21"/>
                <w:highlight w:val="none"/>
              </w:rPr>
            </w:pPr>
          </w:p>
        </w:tc>
      </w:tr>
      <w:tr w14:paraId="0EA5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DDECF22">
            <w:pPr>
              <w:jc w:val="center"/>
              <w:rPr>
                <w:rFonts w:ascii="宋体" w:hAnsi="宋体"/>
                <w:color w:val="auto"/>
                <w:szCs w:val="21"/>
                <w:highlight w:val="none"/>
              </w:rPr>
            </w:pPr>
            <w:r>
              <w:rPr>
                <w:rFonts w:ascii="宋体" w:hAnsi="宋体"/>
                <w:color w:val="auto"/>
                <w:szCs w:val="21"/>
                <w:highlight w:val="none"/>
              </w:rPr>
              <w:t>组织机构</w:t>
            </w:r>
          </w:p>
        </w:tc>
        <w:tc>
          <w:tcPr>
            <w:tcW w:w="7341" w:type="dxa"/>
            <w:gridSpan w:val="9"/>
            <w:noWrap w:val="0"/>
            <w:vAlign w:val="center"/>
          </w:tcPr>
          <w:p w14:paraId="4581A84B">
            <w:pPr>
              <w:jc w:val="center"/>
              <w:rPr>
                <w:rFonts w:ascii="宋体" w:hAnsi="宋体"/>
                <w:color w:val="auto"/>
                <w:szCs w:val="21"/>
                <w:highlight w:val="none"/>
              </w:rPr>
            </w:pPr>
          </w:p>
        </w:tc>
      </w:tr>
      <w:tr w14:paraId="07E2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5D984E8">
            <w:pPr>
              <w:jc w:val="center"/>
              <w:rPr>
                <w:rFonts w:ascii="宋体" w:hAnsi="宋体"/>
                <w:color w:val="auto"/>
                <w:szCs w:val="21"/>
                <w:highlight w:val="none"/>
              </w:rPr>
            </w:pPr>
            <w:r>
              <w:rPr>
                <w:rFonts w:ascii="宋体" w:hAnsi="宋体"/>
                <w:color w:val="auto"/>
                <w:szCs w:val="21"/>
                <w:highlight w:val="none"/>
              </w:rPr>
              <w:t>法定代表人</w:t>
            </w:r>
          </w:p>
        </w:tc>
        <w:tc>
          <w:tcPr>
            <w:tcW w:w="897" w:type="dxa"/>
            <w:noWrap w:val="0"/>
            <w:vAlign w:val="center"/>
          </w:tcPr>
          <w:p w14:paraId="7A06C154">
            <w:pPr>
              <w:jc w:val="center"/>
              <w:rPr>
                <w:rFonts w:ascii="宋体" w:hAnsi="宋体"/>
                <w:color w:val="auto"/>
                <w:szCs w:val="21"/>
                <w:highlight w:val="none"/>
              </w:rPr>
            </w:pPr>
            <w:r>
              <w:rPr>
                <w:rFonts w:ascii="宋体" w:hAnsi="宋体"/>
                <w:color w:val="auto"/>
                <w:szCs w:val="21"/>
                <w:highlight w:val="none"/>
              </w:rPr>
              <w:t>姓名</w:t>
            </w:r>
          </w:p>
        </w:tc>
        <w:tc>
          <w:tcPr>
            <w:tcW w:w="1021" w:type="dxa"/>
            <w:noWrap w:val="0"/>
            <w:vAlign w:val="center"/>
          </w:tcPr>
          <w:p w14:paraId="29869B28">
            <w:pPr>
              <w:jc w:val="center"/>
              <w:rPr>
                <w:rFonts w:ascii="宋体" w:hAnsi="宋体"/>
                <w:color w:val="auto"/>
                <w:szCs w:val="21"/>
                <w:highlight w:val="none"/>
              </w:rPr>
            </w:pPr>
          </w:p>
        </w:tc>
        <w:tc>
          <w:tcPr>
            <w:tcW w:w="1276" w:type="dxa"/>
            <w:gridSpan w:val="2"/>
            <w:noWrap w:val="0"/>
            <w:vAlign w:val="center"/>
          </w:tcPr>
          <w:p w14:paraId="6900C555">
            <w:pPr>
              <w:jc w:val="center"/>
              <w:rPr>
                <w:rFonts w:ascii="宋体" w:hAnsi="宋体"/>
                <w:color w:val="auto"/>
                <w:szCs w:val="21"/>
                <w:highlight w:val="none"/>
              </w:rPr>
            </w:pPr>
            <w:r>
              <w:rPr>
                <w:rFonts w:ascii="宋体" w:hAnsi="宋体"/>
                <w:color w:val="auto"/>
                <w:szCs w:val="21"/>
                <w:highlight w:val="none"/>
              </w:rPr>
              <w:t>技术职称</w:t>
            </w:r>
          </w:p>
        </w:tc>
        <w:tc>
          <w:tcPr>
            <w:tcW w:w="1701" w:type="dxa"/>
            <w:gridSpan w:val="3"/>
            <w:noWrap w:val="0"/>
            <w:vAlign w:val="center"/>
          </w:tcPr>
          <w:p w14:paraId="7A8BD7E2">
            <w:pPr>
              <w:jc w:val="center"/>
              <w:rPr>
                <w:rFonts w:ascii="宋体" w:hAnsi="宋体"/>
                <w:color w:val="auto"/>
                <w:szCs w:val="21"/>
                <w:highlight w:val="none"/>
              </w:rPr>
            </w:pPr>
          </w:p>
        </w:tc>
        <w:tc>
          <w:tcPr>
            <w:tcW w:w="709" w:type="dxa"/>
            <w:noWrap w:val="0"/>
            <w:vAlign w:val="center"/>
          </w:tcPr>
          <w:p w14:paraId="029EBD44">
            <w:pPr>
              <w:jc w:val="center"/>
              <w:rPr>
                <w:rFonts w:ascii="宋体" w:hAnsi="宋体"/>
                <w:color w:val="auto"/>
                <w:szCs w:val="21"/>
                <w:highlight w:val="none"/>
              </w:rPr>
            </w:pPr>
            <w:r>
              <w:rPr>
                <w:rFonts w:ascii="宋体" w:hAnsi="宋体"/>
                <w:color w:val="auto"/>
                <w:szCs w:val="21"/>
                <w:highlight w:val="none"/>
              </w:rPr>
              <w:t>电话</w:t>
            </w:r>
          </w:p>
        </w:tc>
        <w:tc>
          <w:tcPr>
            <w:tcW w:w="1737" w:type="dxa"/>
            <w:noWrap w:val="0"/>
            <w:vAlign w:val="center"/>
          </w:tcPr>
          <w:p w14:paraId="6D53FA52">
            <w:pPr>
              <w:jc w:val="center"/>
              <w:rPr>
                <w:rFonts w:ascii="宋体" w:hAnsi="宋体"/>
                <w:color w:val="auto"/>
                <w:szCs w:val="21"/>
                <w:highlight w:val="none"/>
              </w:rPr>
            </w:pPr>
          </w:p>
        </w:tc>
      </w:tr>
      <w:tr w14:paraId="4802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2F72235">
            <w:pPr>
              <w:jc w:val="center"/>
              <w:rPr>
                <w:rFonts w:ascii="宋体" w:hAnsi="宋体"/>
                <w:color w:val="auto"/>
                <w:szCs w:val="21"/>
                <w:highlight w:val="none"/>
              </w:rPr>
            </w:pPr>
            <w:r>
              <w:rPr>
                <w:rFonts w:ascii="宋体" w:hAnsi="宋体"/>
                <w:color w:val="auto"/>
                <w:szCs w:val="21"/>
                <w:highlight w:val="none"/>
              </w:rPr>
              <w:t>技术负责人</w:t>
            </w:r>
          </w:p>
        </w:tc>
        <w:tc>
          <w:tcPr>
            <w:tcW w:w="897" w:type="dxa"/>
            <w:noWrap w:val="0"/>
            <w:vAlign w:val="center"/>
          </w:tcPr>
          <w:p w14:paraId="29A29F14">
            <w:pPr>
              <w:jc w:val="center"/>
              <w:rPr>
                <w:rFonts w:ascii="宋体" w:hAnsi="宋体"/>
                <w:color w:val="auto"/>
                <w:szCs w:val="21"/>
                <w:highlight w:val="none"/>
              </w:rPr>
            </w:pPr>
            <w:r>
              <w:rPr>
                <w:rFonts w:ascii="宋体" w:hAnsi="宋体"/>
                <w:color w:val="auto"/>
                <w:szCs w:val="21"/>
                <w:highlight w:val="none"/>
              </w:rPr>
              <w:t>姓名</w:t>
            </w:r>
          </w:p>
        </w:tc>
        <w:tc>
          <w:tcPr>
            <w:tcW w:w="1021" w:type="dxa"/>
            <w:noWrap w:val="0"/>
            <w:vAlign w:val="center"/>
          </w:tcPr>
          <w:p w14:paraId="27E5F3BA">
            <w:pPr>
              <w:jc w:val="center"/>
              <w:rPr>
                <w:rFonts w:ascii="宋体" w:hAnsi="宋体"/>
                <w:color w:val="auto"/>
                <w:szCs w:val="21"/>
                <w:highlight w:val="none"/>
              </w:rPr>
            </w:pPr>
          </w:p>
        </w:tc>
        <w:tc>
          <w:tcPr>
            <w:tcW w:w="1276" w:type="dxa"/>
            <w:gridSpan w:val="2"/>
            <w:noWrap w:val="0"/>
            <w:vAlign w:val="center"/>
          </w:tcPr>
          <w:p w14:paraId="15E7209D">
            <w:pPr>
              <w:jc w:val="center"/>
              <w:rPr>
                <w:rFonts w:ascii="宋体" w:hAnsi="宋体"/>
                <w:color w:val="auto"/>
                <w:szCs w:val="21"/>
                <w:highlight w:val="none"/>
              </w:rPr>
            </w:pPr>
            <w:r>
              <w:rPr>
                <w:rFonts w:ascii="宋体" w:hAnsi="宋体"/>
                <w:color w:val="auto"/>
                <w:szCs w:val="21"/>
                <w:highlight w:val="none"/>
              </w:rPr>
              <w:t>技术职称</w:t>
            </w:r>
          </w:p>
        </w:tc>
        <w:tc>
          <w:tcPr>
            <w:tcW w:w="1701" w:type="dxa"/>
            <w:gridSpan w:val="3"/>
            <w:noWrap w:val="0"/>
            <w:vAlign w:val="center"/>
          </w:tcPr>
          <w:p w14:paraId="6D17B6DC">
            <w:pPr>
              <w:jc w:val="center"/>
              <w:rPr>
                <w:rFonts w:ascii="宋体" w:hAnsi="宋体"/>
                <w:color w:val="auto"/>
                <w:szCs w:val="21"/>
                <w:highlight w:val="none"/>
              </w:rPr>
            </w:pPr>
          </w:p>
        </w:tc>
        <w:tc>
          <w:tcPr>
            <w:tcW w:w="709" w:type="dxa"/>
            <w:noWrap w:val="0"/>
            <w:vAlign w:val="center"/>
          </w:tcPr>
          <w:p w14:paraId="17BB513C">
            <w:pPr>
              <w:jc w:val="center"/>
              <w:rPr>
                <w:rFonts w:ascii="宋体" w:hAnsi="宋体"/>
                <w:color w:val="auto"/>
                <w:szCs w:val="21"/>
                <w:highlight w:val="none"/>
              </w:rPr>
            </w:pPr>
            <w:r>
              <w:rPr>
                <w:rFonts w:ascii="宋体" w:hAnsi="宋体"/>
                <w:color w:val="auto"/>
                <w:szCs w:val="21"/>
                <w:highlight w:val="none"/>
              </w:rPr>
              <w:t>电话</w:t>
            </w:r>
          </w:p>
        </w:tc>
        <w:tc>
          <w:tcPr>
            <w:tcW w:w="1737" w:type="dxa"/>
            <w:noWrap w:val="0"/>
            <w:vAlign w:val="center"/>
          </w:tcPr>
          <w:p w14:paraId="245AF038">
            <w:pPr>
              <w:jc w:val="center"/>
              <w:rPr>
                <w:rFonts w:ascii="宋体" w:hAnsi="宋体"/>
                <w:color w:val="auto"/>
                <w:szCs w:val="21"/>
                <w:highlight w:val="none"/>
              </w:rPr>
            </w:pPr>
          </w:p>
        </w:tc>
      </w:tr>
      <w:tr w14:paraId="0A38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28D1897">
            <w:pPr>
              <w:jc w:val="center"/>
              <w:rPr>
                <w:rFonts w:ascii="宋体" w:hAnsi="宋体"/>
                <w:color w:val="auto"/>
                <w:szCs w:val="21"/>
                <w:highlight w:val="none"/>
              </w:rPr>
            </w:pPr>
            <w:r>
              <w:rPr>
                <w:rFonts w:ascii="宋体" w:hAnsi="宋体"/>
                <w:color w:val="auto"/>
                <w:szCs w:val="21"/>
                <w:highlight w:val="none"/>
              </w:rPr>
              <w:t>成立时间</w:t>
            </w:r>
          </w:p>
        </w:tc>
        <w:tc>
          <w:tcPr>
            <w:tcW w:w="1918" w:type="dxa"/>
            <w:gridSpan w:val="2"/>
            <w:noWrap w:val="0"/>
            <w:vAlign w:val="center"/>
          </w:tcPr>
          <w:p w14:paraId="70D0A04B">
            <w:pPr>
              <w:jc w:val="center"/>
              <w:rPr>
                <w:rFonts w:ascii="宋体" w:hAnsi="宋体"/>
                <w:color w:val="auto"/>
                <w:szCs w:val="21"/>
                <w:highlight w:val="none"/>
              </w:rPr>
            </w:pPr>
          </w:p>
        </w:tc>
        <w:tc>
          <w:tcPr>
            <w:tcW w:w="5423" w:type="dxa"/>
            <w:gridSpan w:val="7"/>
            <w:noWrap w:val="0"/>
            <w:vAlign w:val="center"/>
          </w:tcPr>
          <w:p w14:paraId="0CAD84C7">
            <w:pPr>
              <w:jc w:val="center"/>
              <w:rPr>
                <w:rFonts w:ascii="宋体" w:hAnsi="宋体"/>
                <w:color w:val="auto"/>
                <w:szCs w:val="21"/>
                <w:highlight w:val="none"/>
              </w:rPr>
            </w:pPr>
            <w:r>
              <w:rPr>
                <w:rFonts w:ascii="宋体" w:hAnsi="宋体"/>
                <w:color w:val="auto"/>
                <w:szCs w:val="21"/>
                <w:highlight w:val="none"/>
              </w:rPr>
              <w:t>员工总人数：</w:t>
            </w:r>
          </w:p>
        </w:tc>
      </w:tr>
      <w:tr w14:paraId="2A59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978216B">
            <w:pPr>
              <w:jc w:val="center"/>
              <w:rPr>
                <w:rFonts w:ascii="宋体" w:hAnsi="宋体"/>
                <w:color w:val="auto"/>
                <w:szCs w:val="21"/>
                <w:highlight w:val="none"/>
              </w:rPr>
            </w:pPr>
            <w:r>
              <w:rPr>
                <w:rFonts w:ascii="宋体" w:hAnsi="宋体"/>
                <w:color w:val="auto"/>
                <w:szCs w:val="21"/>
                <w:highlight w:val="none"/>
              </w:rPr>
              <w:t>企业资质等级</w:t>
            </w:r>
          </w:p>
        </w:tc>
        <w:tc>
          <w:tcPr>
            <w:tcW w:w="897" w:type="dxa"/>
            <w:noWrap w:val="0"/>
            <w:vAlign w:val="center"/>
          </w:tcPr>
          <w:p w14:paraId="2A48556B">
            <w:pPr>
              <w:jc w:val="center"/>
              <w:rPr>
                <w:rFonts w:ascii="宋体" w:hAnsi="宋体"/>
                <w:color w:val="auto"/>
                <w:szCs w:val="21"/>
                <w:highlight w:val="none"/>
              </w:rPr>
            </w:pPr>
          </w:p>
        </w:tc>
        <w:tc>
          <w:tcPr>
            <w:tcW w:w="1021" w:type="dxa"/>
            <w:noWrap w:val="0"/>
            <w:vAlign w:val="center"/>
          </w:tcPr>
          <w:p w14:paraId="10FB9C92">
            <w:pPr>
              <w:jc w:val="center"/>
              <w:rPr>
                <w:rFonts w:ascii="宋体" w:hAnsi="宋体"/>
                <w:color w:val="auto"/>
                <w:szCs w:val="21"/>
                <w:highlight w:val="none"/>
              </w:rPr>
            </w:pPr>
          </w:p>
        </w:tc>
        <w:tc>
          <w:tcPr>
            <w:tcW w:w="993" w:type="dxa"/>
            <w:vMerge w:val="restart"/>
            <w:noWrap w:val="0"/>
            <w:vAlign w:val="center"/>
          </w:tcPr>
          <w:p w14:paraId="25A6CE16">
            <w:pPr>
              <w:jc w:val="center"/>
              <w:rPr>
                <w:rFonts w:ascii="宋体" w:hAnsi="宋体"/>
                <w:color w:val="auto"/>
                <w:szCs w:val="21"/>
                <w:highlight w:val="none"/>
              </w:rPr>
            </w:pPr>
            <w:r>
              <w:rPr>
                <w:rFonts w:ascii="宋体" w:hAnsi="宋体"/>
                <w:color w:val="auto"/>
                <w:szCs w:val="21"/>
                <w:highlight w:val="none"/>
              </w:rPr>
              <w:t>其中</w:t>
            </w:r>
          </w:p>
        </w:tc>
        <w:tc>
          <w:tcPr>
            <w:tcW w:w="1984" w:type="dxa"/>
            <w:gridSpan w:val="4"/>
            <w:noWrap w:val="0"/>
            <w:vAlign w:val="center"/>
          </w:tcPr>
          <w:p w14:paraId="4E2363DA">
            <w:pPr>
              <w:jc w:val="center"/>
              <w:rPr>
                <w:rFonts w:ascii="宋体" w:hAnsi="宋体"/>
                <w:color w:val="auto"/>
                <w:szCs w:val="21"/>
                <w:highlight w:val="none"/>
              </w:rPr>
            </w:pPr>
            <w:r>
              <w:rPr>
                <w:rFonts w:ascii="宋体" w:hAnsi="宋体"/>
                <w:color w:val="auto"/>
                <w:szCs w:val="21"/>
                <w:highlight w:val="none"/>
              </w:rPr>
              <w:t>项目经理</w:t>
            </w:r>
          </w:p>
        </w:tc>
        <w:tc>
          <w:tcPr>
            <w:tcW w:w="2446" w:type="dxa"/>
            <w:gridSpan w:val="2"/>
            <w:noWrap w:val="0"/>
            <w:vAlign w:val="center"/>
          </w:tcPr>
          <w:p w14:paraId="28FACF5B">
            <w:pPr>
              <w:jc w:val="center"/>
              <w:rPr>
                <w:rFonts w:ascii="宋体" w:hAnsi="宋体"/>
                <w:color w:val="auto"/>
                <w:szCs w:val="21"/>
                <w:highlight w:val="none"/>
              </w:rPr>
            </w:pPr>
          </w:p>
        </w:tc>
      </w:tr>
      <w:tr w14:paraId="0F73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6DE2DE5">
            <w:pPr>
              <w:jc w:val="center"/>
              <w:rPr>
                <w:rFonts w:ascii="宋体" w:hAnsi="宋体"/>
                <w:color w:val="auto"/>
                <w:szCs w:val="21"/>
                <w:highlight w:val="none"/>
              </w:rPr>
            </w:pPr>
            <w:r>
              <w:rPr>
                <w:rFonts w:ascii="宋体" w:hAnsi="宋体"/>
                <w:color w:val="auto"/>
                <w:szCs w:val="21"/>
                <w:highlight w:val="none"/>
              </w:rPr>
              <w:t>营业执照号</w:t>
            </w:r>
          </w:p>
        </w:tc>
        <w:tc>
          <w:tcPr>
            <w:tcW w:w="897" w:type="dxa"/>
            <w:noWrap w:val="0"/>
            <w:vAlign w:val="center"/>
          </w:tcPr>
          <w:p w14:paraId="5F9569C2">
            <w:pPr>
              <w:jc w:val="center"/>
              <w:rPr>
                <w:rFonts w:ascii="宋体" w:hAnsi="宋体"/>
                <w:color w:val="auto"/>
                <w:szCs w:val="21"/>
                <w:highlight w:val="none"/>
              </w:rPr>
            </w:pPr>
          </w:p>
        </w:tc>
        <w:tc>
          <w:tcPr>
            <w:tcW w:w="1021" w:type="dxa"/>
            <w:noWrap w:val="0"/>
            <w:vAlign w:val="center"/>
          </w:tcPr>
          <w:p w14:paraId="0E4BB461">
            <w:pPr>
              <w:jc w:val="center"/>
              <w:rPr>
                <w:rFonts w:ascii="宋体" w:hAnsi="宋体"/>
                <w:color w:val="auto"/>
                <w:szCs w:val="21"/>
                <w:highlight w:val="none"/>
              </w:rPr>
            </w:pPr>
          </w:p>
        </w:tc>
        <w:tc>
          <w:tcPr>
            <w:tcW w:w="993" w:type="dxa"/>
            <w:vMerge w:val="continue"/>
            <w:noWrap w:val="0"/>
            <w:vAlign w:val="center"/>
          </w:tcPr>
          <w:p w14:paraId="1009357F">
            <w:pPr>
              <w:jc w:val="center"/>
              <w:rPr>
                <w:rFonts w:ascii="宋体" w:hAnsi="宋体"/>
                <w:color w:val="auto"/>
                <w:szCs w:val="21"/>
                <w:highlight w:val="none"/>
              </w:rPr>
            </w:pPr>
          </w:p>
        </w:tc>
        <w:tc>
          <w:tcPr>
            <w:tcW w:w="1984" w:type="dxa"/>
            <w:gridSpan w:val="4"/>
            <w:noWrap w:val="0"/>
            <w:vAlign w:val="center"/>
          </w:tcPr>
          <w:p w14:paraId="5553201D">
            <w:pPr>
              <w:jc w:val="center"/>
              <w:rPr>
                <w:rFonts w:ascii="宋体" w:hAnsi="宋体"/>
                <w:color w:val="auto"/>
                <w:szCs w:val="21"/>
                <w:highlight w:val="none"/>
              </w:rPr>
            </w:pPr>
            <w:r>
              <w:rPr>
                <w:rFonts w:ascii="宋体" w:hAnsi="宋体"/>
                <w:color w:val="auto"/>
                <w:szCs w:val="21"/>
                <w:highlight w:val="none"/>
              </w:rPr>
              <w:t>高级职称人员</w:t>
            </w:r>
          </w:p>
        </w:tc>
        <w:tc>
          <w:tcPr>
            <w:tcW w:w="2446" w:type="dxa"/>
            <w:gridSpan w:val="2"/>
            <w:noWrap w:val="0"/>
            <w:vAlign w:val="center"/>
          </w:tcPr>
          <w:p w14:paraId="28D4FAF3">
            <w:pPr>
              <w:jc w:val="center"/>
              <w:rPr>
                <w:rFonts w:ascii="宋体" w:hAnsi="宋体"/>
                <w:color w:val="auto"/>
                <w:szCs w:val="21"/>
                <w:highlight w:val="none"/>
              </w:rPr>
            </w:pPr>
          </w:p>
        </w:tc>
      </w:tr>
      <w:tr w14:paraId="65C4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B9A7076">
            <w:pPr>
              <w:jc w:val="center"/>
              <w:rPr>
                <w:rFonts w:ascii="宋体" w:hAnsi="宋体"/>
                <w:color w:val="auto"/>
                <w:szCs w:val="21"/>
                <w:highlight w:val="none"/>
              </w:rPr>
            </w:pPr>
            <w:r>
              <w:rPr>
                <w:rFonts w:ascii="宋体" w:hAnsi="宋体"/>
                <w:color w:val="auto"/>
                <w:szCs w:val="21"/>
                <w:highlight w:val="none"/>
              </w:rPr>
              <w:t>注册资金</w:t>
            </w:r>
          </w:p>
        </w:tc>
        <w:tc>
          <w:tcPr>
            <w:tcW w:w="897" w:type="dxa"/>
            <w:noWrap w:val="0"/>
            <w:vAlign w:val="center"/>
          </w:tcPr>
          <w:p w14:paraId="27EF14FE">
            <w:pPr>
              <w:jc w:val="center"/>
              <w:rPr>
                <w:rFonts w:ascii="宋体" w:hAnsi="宋体"/>
                <w:color w:val="auto"/>
                <w:szCs w:val="21"/>
                <w:highlight w:val="none"/>
              </w:rPr>
            </w:pPr>
          </w:p>
        </w:tc>
        <w:tc>
          <w:tcPr>
            <w:tcW w:w="1021" w:type="dxa"/>
            <w:noWrap w:val="0"/>
            <w:vAlign w:val="center"/>
          </w:tcPr>
          <w:p w14:paraId="74A79321">
            <w:pPr>
              <w:jc w:val="center"/>
              <w:rPr>
                <w:rFonts w:ascii="宋体" w:hAnsi="宋体"/>
                <w:color w:val="auto"/>
                <w:szCs w:val="21"/>
                <w:highlight w:val="none"/>
              </w:rPr>
            </w:pPr>
          </w:p>
        </w:tc>
        <w:tc>
          <w:tcPr>
            <w:tcW w:w="993" w:type="dxa"/>
            <w:vMerge w:val="continue"/>
            <w:noWrap w:val="0"/>
            <w:vAlign w:val="center"/>
          </w:tcPr>
          <w:p w14:paraId="12C61BA8">
            <w:pPr>
              <w:jc w:val="center"/>
              <w:rPr>
                <w:rFonts w:ascii="宋体" w:hAnsi="宋体"/>
                <w:color w:val="auto"/>
                <w:szCs w:val="21"/>
                <w:highlight w:val="none"/>
              </w:rPr>
            </w:pPr>
          </w:p>
        </w:tc>
        <w:tc>
          <w:tcPr>
            <w:tcW w:w="1984" w:type="dxa"/>
            <w:gridSpan w:val="4"/>
            <w:noWrap w:val="0"/>
            <w:vAlign w:val="center"/>
          </w:tcPr>
          <w:p w14:paraId="6085B04A">
            <w:pPr>
              <w:jc w:val="center"/>
              <w:rPr>
                <w:rFonts w:ascii="宋体" w:hAnsi="宋体"/>
                <w:color w:val="auto"/>
                <w:szCs w:val="21"/>
                <w:highlight w:val="none"/>
              </w:rPr>
            </w:pPr>
            <w:r>
              <w:rPr>
                <w:rFonts w:ascii="宋体" w:hAnsi="宋体"/>
                <w:color w:val="auto"/>
                <w:szCs w:val="21"/>
                <w:highlight w:val="none"/>
              </w:rPr>
              <w:t>中级职称人员</w:t>
            </w:r>
          </w:p>
        </w:tc>
        <w:tc>
          <w:tcPr>
            <w:tcW w:w="2446" w:type="dxa"/>
            <w:gridSpan w:val="2"/>
            <w:noWrap w:val="0"/>
            <w:vAlign w:val="center"/>
          </w:tcPr>
          <w:p w14:paraId="16E03067">
            <w:pPr>
              <w:jc w:val="center"/>
              <w:rPr>
                <w:rFonts w:ascii="宋体" w:hAnsi="宋体"/>
                <w:color w:val="auto"/>
                <w:szCs w:val="21"/>
                <w:highlight w:val="none"/>
              </w:rPr>
            </w:pPr>
          </w:p>
        </w:tc>
      </w:tr>
      <w:tr w14:paraId="3072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589FE10">
            <w:pPr>
              <w:jc w:val="center"/>
              <w:rPr>
                <w:rFonts w:ascii="宋体" w:hAnsi="宋体"/>
                <w:color w:val="auto"/>
                <w:szCs w:val="21"/>
                <w:highlight w:val="none"/>
              </w:rPr>
            </w:pPr>
            <w:r>
              <w:rPr>
                <w:rFonts w:ascii="宋体" w:hAnsi="宋体"/>
                <w:color w:val="auto"/>
                <w:szCs w:val="21"/>
                <w:highlight w:val="none"/>
              </w:rPr>
              <w:t>开户银行</w:t>
            </w:r>
          </w:p>
        </w:tc>
        <w:tc>
          <w:tcPr>
            <w:tcW w:w="897" w:type="dxa"/>
            <w:noWrap w:val="0"/>
            <w:vAlign w:val="center"/>
          </w:tcPr>
          <w:p w14:paraId="59734448">
            <w:pPr>
              <w:jc w:val="center"/>
              <w:rPr>
                <w:rFonts w:ascii="宋体" w:hAnsi="宋体"/>
                <w:color w:val="auto"/>
                <w:szCs w:val="21"/>
                <w:highlight w:val="none"/>
              </w:rPr>
            </w:pPr>
          </w:p>
        </w:tc>
        <w:tc>
          <w:tcPr>
            <w:tcW w:w="1021" w:type="dxa"/>
            <w:noWrap w:val="0"/>
            <w:vAlign w:val="center"/>
          </w:tcPr>
          <w:p w14:paraId="3E4D73CC">
            <w:pPr>
              <w:jc w:val="center"/>
              <w:rPr>
                <w:rFonts w:ascii="宋体" w:hAnsi="宋体"/>
                <w:color w:val="auto"/>
                <w:szCs w:val="21"/>
                <w:highlight w:val="none"/>
              </w:rPr>
            </w:pPr>
          </w:p>
        </w:tc>
        <w:tc>
          <w:tcPr>
            <w:tcW w:w="993" w:type="dxa"/>
            <w:vMerge w:val="continue"/>
            <w:noWrap w:val="0"/>
            <w:vAlign w:val="center"/>
          </w:tcPr>
          <w:p w14:paraId="1A01526F">
            <w:pPr>
              <w:jc w:val="center"/>
              <w:rPr>
                <w:rFonts w:ascii="宋体" w:hAnsi="宋体"/>
                <w:color w:val="auto"/>
                <w:szCs w:val="21"/>
                <w:highlight w:val="none"/>
              </w:rPr>
            </w:pPr>
          </w:p>
        </w:tc>
        <w:tc>
          <w:tcPr>
            <w:tcW w:w="1984" w:type="dxa"/>
            <w:gridSpan w:val="4"/>
            <w:noWrap w:val="0"/>
            <w:vAlign w:val="center"/>
          </w:tcPr>
          <w:p w14:paraId="7A77CE27">
            <w:pPr>
              <w:jc w:val="center"/>
              <w:rPr>
                <w:rFonts w:ascii="宋体" w:hAnsi="宋体"/>
                <w:color w:val="auto"/>
                <w:szCs w:val="21"/>
                <w:highlight w:val="none"/>
              </w:rPr>
            </w:pPr>
            <w:r>
              <w:rPr>
                <w:rFonts w:ascii="宋体" w:hAnsi="宋体"/>
                <w:color w:val="auto"/>
                <w:szCs w:val="21"/>
                <w:highlight w:val="none"/>
              </w:rPr>
              <w:t>初级职称人员</w:t>
            </w:r>
          </w:p>
        </w:tc>
        <w:tc>
          <w:tcPr>
            <w:tcW w:w="2446" w:type="dxa"/>
            <w:gridSpan w:val="2"/>
            <w:noWrap w:val="0"/>
            <w:vAlign w:val="center"/>
          </w:tcPr>
          <w:p w14:paraId="39F59B18">
            <w:pPr>
              <w:jc w:val="center"/>
              <w:rPr>
                <w:rFonts w:ascii="宋体" w:hAnsi="宋体"/>
                <w:color w:val="auto"/>
                <w:szCs w:val="21"/>
                <w:highlight w:val="none"/>
              </w:rPr>
            </w:pPr>
          </w:p>
        </w:tc>
      </w:tr>
      <w:tr w14:paraId="1304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CA546CC">
            <w:pPr>
              <w:jc w:val="center"/>
              <w:rPr>
                <w:rFonts w:ascii="宋体" w:hAnsi="宋体"/>
                <w:color w:val="auto"/>
                <w:szCs w:val="21"/>
                <w:highlight w:val="none"/>
              </w:rPr>
            </w:pPr>
            <w:r>
              <w:rPr>
                <w:rFonts w:ascii="宋体" w:hAnsi="宋体"/>
                <w:color w:val="auto"/>
                <w:szCs w:val="21"/>
                <w:highlight w:val="none"/>
              </w:rPr>
              <w:t>账号</w:t>
            </w:r>
          </w:p>
        </w:tc>
        <w:tc>
          <w:tcPr>
            <w:tcW w:w="897" w:type="dxa"/>
            <w:noWrap w:val="0"/>
            <w:vAlign w:val="center"/>
          </w:tcPr>
          <w:p w14:paraId="5CA09581">
            <w:pPr>
              <w:jc w:val="center"/>
              <w:rPr>
                <w:rFonts w:ascii="宋体" w:hAnsi="宋体"/>
                <w:color w:val="auto"/>
                <w:szCs w:val="21"/>
                <w:highlight w:val="none"/>
              </w:rPr>
            </w:pPr>
          </w:p>
        </w:tc>
        <w:tc>
          <w:tcPr>
            <w:tcW w:w="1021" w:type="dxa"/>
            <w:noWrap w:val="0"/>
            <w:vAlign w:val="center"/>
          </w:tcPr>
          <w:p w14:paraId="731712FA">
            <w:pPr>
              <w:jc w:val="center"/>
              <w:rPr>
                <w:rFonts w:ascii="宋体" w:hAnsi="宋体"/>
                <w:color w:val="auto"/>
                <w:szCs w:val="21"/>
                <w:highlight w:val="none"/>
              </w:rPr>
            </w:pPr>
          </w:p>
        </w:tc>
        <w:tc>
          <w:tcPr>
            <w:tcW w:w="993" w:type="dxa"/>
            <w:vMerge w:val="continue"/>
            <w:noWrap w:val="0"/>
            <w:vAlign w:val="center"/>
          </w:tcPr>
          <w:p w14:paraId="631CF7DF">
            <w:pPr>
              <w:jc w:val="center"/>
              <w:rPr>
                <w:rFonts w:ascii="宋体" w:hAnsi="宋体"/>
                <w:color w:val="auto"/>
                <w:szCs w:val="21"/>
                <w:highlight w:val="none"/>
              </w:rPr>
            </w:pPr>
          </w:p>
        </w:tc>
        <w:tc>
          <w:tcPr>
            <w:tcW w:w="1984" w:type="dxa"/>
            <w:gridSpan w:val="4"/>
            <w:noWrap w:val="0"/>
            <w:vAlign w:val="center"/>
          </w:tcPr>
          <w:p w14:paraId="6942D32F">
            <w:pPr>
              <w:jc w:val="center"/>
              <w:rPr>
                <w:rFonts w:ascii="宋体" w:hAnsi="宋体"/>
                <w:color w:val="auto"/>
                <w:szCs w:val="21"/>
                <w:highlight w:val="none"/>
              </w:rPr>
            </w:pPr>
            <w:r>
              <w:rPr>
                <w:rFonts w:ascii="宋体" w:hAnsi="宋体"/>
                <w:color w:val="auto"/>
                <w:szCs w:val="21"/>
                <w:highlight w:val="none"/>
              </w:rPr>
              <w:t>技  工</w:t>
            </w:r>
          </w:p>
        </w:tc>
        <w:tc>
          <w:tcPr>
            <w:tcW w:w="2446" w:type="dxa"/>
            <w:gridSpan w:val="2"/>
            <w:noWrap w:val="0"/>
            <w:vAlign w:val="center"/>
          </w:tcPr>
          <w:p w14:paraId="128D95E8">
            <w:pPr>
              <w:jc w:val="center"/>
              <w:rPr>
                <w:rFonts w:ascii="宋体" w:hAnsi="宋体"/>
                <w:color w:val="auto"/>
                <w:szCs w:val="21"/>
                <w:highlight w:val="none"/>
              </w:rPr>
            </w:pPr>
          </w:p>
        </w:tc>
      </w:tr>
      <w:tr w14:paraId="0DC8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626" w:type="dxa"/>
            <w:noWrap w:val="0"/>
            <w:vAlign w:val="center"/>
          </w:tcPr>
          <w:p w14:paraId="0439D904">
            <w:pPr>
              <w:jc w:val="center"/>
              <w:rPr>
                <w:rFonts w:ascii="宋体" w:hAnsi="宋体"/>
                <w:color w:val="auto"/>
                <w:szCs w:val="21"/>
                <w:highlight w:val="none"/>
              </w:rPr>
            </w:pPr>
            <w:r>
              <w:rPr>
                <w:rFonts w:ascii="宋体" w:hAnsi="宋体"/>
                <w:color w:val="auto"/>
                <w:szCs w:val="21"/>
                <w:highlight w:val="none"/>
              </w:rPr>
              <w:t>经营范围</w:t>
            </w:r>
          </w:p>
        </w:tc>
        <w:tc>
          <w:tcPr>
            <w:tcW w:w="7341" w:type="dxa"/>
            <w:gridSpan w:val="9"/>
            <w:noWrap w:val="0"/>
            <w:vAlign w:val="center"/>
          </w:tcPr>
          <w:p w14:paraId="5D01C66A">
            <w:pPr>
              <w:jc w:val="center"/>
              <w:rPr>
                <w:rFonts w:ascii="宋体" w:hAnsi="宋体"/>
                <w:color w:val="auto"/>
                <w:szCs w:val="21"/>
                <w:highlight w:val="none"/>
              </w:rPr>
            </w:pPr>
          </w:p>
        </w:tc>
      </w:tr>
      <w:tr w14:paraId="5F74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AF29CA7">
            <w:pPr>
              <w:jc w:val="center"/>
              <w:rPr>
                <w:rFonts w:ascii="宋体" w:hAnsi="宋体"/>
                <w:color w:val="auto"/>
                <w:szCs w:val="21"/>
                <w:highlight w:val="none"/>
              </w:rPr>
            </w:pPr>
            <w:r>
              <w:rPr>
                <w:rFonts w:ascii="宋体" w:hAnsi="宋体"/>
                <w:color w:val="auto"/>
                <w:szCs w:val="21"/>
                <w:highlight w:val="none"/>
              </w:rPr>
              <w:t>备注</w:t>
            </w:r>
          </w:p>
        </w:tc>
        <w:tc>
          <w:tcPr>
            <w:tcW w:w="7341" w:type="dxa"/>
            <w:gridSpan w:val="9"/>
            <w:noWrap w:val="0"/>
            <w:vAlign w:val="center"/>
          </w:tcPr>
          <w:p w14:paraId="19B24F91">
            <w:pPr>
              <w:jc w:val="center"/>
              <w:rPr>
                <w:rFonts w:ascii="宋体" w:hAnsi="宋体"/>
                <w:color w:val="auto"/>
                <w:szCs w:val="21"/>
                <w:highlight w:val="none"/>
              </w:rPr>
            </w:pPr>
          </w:p>
        </w:tc>
      </w:tr>
    </w:tbl>
    <w:p w14:paraId="181CEBB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D18B178">
      <w:pPr>
        <w:pStyle w:val="37"/>
        <w:numPr>
          <w:ilvl w:val="0"/>
          <w:numId w:val="2"/>
        </w:numPr>
        <w:spacing w:before="165" w:beforeLines="50"/>
        <w:ind w:left="0" w:leftChars="0" w:firstLine="0" w:firstLineChars="0"/>
        <w:jc w:val="center"/>
        <w:rPr>
          <w:rFonts w:hint="eastAsia"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项目经理简历表</w:t>
      </w:r>
    </w:p>
    <w:p w14:paraId="3EAAA723">
      <w:pPr>
        <w:tabs>
          <w:tab w:val="left" w:pos="1305"/>
        </w:tabs>
        <w:spacing w:line="42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拟投入本工程项目经理简历表（</w:t>
      </w:r>
      <w:r>
        <w:rPr>
          <w:rFonts w:hint="eastAsia" w:ascii="宋体" w:hAnsi="宋体" w:cs="宋体"/>
          <w:b/>
          <w:bCs/>
          <w:color w:val="auto"/>
          <w:kern w:val="21"/>
          <w:sz w:val="24"/>
          <w:szCs w:val="24"/>
          <w:highlight w:val="none"/>
        </w:rPr>
        <w:t>并附</w:t>
      </w:r>
      <w:bookmarkStart w:id="8" w:name="OLE_LINK100"/>
      <w:bookmarkStart w:id="9" w:name="OLE_LINK101"/>
      <w:r>
        <w:rPr>
          <w:rFonts w:hint="eastAsia" w:ascii="宋体" w:hAnsi="宋体" w:cs="宋体"/>
          <w:b/>
          <w:bCs/>
          <w:color w:val="auto"/>
          <w:kern w:val="21"/>
          <w:sz w:val="24"/>
          <w:szCs w:val="24"/>
          <w:highlight w:val="none"/>
        </w:rPr>
        <w:t>有效的机电工程专业二级以上（含二级）注册建造师资格证书扫描件、有效的安全生产考核合格证（B类）扫描件以及项目经理无在建工程承诺书（格式自拟）</w:t>
      </w:r>
      <w:bookmarkEnd w:id="8"/>
      <w:bookmarkEnd w:id="9"/>
      <w:r>
        <w:rPr>
          <w:rFonts w:hint="eastAsia" w:ascii="宋体" w:hAnsi="宋体" w:cs="宋体"/>
          <w:b/>
          <w:color w:val="auto"/>
          <w:sz w:val="24"/>
          <w:szCs w:val="24"/>
          <w:highlight w:val="none"/>
        </w:rPr>
        <w:t>）</w:t>
      </w:r>
      <w:r>
        <w:rPr>
          <w:rFonts w:hint="eastAsia" w:ascii="宋体" w:hAnsi="宋体" w:cs="宋体"/>
          <w:b/>
          <w:bCs/>
          <w:color w:val="auto"/>
          <w:kern w:val="21"/>
          <w:sz w:val="24"/>
          <w:szCs w:val="24"/>
          <w:highlight w:val="none"/>
        </w:rPr>
        <w:t>。</w:t>
      </w:r>
    </w:p>
    <w:tbl>
      <w:tblPr>
        <w:tblStyle w:val="21"/>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78"/>
        <w:gridCol w:w="922"/>
        <w:gridCol w:w="1417"/>
        <w:gridCol w:w="242"/>
        <w:gridCol w:w="1176"/>
        <w:gridCol w:w="32"/>
        <w:gridCol w:w="1223"/>
        <w:gridCol w:w="1416"/>
      </w:tblGrid>
      <w:tr w14:paraId="0AE1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3" w:type="dxa"/>
            <w:noWrap w:val="0"/>
            <w:vAlign w:val="center"/>
          </w:tcPr>
          <w:p w14:paraId="4832A8C7">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姓名</w:t>
            </w:r>
          </w:p>
        </w:tc>
        <w:tc>
          <w:tcPr>
            <w:tcW w:w="2000" w:type="dxa"/>
            <w:gridSpan w:val="2"/>
            <w:noWrap w:val="0"/>
            <w:vAlign w:val="center"/>
          </w:tcPr>
          <w:p w14:paraId="1C7185E4">
            <w:pPr>
              <w:pStyle w:val="37"/>
              <w:jc w:val="center"/>
              <w:rPr>
                <w:rFonts w:ascii="Times New Roman" w:hAnsi="Times New Roman"/>
                <w:color w:val="auto"/>
                <w:szCs w:val="21"/>
                <w:highlight w:val="none"/>
              </w:rPr>
            </w:pPr>
          </w:p>
        </w:tc>
        <w:tc>
          <w:tcPr>
            <w:tcW w:w="1659" w:type="dxa"/>
            <w:gridSpan w:val="2"/>
            <w:noWrap w:val="0"/>
            <w:vAlign w:val="center"/>
          </w:tcPr>
          <w:p w14:paraId="4E5619C0">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性别</w:t>
            </w:r>
          </w:p>
        </w:tc>
        <w:tc>
          <w:tcPr>
            <w:tcW w:w="1208" w:type="dxa"/>
            <w:gridSpan w:val="2"/>
            <w:noWrap w:val="0"/>
            <w:vAlign w:val="center"/>
          </w:tcPr>
          <w:p w14:paraId="7EA0BC6A">
            <w:pPr>
              <w:pStyle w:val="37"/>
              <w:jc w:val="center"/>
              <w:rPr>
                <w:rFonts w:ascii="Times New Roman" w:hAnsi="Times New Roman"/>
                <w:color w:val="auto"/>
                <w:szCs w:val="21"/>
                <w:highlight w:val="none"/>
              </w:rPr>
            </w:pPr>
          </w:p>
        </w:tc>
        <w:tc>
          <w:tcPr>
            <w:tcW w:w="1223" w:type="dxa"/>
            <w:noWrap w:val="0"/>
            <w:vAlign w:val="center"/>
          </w:tcPr>
          <w:p w14:paraId="5B8596F6">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年龄</w:t>
            </w:r>
          </w:p>
        </w:tc>
        <w:tc>
          <w:tcPr>
            <w:tcW w:w="1416" w:type="dxa"/>
            <w:noWrap w:val="0"/>
            <w:vAlign w:val="center"/>
          </w:tcPr>
          <w:p w14:paraId="06AA58D6">
            <w:pPr>
              <w:pStyle w:val="37"/>
              <w:jc w:val="center"/>
              <w:rPr>
                <w:rFonts w:ascii="Times New Roman" w:hAnsi="Times New Roman"/>
                <w:color w:val="auto"/>
                <w:szCs w:val="21"/>
                <w:highlight w:val="none"/>
              </w:rPr>
            </w:pPr>
          </w:p>
        </w:tc>
      </w:tr>
      <w:tr w14:paraId="1463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3" w:type="dxa"/>
            <w:noWrap w:val="0"/>
            <w:vAlign w:val="center"/>
          </w:tcPr>
          <w:p w14:paraId="0019D357">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岗位</w:t>
            </w:r>
          </w:p>
        </w:tc>
        <w:tc>
          <w:tcPr>
            <w:tcW w:w="2000" w:type="dxa"/>
            <w:gridSpan w:val="2"/>
            <w:noWrap w:val="0"/>
            <w:vAlign w:val="center"/>
          </w:tcPr>
          <w:p w14:paraId="5AFCB4AC">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项目经理</w:t>
            </w:r>
          </w:p>
        </w:tc>
        <w:tc>
          <w:tcPr>
            <w:tcW w:w="1659" w:type="dxa"/>
            <w:gridSpan w:val="2"/>
            <w:noWrap w:val="0"/>
            <w:vAlign w:val="center"/>
          </w:tcPr>
          <w:p w14:paraId="227E30D7">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职称</w:t>
            </w:r>
          </w:p>
        </w:tc>
        <w:tc>
          <w:tcPr>
            <w:tcW w:w="1208" w:type="dxa"/>
            <w:gridSpan w:val="2"/>
            <w:noWrap w:val="0"/>
            <w:vAlign w:val="center"/>
          </w:tcPr>
          <w:p w14:paraId="62CED1F6">
            <w:pPr>
              <w:pStyle w:val="37"/>
              <w:jc w:val="center"/>
              <w:rPr>
                <w:rFonts w:ascii="Times New Roman" w:hAnsi="Times New Roman"/>
                <w:color w:val="auto"/>
                <w:szCs w:val="21"/>
                <w:highlight w:val="none"/>
              </w:rPr>
            </w:pPr>
          </w:p>
        </w:tc>
        <w:tc>
          <w:tcPr>
            <w:tcW w:w="1223" w:type="dxa"/>
            <w:noWrap w:val="0"/>
            <w:vAlign w:val="center"/>
          </w:tcPr>
          <w:p w14:paraId="7091E8D0">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学历</w:t>
            </w:r>
          </w:p>
        </w:tc>
        <w:tc>
          <w:tcPr>
            <w:tcW w:w="1416" w:type="dxa"/>
            <w:noWrap w:val="0"/>
            <w:vAlign w:val="center"/>
          </w:tcPr>
          <w:p w14:paraId="7FBC8517">
            <w:pPr>
              <w:pStyle w:val="37"/>
              <w:jc w:val="center"/>
              <w:rPr>
                <w:rFonts w:ascii="Times New Roman" w:hAnsi="Times New Roman"/>
                <w:color w:val="auto"/>
                <w:szCs w:val="21"/>
                <w:highlight w:val="none"/>
              </w:rPr>
            </w:pPr>
          </w:p>
        </w:tc>
      </w:tr>
      <w:tr w14:paraId="523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53" w:type="dxa"/>
            <w:noWrap w:val="0"/>
            <w:vAlign w:val="center"/>
          </w:tcPr>
          <w:p w14:paraId="52EFAD14">
            <w:pPr>
              <w:pStyle w:val="3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从业开始时间</w:t>
            </w:r>
          </w:p>
        </w:tc>
        <w:tc>
          <w:tcPr>
            <w:tcW w:w="2000" w:type="dxa"/>
            <w:gridSpan w:val="2"/>
            <w:noWrap w:val="0"/>
            <w:vAlign w:val="center"/>
          </w:tcPr>
          <w:p w14:paraId="7E0CC366">
            <w:pPr>
              <w:pStyle w:val="37"/>
              <w:jc w:val="center"/>
              <w:rPr>
                <w:rFonts w:ascii="Times New Roman" w:hAnsi="Times New Roman"/>
                <w:color w:val="auto"/>
                <w:szCs w:val="21"/>
                <w:highlight w:val="none"/>
              </w:rPr>
            </w:pPr>
          </w:p>
        </w:tc>
        <w:tc>
          <w:tcPr>
            <w:tcW w:w="1659" w:type="dxa"/>
            <w:gridSpan w:val="2"/>
            <w:noWrap w:val="0"/>
            <w:vAlign w:val="center"/>
          </w:tcPr>
          <w:p w14:paraId="1D9A91B3">
            <w:pPr>
              <w:pStyle w:val="3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职称</w:t>
            </w:r>
            <w:r>
              <w:rPr>
                <w:rFonts w:ascii="Times New Roman" w:hAnsi="Times New Roman" w:cs="宋体"/>
                <w:color w:val="auto"/>
                <w:szCs w:val="21"/>
                <w:highlight w:val="none"/>
              </w:rPr>
              <w:t>获</w:t>
            </w:r>
            <w:r>
              <w:rPr>
                <w:rFonts w:hint="eastAsia" w:ascii="Times New Roman" w:hAnsi="Times New Roman" w:cs="宋体"/>
                <w:color w:val="auto"/>
                <w:szCs w:val="21"/>
                <w:highlight w:val="none"/>
              </w:rPr>
              <w:t>得</w:t>
            </w:r>
            <w:r>
              <w:rPr>
                <w:rFonts w:ascii="Times New Roman" w:hAnsi="Times New Roman" w:cs="宋体"/>
                <w:color w:val="auto"/>
                <w:szCs w:val="21"/>
                <w:highlight w:val="none"/>
              </w:rPr>
              <w:t>时间</w:t>
            </w:r>
          </w:p>
        </w:tc>
        <w:tc>
          <w:tcPr>
            <w:tcW w:w="1208" w:type="dxa"/>
            <w:gridSpan w:val="2"/>
            <w:noWrap w:val="0"/>
            <w:vAlign w:val="center"/>
          </w:tcPr>
          <w:p w14:paraId="31F4B110">
            <w:pPr>
              <w:pStyle w:val="37"/>
              <w:jc w:val="center"/>
              <w:rPr>
                <w:rFonts w:ascii="Times New Roman" w:hAnsi="Times New Roman"/>
                <w:color w:val="auto"/>
                <w:szCs w:val="21"/>
                <w:highlight w:val="none"/>
              </w:rPr>
            </w:pPr>
          </w:p>
        </w:tc>
        <w:tc>
          <w:tcPr>
            <w:tcW w:w="1223" w:type="dxa"/>
            <w:noWrap w:val="0"/>
            <w:vAlign w:val="center"/>
          </w:tcPr>
          <w:p w14:paraId="59B4B041">
            <w:pPr>
              <w:pStyle w:val="37"/>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毕业时间</w:t>
            </w:r>
          </w:p>
        </w:tc>
        <w:tc>
          <w:tcPr>
            <w:tcW w:w="1416" w:type="dxa"/>
            <w:noWrap w:val="0"/>
            <w:vAlign w:val="center"/>
          </w:tcPr>
          <w:p w14:paraId="2334A2D0">
            <w:pPr>
              <w:pStyle w:val="37"/>
              <w:jc w:val="center"/>
              <w:rPr>
                <w:rFonts w:ascii="Times New Roman" w:hAnsi="Times New Roman"/>
                <w:color w:val="auto"/>
                <w:szCs w:val="21"/>
                <w:highlight w:val="none"/>
              </w:rPr>
            </w:pPr>
          </w:p>
        </w:tc>
      </w:tr>
      <w:tr w14:paraId="5A57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53" w:type="dxa"/>
            <w:gridSpan w:val="3"/>
            <w:noWrap w:val="0"/>
            <w:vAlign w:val="center"/>
          </w:tcPr>
          <w:p w14:paraId="7F7F9E1E">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担任项目经理年限</w:t>
            </w:r>
          </w:p>
        </w:tc>
        <w:tc>
          <w:tcPr>
            <w:tcW w:w="5506" w:type="dxa"/>
            <w:gridSpan w:val="6"/>
            <w:noWrap w:val="0"/>
            <w:vAlign w:val="center"/>
          </w:tcPr>
          <w:p w14:paraId="02BD0136">
            <w:pPr>
              <w:pStyle w:val="37"/>
              <w:jc w:val="center"/>
              <w:rPr>
                <w:rFonts w:ascii="Times New Roman" w:hAnsi="Times New Roman"/>
                <w:color w:val="auto"/>
                <w:szCs w:val="21"/>
                <w:highlight w:val="none"/>
              </w:rPr>
            </w:pPr>
          </w:p>
        </w:tc>
      </w:tr>
      <w:tr w14:paraId="348E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3" w:type="dxa"/>
            <w:noWrap w:val="0"/>
            <w:vAlign w:val="center"/>
          </w:tcPr>
          <w:p w14:paraId="7580D3EC">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证书名称</w:t>
            </w:r>
          </w:p>
        </w:tc>
        <w:tc>
          <w:tcPr>
            <w:tcW w:w="1078" w:type="dxa"/>
            <w:noWrap w:val="0"/>
            <w:vAlign w:val="center"/>
          </w:tcPr>
          <w:p w14:paraId="77149D28">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注册专业</w:t>
            </w:r>
          </w:p>
        </w:tc>
        <w:tc>
          <w:tcPr>
            <w:tcW w:w="922" w:type="dxa"/>
            <w:noWrap w:val="0"/>
            <w:vAlign w:val="center"/>
          </w:tcPr>
          <w:p w14:paraId="2895CEE8">
            <w:pPr>
              <w:pStyle w:val="37"/>
              <w:jc w:val="center"/>
              <w:rPr>
                <w:rFonts w:ascii="Times New Roman" w:hAnsi="Times New Roman"/>
                <w:color w:val="auto"/>
                <w:szCs w:val="21"/>
                <w:highlight w:val="none"/>
              </w:rPr>
            </w:pPr>
            <w:r>
              <w:rPr>
                <w:rFonts w:ascii="Times New Roman" w:hAnsi="Times New Roman"/>
                <w:color w:val="auto"/>
                <w:szCs w:val="21"/>
                <w:highlight w:val="none"/>
              </w:rPr>
              <w:t>级别</w:t>
            </w:r>
          </w:p>
        </w:tc>
        <w:tc>
          <w:tcPr>
            <w:tcW w:w="1417" w:type="dxa"/>
            <w:noWrap w:val="0"/>
            <w:vAlign w:val="center"/>
          </w:tcPr>
          <w:p w14:paraId="678308D9">
            <w:pPr>
              <w:pStyle w:val="37"/>
              <w:jc w:val="center"/>
              <w:rPr>
                <w:rFonts w:ascii="Times New Roman" w:hAnsi="Times New Roman"/>
                <w:color w:val="auto"/>
                <w:szCs w:val="21"/>
                <w:highlight w:val="none"/>
              </w:rPr>
            </w:pPr>
            <w:r>
              <w:rPr>
                <w:rFonts w:hint="eastAsia" w:ascii="Times New Roman" w:hAnsi="Times New Roman" w:cs="宋体"/>
                <w:color w:val="auto"/>
                <w:szCs w:val="21"/>
                <w:highlight w:val="none"/>
              </w:rPr>
              <w:t>证书编号</w:t>
            </w:r>
          </w:p>
        </w:tc>
        <w:tc>
          <w:tcPr>
            <w:tcW w:w="1418" w:type="dxa"/>
            <w:gridSpan w:val="2"/>
            <w:noWrap w:val="0"/>
            <w:vAlign w:val="center"/>
          </w:tcPr>
          <w:p w14:paraId="18EDB35C">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注册时间</w:t>
            </w:r>
          </w:p>
        </w:tc>
        <w:tc>
          <w:tcPr>
            <w:tcW w:w="1255" w:type="dxa"/>
            <w:gridSpan w:val="2"/>
            <w:noWrap w:val="0"/>
            <w:vAlign w:val="center"/>
          </w:tcPr>
          <w:p w14:paraId="4A15A925">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注册单位</w:t>
            </w:r>
          </w:p>
        </w:tc>
        <w:tc>
          <w:tcPr>
            <w:tcW w:w="1416" w:type="dxa"/>
            <w:noWrap w:val="0"/>
            <w:vAlign w:val="center"/>
          </w:tcPr>
          <w:p w14:paraId="58A7BC02">
            <w:pPr>
              <w:pStyle w:val="37"/>
              <w:jc w:val="center"/>
              <w:rPr>
                <w:rFonts w:ascii="Times New Roman" w:hAnsi="Times New Roman"/>
                <w:color w:val="auto"/>
                <w:szCs w:val="21"/>
                <w:highlight w:val="none"/>
              </w:rPr>
            </w:pPr>
            <w:r>
              <w:rPr>
                <w:rFonts w:hint="eastAsia" w:ascii="Times New Roman" w:hAnsi="Times New Roman"/>
                <w:color w:val="auto"/>
                <w:szCs w:val="21"/>
                <w:highlight w:val="none"/>
              </w:rPr>
              <w:t>注册有效期</w:t>
            </w:r>
          </w:p>
        </w:tc>
      </w:tr>
      <w:tr w14:paraId="060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3" w:type="dxa"/>
            <w:noWrap w:val="0"/>
            <w:vAlign w:val="center"/>
          </w:tcPr>
          <w:p w14:paraId="16453257">
            <w:pPr>
              <w:pStyle w:val="37"/>
              <w:jc w:val="center"/>
              <w:rPr>
                <w:rFonts w:ascii="Times New Roman" w:hAnsi="Times New Roman"/>
                <w:color w:val="auto"/>
                <w:szCs w:val="21"/>
                <w:highlight w:val="none"/>
              </w:rPr>
            </w:pPr>
          </w:p>
        </w:tc>
        <w:tc>
          <w:tcPr>
            <w:tcW w:w="1078" w:type="dxa"/>
            <w:noWrap w:val="0"/>
            <w:vAlign w:val="center"/>
          </w:tcPr>
          <w:p w14:paraId="4157E84D">
            <w:pPr>
              <w:pStyle w:val="37"/>
              <w:jc w:val="center"/>
              <w:rPr>
                <w:rFonts w:ascii="Times New Roman" w:hAnsi="Times New Roman"/>
                <w:color w:val="auto"/>
                <w:szCs w:val="21"/>
                <w:highlight w:val="none"/>
              </w:rPr>
            </w:pPr>
          </w:p>
        </w:tc>
        <w:tc>
          <w:tcPr>
            <w:tcW w:w="922" w:type="dxa"/>
            <w:noWrap w:val="0"/>
            <w:vAlign w:val="center"/>
          </w:tcPr>
          <w:p w14:paraId="027B4ABD">
            <w:pPr>
              <w:pStyle w:val="37"/>
              <w:jc w:val="center"/>
              <w:rPr>
                <w:rFonts w:ascii="Times New Roman" w:hAnsi="Times New Roman" w:cs="宋体"/>
                <w:color w:val="auto"/>
                <w:szCs w:val="21"/>
                <w:highlight w:val="none"/>
              </w:rPr>
            </w:pPr>
          </w:p>
        </w:tc>
        <w:tc>
          <w:tcPr>
            <w:tcW w:w="1417" w:type="dxa"/>
            <w:noWrap w:val="0"/>
            <w:vAlign w:val="center"/>
          </w:tcPr>
          <w:p w14:paraId="1B884437">
            <w:pPr>
              <w:pStyle w:val="37"/>
              <w:jc w:val="center"/>
              <w:rPr>
                <w:rFonts w:ascii="Times New Roman" w:hAnsi="Times New Roman"/>
                <w:color w:val="auto"/>
                <w:szCs w:val="21"/>
                <w:highlight w:val="none"/>
              </w:rPr>
            </w:pPr>
          </w:p>
        </w:tc>
        <w:tc>
          <w:tcPr>
            <w:tcW w:w="1418" w:type="dxa"/>
            <w:gridSpan w:val="2"/>
            <w:noWrap w:val="0"/>
            <w:vAlign w:val="center"/>
          </w:tcPr>
          <w:p w14:paraId="078E169A">
            <w:pPr>
              <w:pStyle w:val="37"/>
              <w:jc w:val="center"/>
              <w:rPr>
                <w:rFonts w:ascii="Times New Roman" w:hAnsi="Times New Roman"/>
                <w:color w:val="auto"/>
                <w:szCs w:val="21"/>
                <w:highlight w:val="none"/>
              </w:rPr>
            </w:pPr>
          </w:p>
        </w:tc>
        <w:tc>
          <w:tcPr>
            <w:tcW w:w="1255" w:type="dxa"/>
            <w:gridSpan w:val="2"/>
            <w:noWrap w:val="0"/>
            <w:vAlign w:val="center"/>
          </w:tcPr>
          <w:p w14:paraId="43D49AA6">
            <w:pPr>
              <w:pStyle w:val="37"/>
              <w:jc w:val="center"/>
              <w:rPr>
                <w:rFonts w:ascii="Times New Roman" w:hAnsi="Times New Roman"/>
                <w:color w:val="auto"/>
                <w:szCs w:val="21"/>
                <w:highlight w:val="none"/>
              </w:rPr>
            </w:pPr>
          </w:p>
        </w:tc>
        <w:tc>
          <w:tcPr>
            <w:tcW w:w="1416" w:type="dxa"/>
            <w:noWrap w:val="0"/>
            <w:vAlign w:val="center"/>
          </w:tcPr>
          <w:p w14:paraId="3256874C">
            <w:pPr>
              <w:pStyle w:val="37"/>
              <w:jc w:val="center"/>
              <w:rPr>
                <w:rFonts w:ascii="Times New Roman" w:hAnsi="Times New Roman"/>
                <w:color w:val="auto"/>
                <w:szCs w:val="21"/>
                <w:highlight w:val="none"/>
              </w:rPr>
            </w:pPr>
          </w:p>
        </w:tc>
      </w:tr>
    </w:tbl>
    <w:p w14:paraId="4CE9077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6DE1583">
      <w:pPr>
        <w:pStyle w:val="4"/>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）报价汇总表</w:t>
      </w:r>
      <w:bookmarkEnd w:id="5"/>
      <w:bookmarkEnd w:id="6"/>
      <w:bookmarkEnd w:id="7"/>
    </w:p>
    <w:p w14:paraId="60EC0EF1">
      <w:pPr>
        <w:pStyle w:val="19"/>
        <w:ind w:firstLine="0"/>
        <w:rPr>
          <w:color w:val="auto"/>
          <w:highlight w:val="none"/>
        </w:rPr>
      </w:pPr>
    </w:p>
    <w:p w14:paraId="5B0610E9">
      <w:pPr>
        <w:pStyle w:val="31"/>
        <w:ind w:firstLine="0" w:firstLineChars="0"/>
        <w:rPr>
          <w:rFonts w:ascii="黑体" w:hAnsi="黑体" w:eastAsia="黑体" w:cs="黑体"/>
          <w:color w:val="auto"/>
          <w:highlight w:val="none"/>
        </w:rPr>
      </w:pPr>
    </w:p>
    <w:tbl>
      <w:tblPr>
        <w:tblStyle w:val="21"/>
        <w:tblW w:w="8879" w:type="dxa"/>
        <w:tblInd w:w="-31" w:type="dxa"/>
        <w:tblLayout w:type="fixed"/>
        <w:tblCellMar>
          <w:top w:w="0" w:type="dxa"/>
          <w:left w:w="108" w:type="dxa"/>
          <w:bottom w:w="0" w:type="dxa"/>
          <w:right w:w="108" w:type="dxa"/>
        </w:tblCellMar>
      </w:tblPr>
      <w:tblGrid>
        <w:gridCol w:w="505"/>
        <w:gridCol w:w="5797"/>
        <w:gridCol w:w="2577"/>
      </w:tblGrid>
      <w:tr w14:paraId="7601553F">
        <w:trPr>
          <w:trHeight w:val="450" w:hRule="atLeast"/>
        </w:trPr>
        <w:tc>
          <w:tcPr>
            <w:tcW w:w="8879" w:type="dxa"/>
            <w:gridSpan w:val="3"/>
            <w:tcBorders>
              <w:top w:val="nil"/>
              <w:left w:val="nil"/>
              <w:bottom w:val="nil"/>
              <w:right w:val="nil"/>
            </w:tcBorders>
          </w:tcPr>
          <w:p w14:paraId="12C3A0ED">
            <w:pPr>
              <w:rPr>
                <w:rFonts w:ascii="宋体" w:hAnsi="宋体" w:cs="宋体"/>
                <w:color w:val="auto"/>
                <w:kern w:val="0"/>
                <w:sz w:val="24"/>
                <w:highlight w:val="none"/>
              </w:rPr>
            </w:pPr>
            <w:r>
              <w:rPr>
                <w:rFonts w:hint="eastAsia" w:ascii="宋体" w:hAnsi="宋体" w:cs="宋体"/>
                <w:color w:val="auto"/>
                <w:kern w:val="0"/>
                <w:sz w:val="24"/>
                <w:highlight w:val="none"/>
              </w:rPr>
              <w:t>工程名称:</w:t>
            </w:r>
            <w:r>
              <w:rPr>
                <w:rFonts w:hint="eastAsia" w:ascii="宋体" w:hAnsi="宋体" w:cs="宋体"/>
                <w:color w:val="auto"/>
                <w:kern w:val="0"/>
                <w:sz w:val="24"/>
                <w:highlight w:val="none"/>
                <w:u w:val="single"/>
              </w:rPr>
              <w:t xml:space="preserve">                 项目备案编号：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币种：人民币</w:t>
            </w:r>
          </w:p>
        </w:tc>
      </w:tr>
      <w:tr w14:paraId="2655482A">
        <w:tblPrEx>
          <w:tblCellMar>
            <w:top w:w="0" w:type="dxa"/>
            <w:left w:w="108" w:type="dxa"/>
            <w:bottom w:w="0" w:type="dxa"/>
            <w:right w:w="108" w:type="dxa"/>
          </w:tblCellMar>
        </w:tblPrEx>
        <w:trPr>
          <w:trHeight w:val="469" w:hRule="atLeast"/>
        </w:trPr>
        <w:tc>
          <w:tcPr>
            <w:tcW w:w="505" w:type="dxa"/>
            <w:tcBorders>
              <w:top w:val="single" w:color="auto" w:sz="4" w:space="0"/>
              <w:left w:val="single" w:color="auto" w:sz="4" w:space="0"/>
              <w:bottom w:val="single" w:color="auto" w:sz="4" w:space="0"/>
              <w:right w:val="single" w:color="auto" w:sz="4" w:space="0"/>
            </w:tcBorders>
            <w:vAlign w:val="center"/>
          </w:tcPr>
          <w:p w14:paraId="2C30581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5797" w:type="dxa"/>
            <w:tcBorders>
              <w:top w:val="single" w:color="auto" w:sz="4" w:space="0"/>
              <w:left w:val="single" w:color="auto" w:sz="4" w:space="0"/>
              <w:bottom w:val="single" w:color="auto" w:sz="4" w:space="0"/>
              <w:right w:val="single" w:color="auto" w:sz="4" w:space="0"/>
            </w:tcBorders>
            <w:vAlign w:val="center"/>
          </w:tcPr>
          <w:p w14:paraId="55B003C1">
            <w:pPr>
              <w:spacing w:line="400" w:lineRule="exact"/>
              <w:rPr>
                <w:rFonts w:ascii="宋体" w:hAnsi="宋体" w:cs="宋体"/>
                <w:color w:val="auto"/>
                <w:sz w:val="24"/>
                <w:highlight w:val="none"/>
              </w:rPr>
            </w:pPr>
            <w:r>
              <w:rPr>
                <w:rFonts w:hint="eastAsia" w:ascii="宋体" w:hAnsi="宋体" w:cs="宋体"/>
                <w:color w:val="auto"/>
                <w:sz w:val="24"/>
                <w:highlight w:val="none"/>
              </w:rPr>
              <w:t>总报价：二＋三＋四＋五+六</w:t>
            </w:r>
          </w:p>
        </w:tc>
        <w:tc>
          <w:tcPr>
            <w:tcW w:w="2577" w:type="dxa"/>
            <w:tcBorders>
              <w:top w:val="single" w:color="auto" w:sz="8" w:space="0"/>
              <w:left w:val="single" w:color="auto" w:sz="4" w:space="0"/>
              <w:bottom w:val="single" w:color="auto" w:sz="4" w:space="0"/>
              <w:right w:val="single" w:color="auto" w:sz="8" w:space="0"/>
            </w:tcBorders>
            <w:vAlign w:val="center"/>
          </w:tcPr>
          <w:p w14:paraId="5C8CF30E">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0DB6CC4C">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30BE323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5797" w:type="dxa"/>
            <w:tcBorders>
              <w:top w:val="single" w:color="auto" w:sz="4" w:space="0"/>
              <w:left w:val="nil"/>
              <w:bottom w:val="single" w:color="auto" w:sz="4" w:space="0"/>
              <w:right w:val="single" w:color="auto" w:sz="4" w:space="0"/>
            </w:tcBorders>
            <w:vAlign w:val="center"/>
          </w:tcPr>
          <w:p w14:paraId="0B98982F">
            <w:pPr>
              <w:spacing w:line="400" w:lineRule="exact"/>
              <w:rPr>
                <w:rFonts w:ascii="宋体" w:hAnsi="宋体" w:cs="宋体"/>
                <w:color w:val="auto"/>
                <w:sz w:val="24"/>
                <w:highlight w:val="none"/>
              </w:rPr>
            </w:pPr>
            <w:r>
              <w:rPr>
                <w:rFonts w:hint="eastAsia" w:ascii="宋体" w:hAnsi="宋体" w:cs="宋体"/>
                <w:color w:val="auto"/>
                <w:sz w:val="24"/>
                <w:highlight w:val="none"/>
              </w:rPr>
              <w:t>报价：（不含安全文明施工费、规费、增值税、暂列金额）</w:t>
            </w:r>
          </w:p>
        </w:tc>
        <w:tc>
          <w:tcPr>
            <w:tcW w:w="2577" w:type="dxa"/>
            <w:tcBorders>
              <w:top w:val="nil"/>
              <w:left w:val="nil"/>
              <w:bottom w:val="single" w:color="auto" w:sz="4" w:space="0"/>
              <w:right w:val="single" w:color="auto" w:sz="8" w:space="0"/>
            </w:tcBorders>
            <w:vAlign w:val="center"/>
          </w:tcPr>
          <w:p w14:paraId="78130BC0">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61280857">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4" w:space="0"/>
              <w:bottom w:val="single" w:color="auto" w:sz="4" w:space="0"/>
              <w:right w:val="single" w:color="auto" w:sz="4" w:space="0"/>
            </w:tcBorders>
            <w:vAlign w:val="center"/>
          </w:tcPr>
          <w:p w14:paraId="38C849B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5797" w:type="dxa"/>
            <w:tcBorders>
              <w:top w:val="single" w:color="auto" w:sz="4" w:space="0"/>
              <w:left w:val="single" w:color="auto" w:sz="4" w:space="0"/>
              <w:bottom w:val="single" w:color="auto" w:sz="4" w:space="0"/>
              <w:right w:val="single" w:color="auto" w:sz="4" w:space="0"/>
            </w:tcBorders>
            <w:vAlign w:val="center"/>
          </w:tcPr>
          <w:p w14:paraId="76C0BD9B">
            <w:pPr>
              <w:spacing w:line="400" w:lineRule="exact"/>
              <w:rPr>
                <w:rFonts w:ascii="宋体" w:hAnsi="宋体" w:cs="宋体"/>
                <w:color w:val="auto"/>
                <w:sz w:val="24"/>
                <w:highlight w:val="none"/>
              </w:rPr>
            </w:pPr>
            <w:r>
              <w:rPr>
                <w:rFonts w:hint="eastAsia" w:ascii="宋体" w:hAnsi="宋体" w:cs="宋体"/>
                <w:color w:val="auto"/>
                <w:sz w:val="24"/>
                <w:highlight w:val="none"/>
              </w:rPr>
              <w:t>安全文明施工费</w:t>
            </w:r>
          </w:p>
        </w:tc>
        <w:tc>
          <w:tcPr>
            <w:tcW w:w="2577" w:type="dxa"/>
            <w:tcBorders>
              <w:top w:val="nil"/>
              <w:left w:val="nil"/>
              <w:bottom w:val="single" w:color="auto" w:sz="4" w:space="0"/>
              <w:right w:val="single" w:color="auto" w:sz="8" w:space="0"/>
            </w:tcBorders>
            <w:vAlign w:val="center"/>
          </w:tcPr>
          <w:p w14:paraId="5B36D220">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6E3EFE5B">
        <w:tblPrEx>
          <w:tblCellMar>
            <w:top w:w="0" w:type="dxa"/>
            <w:left w:w="108" w:type="dxa"/>
            <w:bottom w:w="0" w:type="dxa"/>
            <w:right w:w="108" w:type="dxa"/>
          </w:tblCellMar>
        </w:tblPrEx>
        <w:trPr>
          <w:trHeight w:val="459" w:hRule="atLeast"/>
        </w:trPr>
        <w:tc>
          <w:tcPr>
            <w:tcW w:w="505" w:type="dxa"/>
            <w:tcBorders>
              <w:top w:val="single" w:color="auto" w:sz="4" w:space="0"/>
              <w:left w:val="single" w:color="auto" w:sz="8" w:space="0"/>
              <w:bottom w:val="single" w:color="auto" w:sz="4" w:space="0"/>
              <w:right w:val="single" w:color="auto" w:sz="4" w:space="0"/>
            </w:tcBorders>
            <w:vAlign w:val="center"/>
          </w:tcPr>
          <w:p w14:paraId="57D4CEF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5797" w:type="dxa"/>
            <w:tcBorders>
              <w:top w:val="single" w:color="auto" w:sz="4" w:space="0"/>
              <w:left w:val="nil"/>
              <w:bottom w:val="single" w:color="auto" w:sz="4" w:space="0"/>
              <w:right w:val="single" w:color="auto" w:sz="4" w:space="0"/>
            </w:tcBorders>
            <w:vAlign w:val="center"/>
          </w:tcPr>
          <w:p w14:paraId="1A14C003">
            <w:pPr>
              <w:spacing w:line="400" w:lineRule="exact"/>
              <w:rPr>
                <w:rFonts w:ascii="宋体" w:hAnsi="宋体" w:cs="宋体"/>
                <w:color w:val="auto"/>
                <w:sz w:val="24"/>
                <w:highlight w:val="none"/>
              </w:rPr>
            </w:pPr>
            <w:r>
              <w:rPr>
                <w:rFonts w:hint="eastAsia" w:ascii="宋体" w:hAnsi="宋体" w:cs="宋体"/>
                <w:color w:val="auto"/>
                <w:sz w:val="24"/>
                <w:highlight w:val="none"/>
              </w:rPr>
              <w:t>规费</w:t>
            </w:r>
          </w:p>
        </w:tc>
        <w:tc>
          <w:tcPr>
            <w:tcW w:w="2577" w:type="dxa"/>
            <w:tcBorders>
              <w:top w:val="nil"/>
              <w:left w:val="nil"/>
              <w:bottom w:val="single" w:color="auto" w:sz="4" w:space="0"/>
              <w:right w:val="single" w:color="auto" w:sz="8" w:space="0"/>
            </w:tcBorders>
            <w:vAlign w:val="center"/>
          </w:tcPr>
          <w:p w14:paraId="2916E43F">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589AB600">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01B0CF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5797" w:type="dxa"/>
            <w:tcBorders>
              <w:top w:val="single" w:color="auto" w:sz="4" w:space="0"/>
              <w:left w:val="nil"/>
              <w:bottom w:val="single" w:color="auto" w:sz="4" w:space="0"/>
              <w:right w:val="single" w:color="auto" w:sz="4" w:space="0"/>
            </w:tcBorders>
            <w:vAlign w:val="center"/>
          </w:tcPr>
          <w:p w14:paraId="77064E4B">
            <w:pPr>
              <w:spacing w:line="400" w:lineRule="exact"/>
              <w:rPr>
                <w:rFonts w:ascii="宋体" w:hAnsi="宋体" w:cs="宋体"/>
                <w:color w:val="auto"/>
                <w:sz w:val="24"/>
                <w:highlight w:val="none"/>
              </w:rPr>
            </w:pPr>
            <w:r>
              <w:rPr>
                <w:rFonts w:hint="eastAsia" w:ascii="宋体" w:hAnsi="宋体" w:cs="宋体"/>
                <w:color w:val="auto"/>
                <w:sz w:val="24"/>
                <w:highlight w:val="none"/>
              </w:rPr>
              <w:t>增值税</w:t>
            </w:r>
          </w:p>
        </w:tc>
        <w:tc>
          <w:tcPr>
            <w:tcW w:w="2577" w:type="dxa"/>
            <w:tcBorders>
              <w:top w:val="nil"/>
              <w:left w:val="nil"/>
              <w:bottom w:val="single" w:color="auto" w:sz="4" w:space="0"/>
              <w:right w:val="single" w:color="auto" w:sz="8" w:space="0"/>
            </w:tcBorders>
            <w:vAlign w:val="center"/>
          </w:tcPr>
          <w:p w14:paraId="47F68D62">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0D3CDCDA">
        <w:tblPrEx>
          <w:tblCellMar>
            <w:top w:w="0" w:type="dxa"/>
            <w:left w:w="108" w:type="dxa"/>
            <w:bottom w:w="0" w:type="dxa"/>
            <w:right w:w="108" w:type="dxa"/>
          </w:tblCellMar>
        </w:tblPrEx>
        <w:trPr>
          <w:trHeight w:val="459" w:hRule="atLeast"/>
        </w:trPr>
        <w:tc>
          <w:tcPr>
            <w:tcW w:w="505" w:type="dxa"/>
            <w:tcBorders>
              <w:top w:val="nil"/>
              <w:left w:val="single" w:color="auto" w:sz="8" w:space="0"/>
              <w:bottom w:val="single" w:color="auto" w:sz="4" w:space="0"/>
              <w:right w:val="single" w:color="auto" w:sz="4" w:space="0"/>
            </w:tcBorders>
            <w:vAlign w:val="center"/>
          </w:tcPr>
          <w:p w14:paraId="424510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5797" w:type="dxa"/>
            <w:tcBorders>
              <w:top w:val="single" w:color="auto" w:sz="4" w:space="0"/>
              <w:left w:val="nil"/>
              <w:bottom w:val="single" w:color="auto" w:sz="4" w:space="0"/>
              <w:right w:val="single" w:color="auto" w:sz="4" w:space="0"/>
            </w:tcBorders>
            <w:vAlign w:val="center"/>
          </w:tcPr>
          <w:p w14:paraId="6E8AFABE">
            <w:pPr>
              <w:spacing w:line="400" w:lineRule="exact"/>
              <w:rPr>
                <w:rFonts w:ascii="宋体" w:hAnsi="宋体" w:cs="宋体"/>
                <w:color w:val="auto"/>
                <w:sz w:val="24"/>
                <w:highlight w:val="none"/>
              </w:rPr>
            </w:pPr>
            <w:r>
              <w:rPr>
                <w:rFonts w:hint="eastAsia" w:ascii="宋体" w:hAnsi="宋体" w:cs="宋体"/>
                <w:color w:val="auto"/>
                <w:sz w:val="24"/>
                <w:highlight w:val="none"/>
              </w:rPr>
              <w:t>暂列金额</w:t>
            </w:r>
          </w:p>
        </w:tc>
        <w:tc>
          <w:tcPr>
            <w:tcW w:w="2577" w:type="dxa"/>
            <w:tcBorders>
              <w:top w:val="nil"/>
              <w:left w:val="nil"/>
              <w:bottom w:val="single" w:color="auto" w:sz="4" w:space="0"/>
              <w:right w:val="single" w:color="auto" w:sz="8" w:space="0"/>
            </w:tcBorders>
            <w:vAlign w:val="center"/>
          </w:tcPr>
          <w:p w14:paraId="64C24E25">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xml:space="preserve">   （元）</w:t>
            </w:r>
          </w:p>
        </w:tc>
      </w:tr>
      <w:tr w14:paraId="0C917EE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72F150E3">
            <w:pPr>
              <w:spacing w:line="400" w:lineRule="exact"/>
              <w:rPr>
                <w:rFonts w:ascii="宋体" w:hAnsi="宋体" w:cs="宋体"/>
                <w:color w:val="auto"/>
                <w:sz w:val="24"/>
                <w:highlight w:val="none"/>
              </w:rPr>
            </w:pPr>
            <w:r>
              <w:rPr>
                <w:rFonts w:hint="eastAsia" w:ascii="宋体" w:hAnsi="宋体" w:cs="宋体"/>
                <w:color w:val="auto"/>
                <w:sz w:val="24"/>
                <w:highlight w:val="none"/>
              </w:rPr>
              <w:t>承诺工期</w:t>
            </w:r>
          </w:p>
        </w:tc>
        <w:tc>
          <w:tcPr>
            <w:tcW w:w="2577" w:type="dxa"/>
            <w:tcBorders>
              <w:top w:val="nil"/>
              <w:left w:val="nil"/>
              <w:bottom w:val="single" w:color="auto" w:sz="4" w:space="0"/>
              <w:right w:val="single" w:color="auto" w:sz="8" w:space="0"/>
            </w:tcBorders>
            <w:vAlign w:val="center"/>
          </w:tcPr>
          <w:p w14:paraId="2EB90F6C">
            <w:pPr>
              <w:spacing w:line="400" w:lineRule="exact"/>
              <w:jc w:val="right"/>
              <w:rPr>
                <w:rFonts w:ascii="宋体" w:hAnsi="宋体" w:cs="宋体"/>
                <w:color w:val="auto"/>
                <w:sz w:val="24"/>
                <w:highlight w:val="none"/>
              </w:rPr>
            </w:pPr>
            <w:r>
              <w:rPr>
                <w:rFonts w:hint="eastAsia" w:ascii="宋体" w:hAnsi="宋体" w:cs="宋体"/>
                <w:color w:val="auto"/>
                <w:sz w:val="24"/>
                <w:highlight w:val="none"/>
              </w:rPr>
              <w:t>天（日历天）</w:t>
            </w:r>
          </w:p>
        </w:tc>
      </w:tr>
      <w:tr w14:paraId="62F067AD">
        <w:tblPrEx>
          <w:tblCellMar>
            <w:top w:w="0" w:type="dxa"/>
            <w:left w:w="108" w:type="dxa"/>
            <w:bottom w:w="0" w:type="dxa"/>
            <w:right w:w="108" w:type="dxa"/>
          </w:tblCellMar>
        </w:tblPrEx>
        <w:trPr>
          <w:trHeight w:val="459" w:hRule="atLeast"/>
        </w:trPr>
        <w:tc>
          <w:tcPr>
            <w:tcW w:w="6302" w:type="dxa"/>
            <w:gridSpan w:val="2"/>
            <w:tcBorders>
              <w:top w:val="single" w:color="auto" w:sz="4" w:space="0"/>
              <w:left w:val="single" w:color="auto" w:sz="8" w:space="0"/>
              <w:bottom w:val="single" w:color="auto" w:sz="4" w:space="0"/>
              <w:right w:val="single" w:color="auto" w:sz="4" w:space="0"/>
            </w:tcBorders>
            <w:vAlign w:val="center"/>
          </w:tcPr>
          <w:p w14:paraId="44BEF1A9">
            <w:pPr>
              <w:spacing w:line="400" w:lineRule="exact"/>
              <w:rPr>
                <w:rFonts w:ascii="宋体" w:hAnsi="宋体" w:cs="宋体"/>
                <w:color w:val="auto"/>
                <w:sz w:val="24"/>
                <w:highlight w:val="none"/>
              </w:rPr>
            </w:pPr>
            <w:r>
              <w:rPr>
                <w:rFonts w:hint="eastAsia" w:ascii="宋体" w:hAnsi="宋体" w:cs="宋体"/>
                <w:color w:val="auto"/>
                <w:sz w:val="24"/>
                <w:highlight w:val="none"/>
              </w:rPr>
              <w:t>承诺质量等级</w:t>
            </w:r>
          </w:p>
        </w:tc>
        <w:tc>
          <w:tcPr>
            <w:tcW w:w="2577" w:type="dxa"/>
            <w:tcBorders>
              <w:top w:val="nil"/>
              <w:left w:val="nil"/>
              <w:bottom w:val="single" w:color="auto" w:sz="4" w:space="0"/>
              <w:right w:val="single" w:color="auto" w:sz="8" w:space="0"/>
            </w:tcBorders>
            <w:vAlign w:val="center"/>
          </w:tcPr>
          <w:p w14:paraId="6C49B6A2">
            <w:pPr>
              <w:spacing w:line="400" w:lineRule="exact"/>
              <w:jc w:val="right"/>
              <w:rPr>
                <w:rFonts w:ascii="宋体" w:hAnsi="宋体" w:cs="宋体"/>
                <w:color w:val="auto"/>
                <w:sz w:val="24"/>
                <w:highlight w:val="none"/>
              </w:rPr>
            </w:pPr>
            <w:r>
              <w:rPr>
                <w:rFonts w:hint="eastAsia" w:ascii="宋体" w:hAnsi="宋体" w:cs="宋体"/>
                <w:color w:val="auto"/>
                <w:sz w:val="24"/>
                <w:highlight w:val="none"/>
              </w:rPr>
              <w:t>　</w:t>
            </w:r>
          </w:p>
        </w:tc>
      </w:tr>
      <w:tr w14:paraId="3E4774C8">
        <w:tblPrEx>
          <w:tblCellMar>
            <w:top w:w="0" w:type="dxa"/>
            <w:left w:w="108" w:type="dxa"/>
            <w:bottom w:w="0" w:type="dxa"/>
            <w:right w:w="108" w:type="dxa"/>
          </w:tblCellMar>
        </w:tblPrEx>
        <w:trPr>
          <w:trHeight w:val="814" w:hRule="atLeast"/>
        </w:trPr>
        <w:tc>
          <w:tcPr>
            <w:tcW w:w="8879" w:type="dxa"/>
            <w:gridSpan w:val="3"/>
            <w:tcBorders>
              <w:top w:val="single" w:color="auto" w:sz="4" w:space="0"/>
              <w:left w:val="single" w:color="auto" w:sz="4" w:space="0"/>
              <w:bottom w:val="single" w:color="auto" w:sz="4" w:space="0"/>
              <w:right w:val="single" w:color="000000" w:sz="4" w:space="0"/>
            </w:tcBorders>
            <w:vAlign w:val="center"/>
          </w:tcPr>
          <w:p w14:paraId="3BC63762">
            <w:pPr>
              <w:spacing w:line="400" w:lineRule="exact"/>
              <w:rPr>
                <w:rFonts w:ascii="宋体" w:hAnsi="宋体" w:cs="宋体"/>
                <w:color w:val="auto"/>
                <w:sz w:val="24"/>
                <w:highlight w:val="none"/>
              </w:rPr>
            </w:pPr>
            <w:r>
              <w:rPr>
                <w:rFonts w:hint="eastAsia" w:ascii="宋体" w:hAnsi="宋体" w:cs="宋体"/>
                <w:color w:val="auto"/>
                <w:sz w:val="24"/>
                <w:highlight w:val="none"/>
              </w:rPr>
              <w:t>注：安全文明施工费按《建设工程工程量清单计价规范》（GB50500-2013）、《&lt;建设工程工程量清单计价规范(GB50500-2013)&gt;广西壮族自治区实施细则》规定执行。均作为不可竞争费用单列。</w:t>
            </w:r>
          </w:p>
        </w:tc>
      </w:tr>
      <w:tr w14:paraId="3B2EE700">
        <w:tblPrEx>
          <w:tblCellMar>
            <w:top w:w="0" w:type="dxa"/>
            <w:left w:w="108" w:type="dxa"/>
            <w:bottom w:w="0" w:type="dxa"/>
            <w:right w:w="108" w:type="dxa"/>
          </w:tblCellMar>
        </w:tblPrEx>
        <w:trPr>
          <w:trHeight w:val="1755" w:hRule="atLeast"/>
        </w:trPr>
        <w:tc>
          <w:tcPr>
            <w:tcW w:w="8879" w:type="dxa"/>
            <w:gridSpan w:val="3"/>
            <w:tcBorders>
              <w:top w:val="nil"/>
              <w:left w:val="nil"/>
              <w:bottom w:val="nil"/>
              <w:right w:val="nil"/>
            </w:tcBorders>
            <w:vAlign w:val="bottom"/>
          </w:tcPr>
          <w:p w14:paraId="5657EFC0">
            <w:pPr>
              <w:spacing w:line="400" w:lineRule="exact"/>
              <w:rPr>
                <w:rFonts w:ascii="宋体" w:hAnsi="宋体" w:cs="宋体"/>
                <w:color w:val="auto"/>
                <w:sz w:val="24"/>
                <w:highlight w:val="none"/>
              </w:rPr>
            </w:pPr>
            <w:r>
              <w:rPr>
                <w:rFonts w:hint="eastAsia" w:ascii="宋体" w:hAnsi="宋体" w:cs="宋体"/>
                <w:color w:val="auto"/>
                <w:sz w:val="24"/>
                <w:highlight w:val="none"/>
              </w:rPr>
              <w:t>供应商单位：（盖公章）</w:t>
            </w:r>
          </w:p>
          <w:p w14:paraId="06958374">
            <w:pPr>
              <w:spacing w:line="400" w:lineRule="exact"/>
              <w:rPr>
                <w:rFonts w:ascii="宋体" w:hAnsi="宋体" w:cs="宋体"/>
                <w:color w:val="auto"/>
                <w:sz w:val="24"/>
                <w:highlight w:val="none"/>
              </w:rPr>
            </w:pPr>
          </w:p>
          <w:p w14:paraId="30E09F6E">
            <w:pPr>
              <w:spacing w:line="400" w:lineRule="exact"/>
              <w:rPr>
                <w:rFonts w:ascii="宋体" w:hAnsi="宋体" w:cs="宋体"/>
                <w:color w:val="auto"/>
                <w:sz w:val="24"/>
                <w:highlight w:val="none"/>
              </w:rPr>
            </w:pPr>
            <w:r>
              <w:rPr>
                <w:rFonts w:hint="eastAsia" w:ascii="宋体" w:hAnsi="宋体" w:cs="宋体"/>
                <w:color w:val="auto"/>
                <w:sz w:val="24"/>
                <w:highlight w:val="none"/>
              </w:rPr>
              <w:t>法定代表人或其委托代理人（签</w:t>
            </w:r>
            <w:r>
              <w:rPr>
                <w:rFonts w:hint="eastAsia" w:ascii="宋体" w:hAnsi="宋体" w:cs="宋体"/>
                <w:color w:val="auto"/>
                <w:spacing w:val="-1"/>
                <w:sz w:val="24"/>
                <w:highlight w:val="none"/>
              </w:rPr>
              <w:t>字</w:t>
            </w:r>
            <w:r>
              <w:rPr>
                <w:rFonts w:hint="eastAsia" w:ascii="宋体" w:hAnsi="宋体" w:cs="宋体"/>
                <w:color w:val="auto"/>
                <w:sz w:val="24"/>
                <w:highlight w:val="none"/>
              </w:rPr>
              <w:t>）：</w:t>
            </w:r>
          </w:p>
          <w:p w14:paraId="345111D5">
            <w:pPr>
              <w:spacing w:line="400" w:lineRule="exact"/>
              <w:rPr>
                <w:rFonts w:ascii="宋体" w:hAnsi="宋体" w:cs="宋体"/>
                <w:color w:val="auto"/>
                <w:sz w:val="24"/>
                <w:highlight w:val="none"/>
              </w:rPr>
            </w:pPr>
          </w:p>
          <w:p w14:paraId="2525EE2C">
            <w:pPr>
              <w:spacing w:line="400" w:lineRule="exact"/>
              <w:rPr>
                <w:rFonts w:ascii="宋体" w:hAnsi="宋体" w:cs="宋体"/>
                <w:color w:val="auto"/>
                <w:sz w:val="24"/>
                <w:highlight w:val="none"/>
              </w:rPr>
            </w:pPr>
            <w:r>
              <w:rPr>
                <w:rFonts w:hint="eastAsia" w:ascii="宋体" w:hAnsi="宋体" w:cs="宋体"/>
                <w:color w:val="auto"/>
                <w:sz w:val="24"/>
                <w:highlight w:val="none"/>
              </w:rPr>
              <w:t>年       月     日</w:t>
            </w:r>
          </w:p>
        </w:tc>
      </w:tr>
    </w:tbl>
    <w:p w14:paraId="1160BCC0">
      <w:pPr>
        <w:rPr>
          <w:rFonts w:ascii="宋体" w:hAnsi="宋体" w:cs="宋体"/>
          <w:color w:val="auto"/>
          <w:sz w:val="24"/>
          <w:highlight w:val="none"/>
        </w:rPr>
      </w:pPr>
    </w:p>
    <w:p w14:paraId="4735CBBF">
      <w:pPr>
        <w:spacing w:line="380" w:lineRule="exact"/>
        <w:rPr>
          <w:rFonts w:ascii="黑体" w:hAnsi="黑体" w:eastAsia="黑体" w:cs="黑体"/>
          <w:b/>
          <w:bCs/>
          <w:color w:val="auto"/>
          <w:szCs w:val="21"/>
          <w:highlight w:val="none"/>
        </w:rPr>
      </w:pPr>
      <w:r>
        <w:rPr>
          <w:rFonts w:hint="eastAsia" w:ascii="宋体" w:hAnsi="宋体" w:cs="宋体"/>
          <w:b/>
          <w:color w:val="auto"/>
          <w:sz w:val="28"/>
          <w:szCs w:val="28"/>
          <w:highlight w:val="none"/>
        </w:rPr>
        <w:br w:type="page"/>
      </w:r>
    </w:p>
    <w:p w14:paraId="75D6287D">
      <w:pPr>
        <w:spacing w:line="38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六</w:t>
      </w:r>
      <w:r>
        <w:rPr>
          <w:rFonts w:hint="eastAsia" w:ascii="宋体" w:hAnsi="宋体" w:cs="宋体"/>
          <w:b/>
          <w:bCs/>
          <w:color w:val="auto"/>
          <w:sz w:val="28"/>
          <w:szCs w:val="28"/>
          <w:highlight w:val="none"/>
        </w:rPr>
        <w:t>）已标价工程量清单</w:t>
      </w:r>
    </w:p>
    <w:p w14:paraId="33DC35E7">
      <w:pPr>
        <w:spacing w:line="380" w:lineRule="exact"/>
        <w:jc w:val="center"/>
        <w:rPr>
          <w:rFonts w:ascii="宋体" w:hAnsi="宋体" w:cs="宋体"/>
          <w:b/>
          <w:bCs/>
          <w:color w:val="auto"/>
          <w:sz w:val="32"/>
          <w:szCs w:val="32"/>
          <w:highlight w:val="none"/>
        </w:rPr>
      </w:pPr>
    </w:p>
    <w:p w14:paraId="220CA760">
      <w:pPr>
        <w:spacing w:line="380" w:lineRule="exact"/>
        <w:jc w:val="center"/>
        <w:rPr>
          <w:rFonts w:ascii="宋体" w:hAnsi="宋体" w:cs="宋体"/>
          <w:b/>
          <w:bCs/>
          <w:color w:val="auto"/>
          <w:sz w:val="32"/>
          <w:szCs w:val="32"/>
          <w:highlight w:val="none"/>
        </w:rPr>
      </w:pPr>
    </w:p>
    <w:p w14:paraId="5A7DDA27">
      <w:pPr>
        <w:spacing w:line="440" w:lineRule="exact"/>
        <w:rPr>
          <w:rFonts w:ascii="宋体" w:hAnsi="宋体" w:cs="宋体"/>
          <w:color w:val="auto"/>
          <w:sz w:val="24"/>
          <w:highlight w:val="none"/>
        </w:rPr>
      </w:pPr>
      <w:r>
        <w:rPr>
          <w:rFonts w:hint="eastAsia" w:ascii="宋体" w:hAnsi="宋体" w:cs="宋体"/>
          <w:color w:val="auto"/>
          <w:sz w:val="24"/>
          <w:highlight w:val="none"/>
        </w:rPr>
        <w:t>表格：可按《&lt;建设工程工程量清单计价规范&gt;（GB50500-2013）广西壮族自治区实施细则》工程量清单计价表格提供。</w:t>
      </w:r>
    </w:p>
    <w:p w14:paraId="2926E090">
      <w:pPr>
        <w:rPr>
          <w:color w:val="auto"/>
          <w:highlight w:val="none"/>
        </w:rPr>
      </w:pPr>
    </w:p>
    <w:p w14:paraId="5381B859">
      <w:pPr>
        <w:pStyle w:val="5"/>
        <w:rPr>
          <w:rFonts w:ascii="黑体" w:hAnsi="黑体" w:cs="黑体"/>
          <w:color w:val="auto"/>
          <w:w w:val="99"/>
          <w:sz w:val="28"/>
          <w:szCs w:val="28"/>
          <w:highlight w:val="none"/>
        </w:rPr>
      </w:pPr>
    </w:p>
    <w:p w14:paraId="328A057A">
      <w:pPr>
        <w:pStyle w:val="5"/>
        <w:rPr>
          <w:rFonts w:ascii="黑体" w:hAnsi="黑体" w:cs="黑体"/>
          <w:color w:val="auto"/>
          <w:w w:val="99"/>
          <w:sz w:val="28"/>
          <w:szCs w:val="28"/>
          <w:highlight w:val="none"/>
        </w:rPr>
      </w:pPr>
    </w:p>
    <w:p w14:paraId="7400D64F">
      <w:pPr>
        <w:rPr>
          <w:color w:val="auto"/>
          <w:highlight w:val="none"/>
        </w:rPr>
      </w:pPr>
    </w:p>
    <w:p w14:paraId="5F2A8F5B">
      <w:pPr>
        <w:rPr>
          <w:color w:val="auto"/>
          <w:highlight w:val="none"/>
        </w:rPr>
      </w:pPr>
    </w:p>
    <w:p w14:paraId="7ECA7D3B">
      <w:pPr>
        <w:rPr>
          <w:color w:val="auto"/>
          <w:highlight w:val="none"/>
        </w:rPr>
      </w:pPr>
    </w:p>
    <w:p w14:paraId="39334535">
      <w:pPr>
        <w:rPr>
          <w:color w:val="auto"/>
          <w:highlight w:val="none"/>
        </w:rPr>
      </w:pPr>
    </w:p>
    <w:p w14:paraId="7EF2D6FF">
      <w:pPr>
        <w:rPr>
          <w:color w:val="auto"/>
          <w:highlight w:val="none"/>
        </w:rPr>
      </w:pPr>
    </w:p>
    <w:p w14:paraId="452EDF2F">
      <w:pPr>
        <w:rPr>
          <w:color w:val="auto"/>
          <w:highlight w:val="none"/>
        </w:rPr>
      </w:pPr>
    </w:p>
    <w:p w14:paraId="3234F34E">
      <w:pPr>
        <w:rPr>
          <w:color w:val="auto"/>
          <w:highlight w:val="none"/>
        </w:rPr>
      </w:pPr>
    </w:p>
    <w:p w14:paraId="3466BA06">
      <w:pPr>
        <w:rPr>
          <w:color w:val="auto"/>
          <w:highlight w:val="none"/>
        </w:rPr>
      </w:pPr>
    </w:p>
    <w:p w14:paraId="63FB44FB">
      <w:pPr>
        <w:rPr>
          <w:color w:val="auto"/>
          <w:highlight w:val="none"/>
        </w:rPr>
      </w:pPr>
    </w:p>
    <w:p w14:paraId="399231FE">
      <w:pPr>
        <w:pStyle w:val="5"/>
        <w:rPr>
          <w:rFonts w:ascii="黑体" w:hAnsi="黑体" w:cs="黑体"/>
          <w:color w:val="auto"/>
          <w:w w:val="99"/>
          <w:sz w:val="28"/>
          <w:szCs w:val="28"/>
          <w:highlight w:val="none"/>
        </w:rPr>
      </w:pPr>
    </w:p>
    <w:p w14:paraId="3894AAD3">
      <w:pPr>
        <w:pStyle w:val="5"/>
        <w:rPr>
          <w:rFonts w:ascii="黑体" w:hAnsi="黑体" w:cs="黑体"/>
          <w:color w:val="auto"/>
          <w:w w:val="99"/>
          <w:sz w:val="28"/>
          <w:szCs w:val="28"/>
          <w:highlight w:val="none"/>
        </w:rPr>
      </w:pPr>
    </w:p>
    <w:p w14:paraId="3A6A3A6B">
      <w:pPr>
        <w:pStyle w:val="5"/>
        <w:rPr>
          <w:rFonts w:ascii="黑体" w:hAnsi="黑体" w:cs="黑体"/>
          <w:color w:val="auto"/>
          <w:w w:val="99"/>
          <w:sz w:val="28"/>
          <w:szCs w:val="28"/>
          <w:highlight w:val="none"/>
        </w:rPr>
      </w:pPr>
    </w:p>
    <w:p w14:paraId="184FE594">
      <w:pPr>
        <w:pStyle w:val="5"/>
        <w:rPr>
          <w:rFonts w:ascii="黑体" w:hAnsi="黑体" w:cs="黑体"/>
          <w:color w:val="auto"/>
          <w:w w:val="99"/>
          <w:sz w:val="28"/>
          <w:szCs w:val="28"/>
          <w:highlight w:val="none"/>
        </w:rPr>
      </w:pPr>
    </w:p>
    <w:p w14:paraId="4C2715EA">
      <w:pPr>
        <w:pStyle w:val="5"/>
        <w:rPr>
          <w:rFonts w:ascii="黑体" w:hAnsi="黑体" w:cs="黑体"/>
          <w:color w:val="auto"/>
          <w:w w:val="99"/>
          <w:sz w:val="28"/>
          <w:szCs w:val="28"/>
          <w:highlight w:val="none"/>
        </w:rPr>
      </w:pPr>
    </w:p>
    <w:p w14:paraId="12807FDD">
      <w:pPr>
        <w:pStyle w:val="5"/>
        <w:rPr>
          <w:rFonts w:ascii="黑体" w:hAnsi="黑体" w:cs="黑体"/>
          <w:color w:val="auto"/>
          <w:w w:val="99"/>
          <w:sz w:val="28"/>
          <w:szCs w:val="28"/>
          <w:highlight w:val="none"/>
        </w:rPr>
      </w:pPr>
    </w:p>
    <w:p w14:paraId="66B5EA32">
      <w:pPr>
        <w:rPr>
          <w:color w:val="auto"/>
          <w:highlight w:val="none"/>
        </w:rPr>
      </w:pPr>
      <w:bookmarkStart w:id="10" w:name="_Toc25320398"/>
      <w:bookmarkStart w:id="11" w:name="_Toc32172"/>
      <w:bookmarkStart w:id="12" w:name="_Toc25320277"/>
    </w:p>
    <w:p w14:paraId="6BE660BF">
      <w:pPr>
        <w:rPr>
          <w:color w:val="auto"/>
          <w:highlight w:val="none"/>
        </w:rPr>
      </w:pPr>
    </w:p>
    <w:p w14:paraId="001A5E66">
      <w:pPr>
        <w:rPr>
          <w:color w:val="auto"/>
          <w:highlight w:val="none"/>
        </w:rPr>
      </w:pPr>
    </w:p>
    <w:p w14:paraId="0EA42ED2">
      <w:pPr>
        <w:rPr>
          <w:color w:val="auto"/>
          <w:highlight w:val="none"/>
        </w:rPr>
      </w:pPr>
    </w:p>
    <w:bookmarkEnd w:id="10"/>
    <w:bookmarkEnd w:id="11"/>
    <w:bookmarkEnd w:id="12"/>
    <w:p w14:paraId="4B81B8BF">
      <w:pPr>
        <w:pStyle w:val="5"/>
        <w:ind w:left="0" w:leftChars="0" w:firstLine="0"/>
        <w:jc w:val="center"/>
        <w:rPr>
          <w:rFonts w:ascii="宋体" w:hAnsi="宋体" w:cs="宋体"/>
          <w:b/>
          <w:color w:val="auto"/>
          <w:sz w:val="28"/>
          <w:szCs w:val="28"/>
          <w:highlight w:val="none"/>
        </w:rPr>
      </w:pPr>
      <w:r>
        <w:rPr>
          <w:rFonts w:hint="eastAsia" w:ascii="宋体" w:hAnsi="宋体" w:cs="宋体"/>
          <w:b/>
          <w:color w:val="auto"/>
          <w:highlight w:val="none"/>
        </w:rPr>
        <w:br w:type="page"/>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rPr>
        <w:t>）安全防护、文明施工措施方案的承诺书</w:t>
      </w:r>
    </w:p>
    <w:p w14:paraId="4A9956EC">
      <w:pPr>
        <w:pStyle w:val="5"/>
        <w:ind w:firstLine="0"/>
        <w:jc w:val="both"/>
        <w:rPr>
          <w:rFonts w:ascii="黑体" w:hAnsi="黑体" w:eastAsia="黑体" w:cs="黑体"/>
          <w:b/>
          <w:color w:val="auto"/>
          <w:sz w:val="28"/>
          <w:szCs w:val="28"/>
          <w:highlight w:val="none"/>
        </w:rPr>
      </w:pPr>
    </w:p>
    <w:p w14:paraId="77A865E9">
      <w:pPr>
        <w:tabs>
          <w:tab w:val="center" w:pos="5452"/>
        </w:tabs>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r>
        <w:rPr>
          <w:rFonts w:hint="eastAsia" w:ascii="宋体" w:hAnsi="宋体" w:cs="宋体"/>
          <w:color w:val="auto"/>
          <w:sz w:val="24"/>
          <w:highlight w:val="none"/>
        </w:rPr>
        <w:t>：</w:t>
      </w:r>
    </w:p>
    <w:p w14:paraId="125A951B">
      <w:pPr>
        <w:tabs>
          <w:tab w:val="center" w:pos="545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根据桂建质【2015】16号文件规定，我方在此承诺：</w:t>
      </w:r>
    </w:p>
    <w:p w14:paraId="3816F138">
      <w:pPr>
        <w:tabs>
          <w:tab w:val="center" w:pos="545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1．我方参与议价的</w:t>
      </w:r>
      <w:r>
        <w:rPr>
          <w:rFonts w:hint="eastAsia" w:ascii="宋体" w:hAnsi="宋体" w:cs="宋体"/>
          <w:color w:val="auto"/>
          <w:sz w:val="24"/>
          <w:highlight w:val="none"/>
          <w:u w:val="single"/>
        </w:rPr>
        <w:t xml:space="preserve">                    （工程名称） </w:t>
      </w:r>
      <w:r>
        <w:rPr>
          <w:rFonts w:hint="eastAsia" w:ascii="宋体" w:hAnsi="宋体" w:cs="宋体"/>
          <w:color w:val="auto"/>
          <w:sz w:val="24"/>
          <w:highlight w:val="none"/>
        </w:rPr>
        <w:t>项目，一旦中标，我方保证在施工过程中，严格执行《广西壮族自治区建设工程安全文明施工费使用管理细则》（桂建质【2015】16号）的有关规定，确保建设工程各项安全防护、文明施工措施落实到位。</w:t>
      </w:r>
    </w:p>
    <w:p w14:paraId="6330C4F6">
      <w:pPr>
        <w:tabs>
          <w:tab w:val="center" w:pos="5452"/>
        </w:tabs>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2．如我方在承包的</w:t>
      </w:r>
      <w:r>
        <w:rPr>
          <w:rFonts w:hint="eastAsia" w:ascii="宋体" w:hAnsi="宋体" w:cs="宋体"/>
          <w:color w:val="auto"/>
          <w:sz w:val="24"/>
          <w:highlight w:val="none"/>
          <w:u w:val="single"/>
        </w:rPr>
        <w:t xml:space="preserve">                    （工程名称） </w:t>
      </w:r>
      <w:r>
        <w:rPr>
          <w:rFonts w:hint="eastAsia" w:ascii="宋体" w:hAnsi="宋体" w:cs="宋体"/>
          <w:color w:val="auto"/>
          <w:sz w:val="24"/>
          <w:highlight w:val="none"/>
        </w:rPr>
        <w:t>项目中出现未按桂建质【2015】16号附件一规定执行的情形，我方愿意按照相关规定接受建设单位及有关主管部门的处罚。</w:t>
      </w:r>
    </w:p>
    <w:p w14:paraId="6101067A">
      <w:pPr>
        <w:tabs>
          <w:tab w:val="center" w:pos="5452"/>
        </w:tabs>
        <w:spacing w:line="440" w:lineRule="exact"/>
        <w:ind w:firstLine="360" w:firstLineChars="150"/>
        <w:rPr>
          <w:rFonts w:ascii="宋体" w:hAnsi="宋体" w:cs="宋体"/>
          <w:color w:val="auto"/>
          <w:sz w:val="24"/>
          <w:highlight w:val="none"/>
        </w:rPr>
      </w:pPr>
    </w:p>
    <w:p w14:paraId="7F6272D9">
      <w:pPr>
        <w:tabs>
          <w:tab w:val="center" w:pos="5452"/>
        </w:tabs>
        <w:spacing w:line="440" w:lineRule="exact"/>
        <w:ind w:firstLine="420" w:firstLineChars="150"/>
        <w:jc w:val="right"/>
        <w:rPr>
          <w:rFonts w:ascii="宋体" w:hAnsi="宋体" w:cs="宋体"/>
          <w:color w:val="auto"/>
          <w:sz w:val="28"/>
          <w:szCs w:val="28"/>
          <w:highlight w:val="none"/>
        </w:rPr>
      </w:pPr>
    </w:p>
    <w:p w14:paraId="7EDCEAAF">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（供应商名称）      （盖章）</w:t>
      </w:r>
    </w:p>
    <w:p w14:paraId="7C244584">
      <w:pPr>
        <w:tabs>
          <w:tab w:val="center" w:pos="5452"/>
        </w:tabs>
        <w:spacing w:line="440" w:lineRule="exact"/>
        <w:ind w:firstLine="360" w:firstLineChars="150"/>
        <w:jc w:val="right"/>
        <w:rPr>
          <w:rFonts w:ascii="宋体" w:hAnsi="宋体" w:cs="宋体"/>
          <w:color w:val="auto"/>
          <w:sz w:val="24"/>
          <w:highlight w:val="none"/>
        </w:rPr>
      </w:pPr>
    </w:p>
    <w:p w14:paraId="168BC23B">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 xml:space="preserve">                     法定代表人或授权代理人：（签字或盖章）</w:t>
      </w:r>
    </w:p>
    <w:p w14:paraId="0AA70CDB">
      <w:pPr>
        <w:tabs>
          <w:tab w:val="center" w:pos="5452"/>
        </w:tabs>
        <w:spacing w:line="440" w:lineRule="exact"/>
        <w:ind w:firstLine="360" w:firstLineChars="150"/>
        <w:jc w:val="right"/>
        <w:rPr>
          <w:rFonts w:ascii="宋体" w:hAnsi="宋体" w:cs="宋体"/>
          <w:color w:val="auto"/>
          <w:sz w:val="24"/>
          <w:highlight w:val="none"/>
        </w:rPr>
      </w:pPr>
    </w:p>
    <w:p w14:paraId="45A4E29C">
      <w:pPr>
        <w:tabs>
          <w:tab w:val="center" w:pos="5452"/>
        </w:tabs>
        <w:spacing w:line="440" w:lineRule="exact"/>
        <w:ind w:firstLine="360" w:firstLineChars="150"/>
        <w:jc w:val="right"/>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1964539">
      <w:pPr>
        <w:spacing w:line="440" w:lineRule="exact"/>
        <w:rPr>
          <w:rFonts w:ascii="宋体" w:hAnsi="宋体" w:cs="宋体"/>
          <w:color w:val="auto"/>
          <w:sz w:val="28"/>
          <w:szCs w:val="28"/>
          <w:highlight w:val="none"/>
        </w:rPr>
      </w:pPr>
    </w:p>
    <w:p w14:paraId="5CEA91A5">
      <w:pPr>
        <w:pStyle w:val="4"/>
        <w:spacing w:line="440" w:lineRule="exact"/>
        <w:jc w:val="center"/>
        <w:rPr>
          <w:rFonts w:ascii="宋体" w:hAnsi="宋体" w:eastAsia="宋体" w:cs="宋体"/>
          <w:bCs/>
          <w:color w:val="auto"/>
          <w:w w:val="99"/>
          <w:kern w:val="0"/>
          <w:sz w:val="28"/>
          <w:szCs w:val="28"/>
          <w:highlight w:val="none"/>
        </w:rPr>
      </w:pPr>
      <w:bookmarkStart w:id="13" w:name="_Toc25320278"/>
      <w:bookmarkStart w:id="14" w:name="_Toc25320399"/>
      <w:r>
        <w:rPr>
          <w:rFonts w:ascii="宋体" w:hAnsi="宋体" w:eastAsia="宋体" w:cs="宋体"/>
          <w:b w:val="0"/>
          <w:color w:val="auto"/>
          <w:sz w:val="28"/>
          <w:szCs w:val="28"/>
          <w:highlight w:val="none"/>
        </w:rPr>
        <w:br w:type="page"/>
      </w:r>
      <w:bookmarkStart w:id="15" w:name="_Toc29466"/>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八</w:t>
      </w:r>
      <w:r>
        <w:rPr>
          <w:rFonts w:hint="eastAsia" w:ascii="宋体" w:hAnsi="宋体" w:eastAsia="宋体" w:cs="宋体"/>
          <w:bCs/>
          <w:color w:val="auto"/>
          <w:sz w:val="28"/>
          <w:szCs w:val="28"/>
          <w:highlight w:val="none"/>
        </w:rPr>
        <w:t>）</w:t>
      </w:r>
      <w:bookmarkEnd w:id="13"/>
      <w:bookmarkEnd w:id="14"/>
      <w:bookmarkEnd w:id="15"/>
      <w:r>
        <w:rPr>
          <w:rFonts w:hint="eastAsia" w:ascii="宋体" w:hAnsi="宋体" w:eastAsia="宋体" w:cs="宋体"/>
          <w:bCs/>
          <w:color w:val="auto"/>
          <w:sz w:val="28"/>
          <w:szCs w:val="28"/>
          <w:highlight w:val="none"/>
        </w:rPr>
        <w:t>诚信声明</w:t>
      </w:r>
    </w:p>
    <w:p w14:paraId="2DE23D09">
      <w:pPr>
        <w:spacing w:line="400" w:lineRule="exact"/>
        <w:rPr>
          <w:rFonts w:ascii="宋体" w:hAnsi="宋体" w:cs="宋体"/>
          <w:b/>
          <w:color w:val="auto"/>
          <w:szCs w:val="21"/>
          <w:highlight w:val="none"/>
        </w:rPr>
      </w:pPr>
    </w:p>
    <w:p w14:paraId="5B4C50CB">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声明企业：                        地址：</w:t>
      </w:r>
    </w:p>
    <w:p w14:paraId="19C46360">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声明人：                          职务：</w:t>
      </w:r>
    </w:p>
    <w:p w14:paraId="1E25155F">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声明人：                          职务：</w:t>
      </w:r>
    </w:p>
    <w:p w14:paraId="0FB19988">
      <w:pPr>
        <w:widowControl/>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工程项目议价工作，作出郑重声明：</w:t>
      </w:r>
    </w:p>
    <w:p w14:paraId="2B5BBCD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1.响应材料是真实的，对议价要求是清楚的。作为正式供应商，我公司保证不与其他单位围标、串标，不出让报价资格，不向采购人或评审小组成员行贿。</w:t>
      </w:r>
    </w:p>
    <w:p w14:paraId="7968540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2.我单位无因安全事故、质量事故、投标违规等有不良记录被有关部门处罚仍在受罚期内；</w:t>
      </w:r>
    </w:p>
    <w:p w14:paraId="326D6FA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3.我单位无被有关部门责令停业、企业财产被查封、冻结或者处于破产状态的情形存在；</w:t>
      </w:r>
    </w:p>
    <w:p w14:paraId="2B61607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4.我单位没有参加本项目的设计、监理等工作；</w:t>
      </w:r>
    </w:p>
    <w:p w14:paraId="51BE864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5.我单位无拖欠民工工资记录且未结案的情形存在。</w:t>
      </w:r>
    </w:p>
    <w:p w14:paraId="153326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若违反上述规定一旦查实，本人和本公司愿意接受公开通报，并愿意承担由此带来的法律后果。</w:t>
      </w:r>
    </w:p>
    <w:p w14:paraId="6652C6C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10A16F3B">
      <w:pPr>
        <w:spacing w:line="400" w:lineRule="exact"/>
        <w:rPr>
          <w:rFonts w:ascii="宋体" w:hAnsi="宋体" w:cs="宋体"/>
          <w:color w:val="auto"/>
          <w:sz w:val="24"/>
          <w:highlight w:val="none"/>
        </w:rPr>
      </w:pPr>
    </w:p>
    <w:p w14:paraId="1C34EC39">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5570C9E">
      <w:pPr>
        <w:widowControl/>
        <w:spacing w:line="400" w:lineRule="exact"/>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供应商单位：                 （盖章）</w:t>
      </w:r>
    </w:p>
    <w:p w14:paraId="678BCEEE">
      <w:pPr>
        <w:widowControl/>
        <w:spacing w:line="400" w:lineRule="exact"/>
        <w:jc w:val="center"/>
        <w:rPr>
          <w:rFonts w:ascii="宋体" w:hAnsi="宋体" w:cs="宋体"/>
          <w:color w:val="auto"/>
          <w:kern w:val="0"/>
          <w:sz w:val="24"/>
          <w:highlight w:val="none"/>
        </w:rPr>
      </w:pPr>
    </w:p>
    <w:p w14:paraId="798E6FE0">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p w14:paraId="6866E866">
      <w:pPr>
        <w:rPr>
          <w:color w:val="auto"/>
          <w:highlight w:val="none"/>
        </w:rPr>
      </w:pPr>
    </w:p>
    <w:p w14:paraId="4EEE6CFE">
      <w:pPr>
        <w:pStyle w:val="4"/>
        <w:spacing w:line="440" w:lineRule="exact"/>
        <w:jc w:val="center"/>
        <w:rPr>
          <w:rFonts w:ascii="宋体" w:hAnsi="宋体" w:eastAsia="宋体" w:cs="宋体"/>
          <w:color w:val="auto"/>
          <w:w w:val="99"/>
          <w:kern w:val="0"/>
          <w:sz w:val="28"/>
          <w:szCs w:val="28"/>
          <w:highlight w:val="none"/>
        </w:rPr>
      </w:pPr>
      <w:r>
        <w:rPr>
          <w:rFonts w:hint="eastAsia" w:ascii="黑体" w:hAnsi="黑体" w:cs="黑体"/>
          <w:color w:val="auto"/>
          <w:w w:val="99"/>
          <w:kern w:val="0"/>
          <w:sz w:val="28"/>
          <w:szCs w:val="28"/>
          <w:highlight w:val="none"/>
        </w:rPr>
        <w:br w:type="page"/>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lang w:val="en-US" w:eastAsia="zh-CN"/>
        </w:rPr>
        <w:t>九</w:t>
      </w:r>
      <w:r>
        <w:rPr>
          <w:rFonts w:hint="eastAsia" w:ascii="宋体" w:hAnsi="宋体" w:eastAsia="宋体" w:cs="宋体"/>
          <w:color w:val="auto"/>
          <w:w w:val="99"/>
          <w:kern w:val="0"/>
          <w:sz w:val="28"/>
          <w:szCs w:val="28"/>
          <w:highlight w:val="none"/>
        </w:rPr>
        <w:t>）施工组织设计</w:t>
      </w:r>
    </w:p>
    <w:p w14:paraId="2BD8213E">
      <w:pPr>
        <w:autoSpaceDE w:val="0"/>
        <w:autoSpaceDN w:val="0"/>
        <w:adjustRightInd w:val="0"/>
        <w:spacing w:line="440" w:lineRule="exact"/>
        <w:rPr>
          <w:rFonts w:ascii="宋体" w:hAnsi="宋体" w:cs="宋体"/>
          <w:color w:val="auto"/>
          <w:kern w:val="0"/>
          <w:sz w:val="24"/>
          <w:highlight w:val="none"/>
        </w:rPr>
      </w:pPr>
    </w:p>
    <w:p w14:paraId="1D80209E">
      <w:pPr>
        <w:autoSpaceDE w:val="0"/>
        <w:autoSpaceDN w:val="0"/>
        <w:adjustRightIn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编制时应按以下章顺序采用文字并结合图表形式进行说明：</w:t>
      </w:r>
    </w:p>
    <w:p w14:paraId="576FFFC0">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（1）总体概述</w:t>
      </w:r>
    </w:p>
    <w:p w14:paraId="7EB344FC">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Cs/>
          <w:color w:val="auto"/>
          <w:kern w:val="0"/>
          <w:sz w:val="24"/>
          <w:highlight w:val="none"/>
        </w:rPr>
        <w:t>主要施工方法</w:t>
      </w:r>
    </w:p>
    <w:p w14:paraId="3E6A6864">
      <w:pPr>
        <w:autoSpaceDE w:val="0"/>
        <w:autoSpaceDN w:val="0"/>
        <w:adjustRightInd w:val="0"/>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（3）劳动力、材料和机械设备投入计划及其保证措施</w:t>
      </w:r>
    </w:p>
    <w:p w14:paraId="2C00C526">
      <w:pPr>
        <w:autoSpaceDE w:val="0"/>
        <w:autoSpaceDN w:val="0"/>
        <w:adjustRightInd w:val="0"/>
        <w:spacing w:line="440" w:lineRule="exact"/>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default" w:ascii="宋体" w:hAnsi="宋体" w:cs="宋体"/>
          <w:color w:val="auto"/>
          <w:kern w:val="0"/>
          <w:sz w:val="24"/>
          <w:highlight w:val="none"/>
          <w:lang w:val="en-US" w:eastAsia="zh-CN"/>
        </w:rPr>
        <w:t>关键施工技术、工艺及工程实施的重点、难点和解决方案</w:t>
      </w:r>
    </w:p>
    <w:p w14:paraId="3BB846C8">
      <w:pPr>
        <w:autoSpaceDE w:val="0"/>
        <w:autoSpaceDN w:val="0"/>
        <w:adjustRightInd w:val="0"/>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）质量保证与承诺和安全文明施工措施</w:t>
      </w:r>
    </w:p>
    <w:p w14:paraId="27802C91">
      <w:pPr>
        <w:pStyle w:val="9"/>
        <w:spacing w:line="440" w:lineRule="exact"/>
        <w:rPr>
          <w:rFonts w:ascii="宋体" w:hAnsi="宋体" w:cs="宋体"/>
          <w:color w:val="auto"/>
          <w:sz w:val="24"/>
          <w:highlight w:val="none"/>
        </w:rPr>
      </w:pPr>
    </w:p>
    <w:p w14:paraId="7B3A7C35">
      <w:pPr>
        <w:pStyle w:val="9"/>
        <w:spacing w:line="440" w:lineRule="exact"/>
        <w:rPr>
          <w:rFonts w:ascii="宋体" w:hAnsi="宋体" w:cs="宋体"/>
          <w:color w:val="auto"/>
          <w:sz w:val="24"/>
          <w:highlight w:val="none"/>
        </w:rPr>
      </w:pPr>
    </w:p>
    <w:p w14:paraId="0DBBECAD">
      <w:pPr>
        <w:autoSpaceDE w:val="0"/>
        <w:autoSpaceDN w:val="0"/>
        <w:adjustRightInd w:val="0"/>
        <w:spacing w:line="420" w:lineRule="exact"/>
        <w:rPr>
          <w:rFonts w:ascii="黑体" w:hAnsi="黑体" w:eastAsia="黑体" w:cs="黑体"/>
          <w:color w:val="auto"/>
          <w:sz w:val="24"/>
          <w:highlight w:val="none"/>
        </w:rPr>
      </w:pPr>
    </w:p>
    <w:p w14:paraId="7D736037">
      <w:pPr>
        <w:autoSpaceDE w:val="0"/>
        <w:autoSpaceDN w:val="0"/>
        <w:adjustRightInd w:val="0"/>
        <w:spacing w:line="420" w:lineRule="exact"/>
        <w:rPr>
          <w:rFonts w:ascii="黑体" w:hAnsi="黑体" w:eastAsia="黑体" w:cs="黑体"/>
          <w:color w:val="auto"/>
          <w:sz w:val="24"/>
          <w:highlight w:val="none"/>
        </w:rPr>
      </w:pPr>
    </w:p>
    <w:p w14:paraId="4E3F2719">
      <w:pPr>
        <w:rPr>
          <w:color w:val="auto"/>
          <w:highlight w:val="none"/>
        </w:rPr>
      </w:pPr>
    </w:p>
    <w:p w14:paraId="67CBD381">
      <w:pPr>
        <w:rPr>
          <w:rFonts w:ascii="宋体" w:hAnsi="宋体" w:cs="宋体"/>
          <w:b/>
          <w:bCs/>
          <w:color w:val="auto"/>
          <w:spacing w:val="20"/>
          <w:sz w:val="24"/>
          <w:highlight w:val="none"/>
        </w:rPr>
      </w:pPr>
      <w:r>
        <w:rPr>
          <w:rFonts w:hint="eastAsia" w:ascii="黑体" w:hAnsi="黑体" w:eastAsia="黑体" w:cs="黑体"/>
          <w:color w:val="auto"/>
          <w:sz w:val="28"/>
          <w:szCs w:val="28"/>
          <w:highlight w:val="none"/>
        </w:rPr>
        <w:br w:type="page"/>
      </w:r>
      <w:r>
        <w:rPr>
          <w:rFonts w:hint="eastAsia" w:ascii="宋体" w:hAnsi="宋体" w:cs="宋体"/>
          <w:color w:val="auto"/>
          <w:spacing w:val="20"/>
          <w:sz w:val="24"/>
          <w:highlight w:val="none"/>
        </w:rPr>
        <w:t xml:space="preserve">附表1           </w:t>
      </w:r>
      <w:bookmarkStart w:id="16" w:name="_Toc17219"/>
    </w:p>
    <w:p w14:paraId="117DEB82">
      <w:pPr>
        <w:ind w:firstLine="3211" w:firstLineChars="1000"/>
        <w:rPr>
          <w:rFonts w:ascii="宋体" w:hAnsi="宋体" w:cs="宋体"/>
          <w:color w:val="auto"/>
          <w:sz w:val="28"/>
          <w:szCs w:val="28"/>
          <w:highlight w:val="none"/>
        </w:rPr>
      </w:pPr>
      <w:r>
        <w:rPr>
          <w:rFonts w:hint="eastAsia" w:ascii="宋体" w:hAnsi="宋体" w:cs="宋体"/>
          <w:b/>
          <w:bCs/>
          <w:color w:val="auto"/>
          <w:spacing w:val="20"/>
          <w:sz w:val="28"/>
          <w:szCs w:val="28"/>
          <w:highlight w:val="none"/>
        </w:rPr>
        <w:t>项目管理机构组成表</w:t>
      </w:r>
      <w:bookmarkEnd w:id="16"/>
    </w:p>
    <w:p w14:paraId="26C0A66E">
      <w:pPr>
        <w:pStyle w:val="20"/>
        <w:ind w:firstLine="0"/>
        <w:rPr>
          <w:rFonts w:cs="宋体"/>
          <w:color w:val="auto"/>
          <w:sz w:val="28"/>
          <w:szCs w:val="28"/>
          <w:highlight w:val="none"/>
        </w:rPr>
      </w:pPr>
    </w:p>
    <w:p w14:paraId="47BD9963">
      <w:pPr>
        <w:ind w:left="9240" w:hanging="9240" w:hangingChars="3300"/>
        <w:jc w:val="left"/>
        <w:rPr>
          <w:rFonts w:ascii="宋体" w:hAnsi="宋体" w:cs="宋体"/>
          <w:b/>
          <w:color w:val="auto"/>
          <w:sz w:val="24"/>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4"/>
          <w:highlight w:val="none"/>
          <w:u w:val="single"/>
        </w:rPr>
        <w:t xml:space="preserve">                      （工程项目名称）</w:t>
      </w:r>
      <w:r>
        <w:rPr>
          <w:rFonts w:hint="eastAsia" w:ascii="宋体" w:hAnsi="宋体" w:cs="宋体"/>
          <w:color w:val="auto"/>
          <w:sz w:val="24"/>
          <w:highlight w:val="none"/>
        </w:rPr>
        <w:t xml:space="preserve">工程        </w:t>
      </w:r>
      <w:r>
        <w:rPr>
          <w:rFonts w:hint="eastAsia" w:ascii="宋体" w:hAnsi="宋体" w:cs="宋体"/>
          <w:color w:val="auto"/>
          <w:spacing w:val="20"/>
          <w:kern w:val="0"/>
          <w:sz w:val="24"/>
          <w:highlight w:val="none"/>
        </w:rPr>
        <w:t>备案标号</w:t>
      </w:r>
      <w:r>
        <w:rPr>
          <w:rFonts w:hint="eastAsia" w:ascii="宋体" w:hAnsi="宋体" w:cs="宋体"/>
          <w:color w:val="auto"/>
          <w:spacing w:val="20"/>
          <w:kern w:val="0"/>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05"/>
        <w:gridCol w:w="1650"/>
        <w:gridCol w:w="3750"/>
      </w:tblGrid>
      <w:tr w14:paraId="1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093" w:type="dxa"/>
            <w:vAlign w:val="center"/>
          </w:tcPr>
          <w:p w14:paraId="4FB2331F">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名  称</w:t>
            </w:r>
          </w:p>
        </w:tc>
        <w:tc>
          <w:tcPr>
            <w:tcW w:w="1005" w:type="dxa"/>
            <w:vAlign w:val="center"/>
          </w:tcPr>
          <w:p w14:paraId="02600308">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姓 名</w:t>
            </w:r>
          </w:p>
        </w:tc>
        <w:tc>
          <w:tcPr>
            <w:tcW w:w="1650" w:type="dxa"/>
            <w:vAlign w:val="center"/>
          </w:tcPr>
          <w:p w14:paraId="38610A6C">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职务或职称</w:t>
            </w:r>
          </w:p>
        </w:tc>
        <w:tc>
          <w:tcPr>
            <w:tcW w:w="3750" w:type="dxa"/>
            <w:vAlign w:val="center"/>
          </w:tcPr>
          <w:p w14:paraId="7DD993C5">
            <w:pPr>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主要资历、经验及承担过的项目</w:t>
            </w:r>
          </w:p>
        </w:tc>
      </w:tr>
      <w:tr w14:paraId="2FA4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671DBA3E">
            <w:pPr>
              <w:spacing w:line="420" w:lineRule="exact"/>
              <w:rPr>
                <w:rFonts w:ascii="宋体" w:hAnsi="宋体" w:cs="宋体"/>
                <w:color w:val="auto"/>
                <w:sz w:val="24"/>
                <w:highlight w:val="none"/>
              </w:rPr>
            </w:pPr>
            <w:r>
              <w:rPr>
                <w:rFonts w:hint="eastAsia" w:ascii="宋体" w:hAnsi="宋体" w:cs="宋体"/>
                <w:color w:val="auto"/>
                <w:sz w:val="24"/>
                <w:highlight w:val="none"/>
              </w:rPr>
              <w:t>一、总部</w:t>
            </w:r>
          </w:p>
        </w:tc>
        <w:tc>
          <w:tcPr>
            <w:tcW w:w="1005" w:type="dxa"/>
            <w:vAlign w:val="center"/>
          </w:tcPr>
          <w:p w14:paraId="7A7EB815">
            <w:pPr>
              <w:spacing w:line="420" w:lineRule="exact"/>
              <w:jc w:val="center"/>
              <w:rPr>
                <w:rFonts w:ascii="宋体" w:hAnsi="宋体" w:cs="宋体"/>
                <w:color w:val="auto"/>
                <w:sz w:val="24"/>
                <w:highlight w:val="none"/>
              </w:rPr>
            </w:pPr>
          </w:p>
        </w:tc>
        <w:tc>
          <w:tcPr>
            <w:tcW w:w="1650" w:type="dxa"/>
            <w:vAlign w:val="center"/>
          </w:tcPr>
          <w:p w14:paraId="6A68FC7B">
            <w:pPr>
              <w:spacing w:line="420" w:lineRule="exact"/>
              <w:jc w:val="center"/>
              <w:rPr>
                <w:rFonts w:ascii="宋体" w:hAnsi="宋体" w:cs="宋体"/>
                <w:color w:val="auto"/>
                <w:sz w:val="24"/>
                <w:highlight w:val="none"/>
              </w:rPr>
            </w:pPr>
          </w:p>
        </w:tc>
        <w:tc>
          <w:tcPr>
            <w:tcW w:w="3750" w:type="dxa"/>
            <w:vAlign w:val="center"/>
          </w:tcPr>
          <w:p w14:paraId="58AAE874">
            <w:pPr>
              <w:spacing w:line="420" w:lineRule="exact"/>
              <w:jc w:val="center"/>
              <w:rPr>
                <w:rFonts w:ascii="宋体" w:hAnsi="宋体" w:cs="宋体"/>
                <w:color w:val="auto"/>
                <w:sz w:val="24"/>
                <w:highlight w:val="none"/>
              </w:rPr>
            </w:pPr>
          </w:p>
        </w:tc>
      </w:tr>
      <w:tr w14:paraId="36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6005F00">
            <w:pPr>
              <w:spacing w:line="42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项目主管</w:t>
            </w:r>
          </w:p>
        </w:tc>
        <w:tc>
          <w:tcPr>
            <w:tcW w:w="1005" w:type="dxa"/>
            <w:vAlign w:val="center"/>
          </w:tcPr>
          <w:p w14:paraId="67496827">
            <w:pPr>
              <w:spacing w:line="420" w:lineRule="exact"/>
              <w:jc w:val="center"/>
              <w:rPr>
                <w:rFonts w:ascii="宋体" w:hAnsi="宋体" w:cs="宋体"/>
                <w:color w:val="auto"/>
                <w:sz w:val="24"/>
                <w:highlight w:val="none"/>
              </w:rPr>
            </w:pPr>
          </w:p>
        </w:tc>
        <w:tc>
          <w:tcPr>
            <w:tcW w:w="1650" w:type="dxa"/>
            <w:vAlign w:val="center"/>
          </w:tcPr>
          <w:p w14:paraId="062D8241">
            <w:pPr>
              <w:spacing w:line="420" w:lineRule="exact"/>
              <w:jc w:val="center"/>
              <w:rPr>
                <w:rFonts w:ascii="宋体" w:hAnsi="宋体" w:cs="宋体"/>
                <w:color w:val="auto"/>
                <w:sz w:val="24"/>
                <w:highlight w:val="none"/>
              </w:rPr>
            </w:pPr>
          </w:p>
        </w:tc>
        <w:tc>
          <w:tcPr>
            <w:tcW w:w="3750" w:type="dxa"/>
            <w:vAlign w:val="center"/>
          </w:tcPr>
          <w:p w14:paraId="1AEAA22D">
            <w:pPr>
              <w:spacing w:line="420" w:lineRule="exact"/>
              <w:jc w:val="center"/>
              <w:rPr>
                <w:rFonts w:ascii="宋体" w:hAnsi="宋体" w:cs="宋体"/>
                <w:color w:val="auto"/>
                <w:sz w:val="24"/>
                <w:highlight w:val="none"/>
              </w:rPr>
            </w:pPr>
          </w:p>
        </w:tc>
      </w:tr>
      <w:tr w14:paraId="780E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ED2A3F2">
            <w:pPr>
              <w:spacing w:line="42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其他人员</w:t>
            </w:r>
          </w:p>
        </w:tc>
        <w:tc>
          <w:tcPr>
            <w:tcW w:w="1005" w:type="dxa"/>
            <w:vAlign w:val="center"/>
          </w:tcPr>
          <w:p w14:paraId="41E842EC">
            <w:pPr>
              <w:spacing w:line="420" w:lineRule="exact"/>
              <w:jc w:val="center"/>
              <w:rPr>
                <w:rFonts w:ascii="宋体" w:hAnsi="宋体" w:cs="宋体"/>
                <w:color w:val="auto"/>
                <w:sz w:val="24"/>
                <w:highlight w:val="none"/>
              </w:rPr>
            </w:pPr>
          </w:p>
        </w:tc>
        <w:tc>
          <w:tcPr>
            <w:tcW w:w="1650" w:type="dxa"/>
            <w:vAlign w:val="center"/>
          </w:tcPr>
          <w:p w14:paraId="065C2092">
            <w:pPr>
              <w:spacing w:line="420" w:lineRule="exact"/>
              <w:jc w:val="center"/>
              <w:rPr>
                <w:rFonts w:ascii="宋体" w:hAnsi="宋体" w:cs="宋体"/>
                <w:color w:val="auto"/>
                <w:sz w:val="24"/>
                <w:highlight w:val="none"/>
              </w:rPr>
            </w:pPr>
          </w:p>
        </w:tc>
        <w:tc>
          <w:tcPr>
            <w:tcW w:w="3750" w:type="dxa"/>
            <w:vAlign w:val="center"/>
          </w:tcPr>
          <w:p w14:paraId="175A236F">
            <w:pPr>
              <w:spacing w:line="420" w:lineRule="exact"/>
              <w:ind w:firstLine="480" w:firstLineChars="200"/>
              <w:jc w:val="center"/>
              <w:rPr>
                <w:rFonts w:ascii="宋体" w:hAnsi="宋体" w:cs="宋体"/>
                <w:color w:val="auto"/>
                <w:sz w:val="24"/>
                <w:highlight w:val="none"/>
              </w:rPr>
            </w:pPr>
          </w:p>
        </w:tc>
      </w:tr>
      <w:tr w14:paraId="1BB2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5032ED71">
            <w:pPr>
              <w:spacing w:line="420" w:lineRule="exact"/>
              <w:rPr>
                <w:rFonts w:ascii="宋体" w:hAnsi="宋体" w:cs="宋体"/>
                <w:color w:val="auto"/>
                <w:sz w:val="24"/>
                <w:highlight w:val="none"/>
              </w:rPr>
            </w:pPr>
            <w:r>
              <w:rPr>
                <w:rFonts w:hint="eastAsia" w:ascii="宋体" w:hAnsi="宋体" w:cs="宋体"/>
                <w:color w:val="auto"/>
                <w:sz w:val="24"/>
                <w:highlight w:val="none"/>
              </w:rPr>
              <w:t>二、现场</w:t>
            </w:r>
          </w:p>
        </w:tc>
        <w:tc>
          <w:tcPr>
            <w:tcW w:w="1005" w:type="dxa"/>
            <w:vAlign w:val="center"/>
          </w:tcPr>
          <w:p w14:paraId="4CCBF406">
            <w:pPr>
              <w:spacing w:line="420" w:lineRule="exact"/>
              <w:jc w:val="center"/>
              <w:rPr>
                <w:rFonts w:ascii="宋体" w:hAnsi="宋体" w:cs="宋体"/>
                <w:color w:val="auto"/>
                <w:sz w:val="24"/>
                <w:highlight w:val="none"/>
              </w:rPr>
            </w:pPr>
          </w:p>
        </w:tc>
        <w:tc>
          <w:tcPr>
            <w:tcW w:w="1650" w:type="dxa"/>
            <w:vAlign w:val="center"/>
          </w:tcPr>
          <w:p w14:paraId="475D5A34">
            <w:pPr>
              <w:spacing w:line="420" w:lineRule="exact"/>
              <w:jc w:val="center"/>
              <w:rPr>
                <w:rFonts w:ascii="宋体" w:hAnsi="宋体" w:cs="宋体"/>
                <w:color w:val="auto"/>
                <w:sz w:val="24"/>
                <w:highlight w:val="none"/>
              </w:rPr>
            </w:pPr>
          </w:p>
        </w:tc>
        <w:tc>
          <w:tcPr>
            <w:tcW w:w="3750" w:type="dxa"/>
            <w:vAlign w:val="center"/>
          </w:tcPr>
          <w:p w14:paraId="635A566E">
            <w:pPr>
              <w:spacing w:line="420" w:lineRule="exact"/>
              <w:jc w:val="center"/>
              <w:rPr>
                <w:rFonts w:ascii="宋体" w:hAnsi="宋体" w:cs="宋体"/>
                <w:color w:val="auto"/>
                <w:sz w:val="24"/>
                <w:highlight w:val="none"/>
              </w:rPr>
            </w:pPr>
          </w:p>
        </w:tc>
      </w:tr>
      <w:tr w14:paraId="6CF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2093" w:type="dxa"/>
            <w:vAlign w:val="center"/>
          </w:tcPr>
          <w:p w14:paraId="2D360D23">
            <w:pPr>
              <w:spacing w:line="42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项目经理（建造师）</w:t>
            </w:r>
          </w:p>
        </w:tc>
        <w:tc>
          <w:tcPr>
            <w:tcW w:w="1005" w:type="dxa"/>
            <w:vAlign w:val="center"/>
          </w:tcPr>
          <w:p w14:paraId="0DA2C472">
            <w:pPr>
              <w:spacing w:line="420" w:lineRule="exact"/>
              <w:jc w:val="center"/>
              <w:rPr>
                <w:rFonts w:ascii="宋体" w:hAnsi="宋体" w:cs="宋体"/>
                <w:color w:val="auto"/>
                <w:sz w:val="24"/>
                <w:highlight w:val="none"/>
              </w:rPr>
            </w:pPr>
          </w:p>
        </w:tc>
        <w:tc>
          <w:tcPr>
            <w:tcW w:w="1650" w:type="dxa"/>
            <w:vAlign w:val="center"/>
          </w:tcPr>
          <w:p w14:paraId="3856FCE4">
            <w:pPr>
              <w:spacing w:line="420" w:lineRule="exact"/>
              <w:jc w:val="center"/>
              <w:rPr>
                <w:rFonts w:ascii="宋体" w:hAnsi="宋体" w:cs="宋体"/>
                <w:color w:val="auto"/>
                <w:sz w:val="24"/>
                <w:highlight w:val="none"/>
              </w:rPr>
            </w:pPr>
          </w:p>
        </w:tc>
        <w:tc>
          <w:tcPr>
            <w:tcW w:w="3750" w:type="dxa"/>
            <w:vAlign w:val="center"/>
          </w:tcPr>
          <w:p w14:paraId="7C30887F">
            <w:pPr>
              <w:spacing w:line="420" w:lineRule="exact"/>
              <w:jc w:val="center"/>
              <w:rPr>
                <w:rFonts w:ascii="宋体" w:hAnsi="宋体" w:cs="宋体"/>
                <w:color w:val="auto"/>
                <w:sz w:val="24"/>
                <w:highlight w:val="none"/>
              </w:rPr>
            </w:pPr>
          </w:p>
        </w:tc>
      </w:tr>
      <w:tr w14:paraId="510A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55E4C22">
            <w:pPr>
              <w:spacing w:line="420" w:lineRule="exact"/>
              <w:rPr>
                <w:rFonts w:ascii="宋体" w:hAnsi="宋体" w:cs="宋体"/>
                <w:color w:val="auto"/>
                <w:spacing w:val="-2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技术负责人</w:t>
            </w:r>
          </w:p>
        </w:tc>
        <w:tc>
          <w:tcPr>
            <w:tcW w:w="1005" w:type="dxa"/>
            <w:vAlign w:val="center"/>
          </w:tcPr>
          <w:p w14:paraId="0D9B60CA">
            <w:pPr>
              <w:spacing w:line="420" w:lineRule="exact"/>
              <w:jc w:val="center"/>
              <w:rPr>
                <w:rFonts w:ascii="宋体" w:hAnsi="宋体" w:cs="宋体"/>
                <w:color w:val="auto"/>
                <w:sz w:val="24"/>
                <w:highlight w:val="none"/>
              </w:rPr>
            </w:pPr>
          </w:p>
        </w:tc>
        <w:tc>
          <w:tcPr>
            <w:tcW w:w="1650" w:type="dxa"/>
            <w:vAlign w:val="center"/>
          </w:tcPr>
          <w:p w14:paraId="1CDCCDD9">
            <w:pPr>
              <w:spacing w:line="420" w:lineRule="exact"/>
              <w:jc w:val="center"/>
              <w:rPr>
                <w:rFonts w:ascii="宋体" w:hAnsi="宋体" w:cs="宋体"/>
                <w:color w:val="auto"/>
                <w:sz w:val="24"/>
                <w:highlight w:val="none"/>
              </w:rPr>
            </w:pPr>
          </w:p>
        </w:tc>
        <w:tc>
          <w:tcPr>
            <w:tcW w:w="3750" w:type="dxa"/>
            <w:vAlign w:val="center"/>
          </w:tcPr>
          <w:p w14:paraId="5DD1B49A">
            <w:pPr>
              <w:spacing w:line="420" w:lineRule="exact"/>
              <w:jc w:val="center"/>
              <w:rPr>
                <w:rFonts w:ascii="宋体" w:hAnsi="宋体" w:cs="宋体"/>
                <w:color w:val="auto"/>
                <w:sz w:val="24"/>
                <w:highlight w:val="none"/>
              </w:rPr>
            </w:pPr>
          </w:p>
        </w:tc>
      </w:tr>
      <w:tr w14:paraId="6EF9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186B4A18">
            <w:pPr>
              <w:spacing w:line="42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施工员</w:t>
            </w:r>
          </w:p>
        </w:tc>
        <w:tc>
          <w:tcPr>
            <w:tcW w:w="1005" w:type="dxa"/>
            <w:vAlign w:val="center"/>
          </w:tcPr>
          <w:p w14:paraId="67063310">
            <w:pPr>
              <w:spacing w:line="420" w:lineRule="exact"/>
              <w:jc w:val="center"/>
              <w:rPr>
                <w:rFonts w:ascii="宋体" w:hAnsi="宋体" w:cs="宋体"/>
                <w:color w:val="auto"/>
                <w:sz w:val="24"/>
                <w:highlight w:val="none"/>
              </w:rPr>
            </w:pPr>
          </w:p>
        </w:tc>
        <w:tc>
          <w:tcPr>
            <w:tcW w:w="1650" w:type="dxa"/>
            <w:vAlign w:val="center"/>
          </w:tcPr>
          <w:p w14:paraId="73E1DD6D">
            <w:pPr>
              <w:spacing w:line="420" w:lineRule="exact"/>
              <w:jc w:val="center"/>
              <w:rPr>
                <w:rFonts w:ascii="宋体" w:hAnsi="宋体" w:cs="宋体"/>
                <w:color w:val="auto"/>
                <w:sz w:val="24"/>
                <w:highlight w:val="none"/>
              </w:rPr>
            </w:pPr>
          </w:p>
        </w:tc>
        <w:tc>
          <w:tcPr>
            <w:tcW w:w="3750" w:type="dxa"/>
            <w:vAlign w:val="center"/>
          </w:tcPr>
          <w:p w14:paraId="3AF89F07">
            <w:pPr>
              <w:spacing w:line="420" w:lineRule="exact"/>
              <w:jc w:val="center"/>
              <w:rPr>
                <w:rFonts w:ascii="宋体" w:hAnsi="宋体" w:cs="宋体"/>
                <w:color w:val="auto"/>
                <w:sz w:val="24"/>
                <w:highlight w:val="none"/>
              </w:rPr>
            </w:pPr>
          </w:p>
        </w:tc>
      </w:tr>
      <w:tr w14:paraId="428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7712923E">
            <w:pPr>
              <w:spacing w:line="420" w:lineRule="exac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安全员</w:t>
            </w:r>
          </w:p>
        </w:tc>
        <w:tc>
          <w:tcPr>
            <w:tcW w:w="1005" w:type="dxa"/>
            <w:vAlign w:val="center"/>
          </w:tcPr>
          <w:p w14:paraId="1E814225">
            <w:pPr>
              <w:spacing w:line="420" w:lineRule="exact"/>
              <w:jc w:val="center"/>
              <w:rPr>
                <w:rFonts w:ascii="宋体" w:hAnsi="宋体" w:cs="宋体"/>
                <w:color w:val="auto"/>
                <w:sz w:val="24"/>
                <w:highlight w:val="none"/>
              </w:rPr>
            </w:pPr>
          </w:p>
        </w:tc>
        <w:tc>
          <w:tcPr>
            <w:tcW w:w="1650" w:type="dxa"/>
            <w:vAlign w:val="center"/>
          </w:tcPr>
          <w:p w14:paraId="5FD35563">
            <w:pPr>
              <w:spacing w:line="420" w:lineRule="exact"/>
              <w:jc w:val="center"/>
              <w:rPr>
                <w:rFonts w:ascii="宋体" w:hAnsi="宋体" w:cs="宋体"/>
                <w:color w:val="auto"/>
                <w:sz w:val="24"/>
                <w:highlight w:val="none"/>
              </w:rPr>
            </w:pPr>
          </w:p>
        </w:tc>
        <w:tc>
          <w:tcPr>
            <w:tcW w:w="3750" w:type="dxa"/>
            <w:vAlign w:val="center"/>
          </w:tcPr>
          <w:p w14:paraId="497FAFE6">
            <w:pPr>
              <w:spacing w:line="420" w:lineRule="exact"/>
              <w:jc w:val="center"/>
              <w:rPr>
                <w:rFonts w:ascii="宋体" w:hAnsi="宋体" w:cs="宋体"/>
                <w:color w:val="auto"/>
                <w:sz w:val="24"/>
                <w:highlight w:val="none"/>
              </w:rPr>
            </w:pPr>
          </w:p>
        </w:tc>
      </w:tr>
      <w:tr w14:paraId="689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93" w:type="dxa"/>
            <w:vAlign w:val="center"/>
          </w:tcPr>
          <w:p w14:paraId="0CBCFD3F">
            <w:pPr>
              <w:spacing w:line="420" w:lineRule="exac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质量员</w:t>
            </w:r>
          </w:p>
        </w:tc>
        <w:tc>
          <w:tcPr>
            <w:tcW w:w="1005" w:type="dxa"/>
            <w:vAlign w:val="center"/>
          </w:tcPr>
          <w:p w14:paraId="494C03C5">
            <w:pPr>
              <w:spacing w:line="420" w:lineRule="exact"/>
              <w:jc w:val="center"/>
              <w:rPr>
                <w:rFonts w:ascii="宋体" w:hAnsi="宋体" w:cs="宋体"/>
                <w:color w:val="auto"/>
                <w:sz w:val="24"/>
                <w:highlight w:val="none"/>
              </w:rPr>
            </w:pPr>
          </w:p>
        </w:tc>
        <w:tc>
          <w:tcPr>
            <w:tcW w:w="1650" w:type="dxa"/>
            <w:vAlign w:val="center"/>
          </w:tcPr>
          <w:p w14:paraId="04398B04">
            <w:pPr>
              <w:spacing w:line="420" w:lineRule="exact"/>
              <w:jc w:val="center"/>
              <w:rPr>
                <w:rFonts w:ascii="宋体" w:hAnsi="宋体" w:cs="宋体"/>
                <w:color w:val="auto"/>
                <w:sz w:val="24"/>
                <w:highlight w:val="none"/>
              </w:rPr>
            </w:pPr>
          </w:p>
        </w:tc>
        <w:tc>
          <w:tcPr>
            <w:tcW w:w="3750" w:type="dxa"/>
            <w:vAlign w:val="center"/>
          </w:tcPr>
          <w:p w14:paraId="2E96C1E4">
            <w:pPr>
              <w:spacing w:line="420" w:lineRule="exact"/>
              <w:jc w:val="center"/>
              <w:rPr>
                <w:rFonts w:ascii="宋体" w:hAnsi="宋体" w:cs="宋体"/>
                <w:color w:val="auto"/>
                <w:sz w:val="24"/>
                <w:highlight w:val="none"/>
              </w:rPr>
            </w:pPr>
          </w:p>
        </w:tc>
      </w:tr>
    </w:tbl>
    <w:p w14:paraId="0008D63D">
      <w:pPr>
        <w:ind w:firstLine="602" w:firstLineChars="250"/>
        <w:rPr>
          <w:rFonts w:ascii="宋体" w:hAnsi="宋体" w:cs="宋体"/>
          <w:b/>
          <w:color w:val="auto"/>
          <w:sz w:val="24"/>
          <w:highlight w:val="none"/>
        </w:rPr>
      </w:pPr>
    </w:p>
    <w:p w14:paraId="6E0F8C58">
      <w:pPr>
        <w:ind w:firstLine="410" w:firstLineChars="170"/>
        <w:rPr>
          <w:rFonts w:ascii="宋体" w:hAnsi="宋体" w:cs="宋体"/>
          <w:b/>
          <w:color w:val="auto"/>
          <w:sz w:val="24"/>
          <w:highlight w:val="none"/>
        </w:rPr>
      </w:pPr>
      <w:r>
        <w:rPr>
          <w:rFonts w:hint="eastAsia" w:ascii="宋体" w:hAnsi="宋体" w:cs="宋体"/>
          <w:b/>
          <w:color w:val="auto"/>
          <w:sz w:val="24"/>
          <w:highlight w:val="none"/>
        </w:rPr>
        <w:t>注：附拟投入本项目管理机构人员执业资格证或上岗证书、截标时间前1个月的社保缴费证明复印件</w:t>
      </w:r>
    </w:p>
    <w:p w14:paraId="6587EFEC">
      <w:pPr>
        <w:pStyle w:val="19"/>
        <w:rPr>
          <w:rFonts w:ascii="宋体" w:hAnsi="宋体" w:cs="宋体"/>
          <w:color w:val="auto"/>
          <w:sz w:val="24"/>
          <w:szCs w:val="24"/>
          <w:highlight w:val="none"/>
        </w:rPr>
      </w:pPr>
    </w:p>
    <w:p w14:paraId="2B0C2433">
      <w:pPr>
        <w:autoSpaceDE w:val="0"/>
        <w:autoSpaceDN w:val="0"/>
        <w:adjustRightInd w:val="0"/>
        <w:spacing w:line="420" w:lineRule="exact"/>
        <w:rPr>
          <w:rFonts w:ascii="宋体" w:hAnsi="宋体" w:cs="宋体"/>
          <w:color w:val="auto"/>
          <w:sz w:val="24"/>
          <w:highlight w:val="none"/>
        </w:rPr>
      </w:pPr>
    </w:p>
    <w:p w14:paraId="0BD58ED9">
      <w:pPr>
        <w:spacing w:line="300" w:lineRule="auto"/>
        <w:jc w:val="left"/>
        <w:rPr>
          <w:rFonts w:ascii="黑体" w:hAnsi="黑体" w:eastAsia="黑体" w:cs="黑体"/>
          <w:b/>
          <w:bCs/>
          <w:color w:val="auto"/>
          <w:sz w:val="28"/>
          <w:szCs w:val="28"/>
          <w:highlight w:val="none"/>
        </w:rPr>
      </w:pPr>
    </w:p>
    <w:p w14:paraId="1AD5D7E7">
      <w:pPr>
        <w:spacing w:line="300" w:lineRule="auto"/>
        <w:jc w:val="left"/>
        <w:rPr>
          <w:rFonts w:ascii="黑体" w:hAnsi="黑体" w:eastAsia="黑体" w:cs="黑体"/>
          <w:b/>
          <w:bCs/>
          <w:color w:val="auto"/>
          <w:sz w:val="28"/>
          <w:szCs w:val="28"/>
          <w:highlight w:val="none"/>
        </w:rPr>
      </w:pPr>
    </w:p>
    <w:p w14:paraId="18C86DD2">
      <w:pPr>
        <w:spacing w:line="300" w:lineRule="auto"/>
        <w:jc w:val="left"/>
        <w:rPr>
          <w:rFonts w:ascii="黑体" w:hAnsi="黑体" w:eastAsia="黑体" w:cs="黑体"/>
          <w:b/>
          <w:bCs/>
          <w:color w:val="auto"/>
          <w:sz w:val="28"/>
          <w:szCs w:val="28"/>
          <w:highlight w:val="none"/>
        </w:rPr>
      </w:pPr>
    </w:p>
    <w:p w14:paraId="5C29CDE8">
      <w:pPr>
        <w:spacing w:line="300" w:lineRule="auto"/>
        <w:jc w:val="left"/>
        <w:rPr>
          <w:rFonts w:ascii="黑体" w:hAnsi="黑体" w:eastAsia="黑体" w:cs="黑体"/>
          <w:b/>
          <w:bCs/>
          <w:color w:val="auto"/>
          <w:sz w:val="28"/>
          <w:szCs w:val="28"/>
          <w:highlight w:val="none"/>
        </w:rPr>
      </w:pPr>
    </w:p>
    <w:p w14:paraId="4ACD1519">
      <w:pPr>
        <w:spacing w:line="300" w:lineRule="auto"/>
        <w:jc w:val="left"/>
        <w:rPr>
          <w:rFonts w:ascii="黑体" w:hAnsi="黑体" w:eastAsia="黑体" w:cs="黑体"/>
          <w:color w:val="auto"/>
          <w:sz w:val="28"/>
          <w:szCs w:val="28"/>
          <w:highlight w:val="none"/>
        </w:rPr>
      </w:pPr>
    </w:p>
    <w:p w14:paraId="38AF356D">
      <w:pPr>
        <w:spacing w:line="300" w:lineRule="auto"/>
        <w:jc w:val="left"/>
        <w:rPr>
          <w:rFonts w:ascii="黑体" w:hAnsi="黑体" w:eastAsia="黑体" w:cs="黑体"/>
          <w:color w:val="auto"/>
          <w:sz w:val="28"/>
          <w:szCs w:val="28"/>
          <w:highlight w:val="none"/>
        </w:rPr>
      </w:pPr>
    </w:p>
    <w:p w14:paraId="34A16C2B">
      <w:pPr>
        <w:spacing w:line="300" w:lineRule="auto"/>
        <w:jc w:val="left"/>
        <w:rPr>
          <w:rFonts w:ascii="黑体" w:hAnsi="黑体" w:eastAsia="黑体" w:cs="黑体"/>
          <w:color w:val="auto"/>
          <w:sz w:val="28"/>
          <w:szCs w:val="28"/>
          <w:highlight w:val="none"/>
        </w:rPr>
      </w:pPr>
    </w:p>
    <w:p w14:paraId="2FBF71BB">
      <w:pPr>
        <w:pStyle w:val="12"/>
        <w:ind w:left="1260"/>
        <w:rPr>
          <w:color w:val="auto"/>
          <w:highlight w:val="none"/>
        </w:rPr>
      </w:pPr>
    </w:p>
    <w:p w14:paraId="26DE14FA">
      <w:pPr>
        <w:rPr>
          <w:rFonts w:hint="eastAsia" w:ascii="宋体" w:hAnsi="宋体" w:cs="宋体"/>
          <w:color w:val="auto"/>
          <w:spacing w:val="20"/>
          <w:sz w:val="24"/>
          <w:highlight w:val="none"/>
        </w:rPr>
      </w:pPr>
      <w:r>
        <w:rPr>
          <w:rFonts w:hint="eastAsia" w:ascii="宋体" w:hAnsi="宋体" w:cs="宋体"/>
          <w:color w:val="auto"/>
          <w:spacing w:val="20"/>
          <w:sz w:val="24"/>
          <w:highlight w:val="none"/>
        </w:rPr>
        <w:br w:type="page"/>
      </w:r>
    </w:p>
    <w:p w14:paraId="5E7AF10B">
      <w:pPr>
        <w:spacing w:line="300" w:lineRule="auto"/>
        <w:jc w:val="left"/>
        <w:rPr>
          <w:rFonts w:ascii="黑体" w:hAnsi="黑体" w:eastAsia="黑体" w:cs="黑体"/>
          <w:b/>
          <w:bCs/>
          <w:color w:val="auto"/>
          <w:sz w:val="28"/>
          <w:szCs w:val="28"/>
          <w:highlight w:val="none"/>
        </w:rPr>
      </w:pPr>
      <w:r>
        <w:rPr>
          <w:rFonts w:hint="eastAsia" w:ascii="宋体" w:hAnsi="宋体" w:cs="宋体"/>
          <w:color w:val="auto"/>
          <w:spacing w:val="20"/>
          <w:sz w:val="24"/>
          <w:highlight w:val="none"/>
        </w:rPr>
        <w:t xml:space="preserve">附表2            </w:t>
      </w:r>
      <w:r>
        <w:rPr>
          <w:rFonts w:hint="eastAsia" w:ascii="黑体" w:hAnsi="黑体" w:eastAsia="黑体" w:cs="黑体"/>
          <w:color w:val="auto"/>
          <w:sz w:val="28"/>
          <w:szCs w:val="28"/>
          <w:highlight w:val="none"/>
        </w:rPr>
        <w:t xml:space="preserve">  </w:t>
      </w:r>
      <w:r>
        <w:rPr>
          <w:rFonts w:hint="eastAsia" w:ascii="黑体" w:hAnsi="黑体" w:eastAsia="黑体" w:cs="黑体"/>
          <w:b/>
          <w:bCs/>
          <w:color w:val="auto"/>
          <w:sz w:val="28"/>
          <w:szCs w:val="28"/>
          <w:highlight w:val="none"/>
        </w:rPr>
        <w:t xml:space="preserve"> </w:t>
      </w:r>
    </w:p>
    <w:p w14:paraId="2D7E123B">
      <w:pPr>
        <w:spacing w:line="300" w:lineRule="auto"/>
        <w:ind w:firstLine="3373" w:firstLineChars="1200"/>
        <w:jc w:val="left"/>
        <w:rPr>
          <w:rFonts w:ascii="宋体" w:hAnsi="宋体" w:cs="宋体"/>
          <w:color w:val="auto"/>
          <w:spacing w:val="20"/>
          <w:sz w:val="28"/>
          <w:szCs w:val="28"/>
          <w:highlight w:val="none"/>
        </w:rPr>
      </w:pPr>
      <w:r>
        <w:rPr>
          <w:rFonts w:hint="eastAsia" w:ascii="宋体" w:hAnsi="宋体" w:cs="宋体"/>
          <w:b/>
          <w:bCs/>
          <w:color w:val="auto"/>
          <w:sz w:val="28"/>
          <w:szCs w:val="28"/>
          <w:highlight w:val="none"/>
        </w:rPr>
        <w:t>拟投入</w:t>
      </w:r>
      <w:r>
        <w:rPr>
          <w:rFonts w:hint="eastAsia" w:ascii="宋体" w:hAnsi="宋体" w:cs="宋体"/>
          <w:b/>
          <w:bCs/>
          <w:color w:val="auto"/>
          <w:spacing w:val="20"/>
          <w:sz w:val="28"/>
          <w:szCs w:val="28"/>
          <w:highlight w:val="none"/>
        </w:rPr>
        <w:t>劳动力计划表</w:t>
      </w:r>
    </w:p>
    <w:p w14:paraId="588E361A">
      <w:pPr>
        <w:pStyle w:val="19"/>
        <w:rPr>
          <w:rFonts w:ascii="宋体" w:hAnsi="宋体" w:cs="宋体"/>
          <w:color w:val="auto"/>
          <w:sz w:val="24"/>
          <w:szCs w:val="24"/>
          <w:highlight w:val="none"/>
        </w:rPr>
      </w:pPr>
    </w:p>
    <w:p w14:paraId="62BE6706">
      <w:pPr>
        <w:autoSpaceDE w:val="0"/>
        <w:autoSpaceDN w:val="0"/>
        <w:adjustRightInd w:val="0"/>
        <w:spacing w:line="420" w:lineRule="exact"/>
        <w:rPr>
          <w:rFonts w:ascii="宋体" w:hAnsi="宋体" w:cs="宋体"/>
          <w:color w:val="auto"/>
          <w:sz w:val="24"/>
          <w:highlight w:val="none"/>
        </w:rPr>
      </w:pPr>
      <w:r>
        <w:rPr>
          <w:rFonts w:hint="eastAsia" w:ascii="宋体" w:hAnsi="宋体" w:cs="宋体"/>
          <w:color w:val="auto"/>
          <w:sz w:val="24"/>
          <w:highlight w:val="none"/>
          <w:u w:val="single"/>
        </w:rPr>
        <w:t xml:space="preserve">                     （工程项目名称） </w:t>
      </w:r>
      <w:r>
        <w:rPr>
          <w:rFonts w:hint="eastAsia" w:ascii="宋体" w:hAnsi="宋体" w:cs="宋体"/>
          <w:color w:val="auto"/>
          <w:sz w:val="24"/>
          <w:highlight w:val="none"/>
        </w:rPr>
        <w:t>工程                    单位：人</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5"/>
        <w:gridCol w:w="1115"/>
        <w:gridCol w:w="1115"/>
        <w:gridCol w:w="1115"/>
        <w:gridCol w:w="1115"/>
        <w:gridCol w:w="1115"/>
        <w:gridCol w:w="1116"/>
      </w:tblGrid>
      <w:tr w14:paraId="78B1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restart"/>
            <w:vAlign w:val="center"/>
          </w:tcPr>
          <w:p w14:paraId="3D833A61">
            <w:pPr>
              <w:autoSpaceDE w:val="0"/>
              <w:autoSpaceDN w:val="0"/>
              <w:adjustRightIn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工种</w:t>
            </w:r>
          </w:p>
        </w:tc>
        <w:tc>
          <w:tcPr>
            <w:tcW w:w="7806" w:type="dxa"/>
            <w:gridSpan w:val="7"/>
            <w:vAlign w:val="center"/>
          </w:tcPr>
          <w:p w14:paraId="6E6375F9">
            <w:pPr>
              <w:autoSpaceDE w:val="0"/>
              <w:autoSpaceDN w:val="0"/>
              <w:adjustRightIn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344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exact"/>
          <w:jc w:val="center"/>
        </w:trPr>
        <w:tc>
          <w:tcPr>
            <w:tcW w:w="1113" w:type="dxa"/>
            <w:vMerge w:val="continue"/>
            <w:vAlign w:val="center"/>
          </w:tcPr>
          <w:p w14:paraId="5894346A">
            <w:pPr>
              <w:autoSpaceDE w:val="0"/>
              <w:autoSpaceDN w:val="0"/>
              <w:adjustRightInd w:val="0"/>
              <w:spacing w:line="420" w:lineRule="exact"/>
              <w:jc w:val="center"/>
              <w:rPr>
                <w:rFonts w:ascii="宋体" w:hAnsi="宋体" w:eastAsia="宋体" w:cs="宋体"/>
                <w:color w:val="auto"/>
                <w:sz w:val="24"/>
                <w:highlight w:val="none"/>
              </w:rPr>
            </w:pPr>
          </w:p>
        </w:tc>
        <w:tc>
          <w:tcPr>
            <w:tcW w:w="1115" w:type="dxa"/>
          </w:tcPr>
          <w:p w14:paraId="48ABA73D">
            <w:pPr>
              <w:autoSpaceDE w:val="0"/>
              <w:autoSpaceDN w:val="0"/>
              <w:adjustRightInd w:val="0"/>
              <w:spacing w:line="420" w:lineRule="exact"/>
              <w:rPr>
                <w:rFonts w:ascii="宋体" w:hAnsi="宋体" w:eastAsia="宋体" w:cs="宋体"/>
                <w:color w:val="auto"/>
                <w:sz w:val="24"/>
                <w:highlight w:val="none"/>
              </w:rPr>
            </w:pPr>
          </w:p>
        </w:tc>
        <w:tc>
          <w:tcPr>
            <w:tcW w:w="1115" w:type="dxa"/>
          </w:tcPr>
          <w:p w14:paraId="7C3BBC1A">
            <w:pPr>
              <w:autoSpaceDE w:val="0"/>
              <w:autoSpaceDN w:val="0"/>
              <w:adjustRightInd w:val="0"/>
              <w:spacing w:line="420" w:lineRule="exact"/>
              <w:rPr>
                <w:rFonts w:ascii="宋体" w:hAnsi="宋体" w:eastAsia="宋体" w:cs="宋体"/>
                <w:color w:val="auto"/>
                <w:sz w:val="24"/>
                <w:highlight w:val="none"/>
              </w:rPr>
            </w:pPr>
          </w:p>
        </w:tc>
        <w:tc>
          <w:tcPr>
            <w:tcW w:w="1115" w:type="dxa"/>
          </w:tcPr>
          <w:p w14:paraId="1AAC35B2">
            <w:pPr>
              <w:autoSpaceDE w:val="0"/>
              <w:autoSpaceDN w:val="0"/>
              <w:adjustRightInd w:val="0"/>
              <w:spacing w:line="420" w:lineRule="exact"/>
              <w:rPr>
                <w:rFonts w:ascii="宋体" w:hAnsi="宋体" w:eastAsia="宋体" w:cs="宋体"/>
                <w:color w:val="auto"/>
                <w:sz w:val="24"/>
                <w:highlight w:val="none"/>
              </w:rPr>
            </w:pPr>
          </w:p>
        </w:tc>
        <w:tc>
          <w:tcPr>
            <w:tcW w:w="1115" w:type="dxa"/>
          </w:tcPr>
          <w:p w14:paraId="5B94B811">
            <w:pPr>
              <w:autoSpaceDE w:val="0"/>
              <w:autoSpaceDN w:val="0"/>
              <w:adjustRightInd w:val="0"/>
              <w:spacing w:line="420" w:lineRule="exact"/>
              <w:rPr>
                <w:rFonts w:ascii="宋体" w:hAnsi="宋体" w:eastAsia="宋体" w:cs="宋体"/>
                <w:color w:val="auto"/>
                <w:sz w:val="24"/>
                <w:highlight w:val="none"/>
              </w:rPr>
            </w:pPr>
          </w:p>
        </w:tc>
        <w:tc>
          <w:tcPr>
            <w:tcW w:w="1115" w:type="dxa"/>
          </w:tcPr>
          <w:p w14:paraId="73664C2C">
            <w:pPr>
              <w:autoSpaceDE w:val="0"/>
              <w:autoSpaceDN w:val="0"/>
              <w:adjustRightInd w:val="0"/>
              <w:spacing w:line="420" w:lineRule="exact"/>
              <w:rPr>
                <w:rFonts w:ascii="宋体" w:hAnsi="宋体" w:eastAsia="宋体" w:cs="宋体"/>
                <w:color w:val="auto"/>
                <w:sz w:val="24"/>
                <w:highlight w:val="none"/>
              </w:rPr>
            </w:pPr>
          </w:p>
        </w:tc>
        <w:tc>
          <w:tcPr>
            <w:tcW w:w="1115" w:type="dxa"/>
          </w:tcPr>
          <w:p w14:paraId="368538AF">
            <w:pPr>
              <w:autoSpaceDE w:val="0"/>
              <w:autoSpaceDN w:val="0"/>
              <w:adjustRightInd w:val="0"/>
              <w:spacing w:line="420" w:lineRule="exact"/>
              <w:rPr>
                <w:rFonts w:ascii="宋体" w:hAnsi="宋体" w:eastAsia="宋体" w:cs="宋体"/>
                <w:color w:val="auto"/>
                <w:sz w:val="24"/>
                <w:highlight w:val="none"/>
              </w:rPr>
            </w:pPr>
          </w:p>
        </w:tc>
        <w:tc>
          <w:tcPr>
            <w:tcW w:w="1116" w:type="dxa"/>
          </w:tcPr>
          <w:p w14:paraId="2FDC5F6D">
            <w:pPr>
              <w:autoSpaceDE w:val="0"/>
              <w:autoSpaceDN w:val="0"/>
              <w:adjustRightInd w:val="0"/>
              <w:spacing w:line="420" w:lineRule="exact"/>
              <w:rPr>
                <w:rFonts w:ascii="宋体" w:hAnsi="宋体" w:eastAsia="宋体" w:cs="宋体"/>
                <w:color w:val="auto"/>
                <w:sz w:val="24"/>
                <w:highlight w:val="none"/>
              </w:rPr>
            </w:pPr>
          </w:p>
        </w:tc>
      </w:tr>
      <w:tr w14:paraId="44D9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F45F697">
            <w:pPr>
              <w:autoSpaceDE w:val="0"/>
              <w:autoSpaceDN w:val="0"/>
              <w:adjustRightInd w:val="0"/>
              <w:spacing w:line="420" w:lineRule="exact"/>
              <w:rPr>
                <w:rFonts w:ascii="宋体" w:hAnsi="宋体" w:cs="宋体"/>
                <w:color w:val="auto"/>
                <w:sz w:val="24"/>
                <w:highlight w:val="none"/>
              </w:rPr>
            </w:pPr>
          </w:p>
        </w:tc>
        <w:tc>
          <w:tcPr>
            <w:tcW w:w="1115" w:type="dxa"/>
          </w:tcPr>
          <w:p w14:paraId="6A12043A">
            <w:pPr>
              <w:autoSpaceDE w:val="0"/>
              <w:autoSpaceDN w:val="0"/>
              <w:adjustRightInd w:val="0"/>
              <w:spacing w:line="420" w:lineRule="exact"/>
              <w:rPr>
                <w:rFonts w:ascii="宋体" w:hAnsi="宋体" w:cs="宋体"/>
                <w:color w:val="auto"/>
                <w:sz w:val="24"/>
                <w:highlight w:val="none"/>
              </w:rPr>
            </w:pPr>
          </w:p>
        </w:tc>
        <w:tc>
          <w:tcPr>
            <w:tcW w:w="1115" w:type="dxa"/>
          </w:tcPr>
          <w:p w14:paraId="50390B32">
            <w:pPr>
              <w:autoSpaceDE w:val="0"/>
              <w:autoSpaceDN w:val="0"/>
              <w:adjustRightInd w:val="0"/>
              <w:spacing w:line="420" w:lineRule="exact"/>
              <w:rPr>
                <w:rFonts w:ascii="宋体" w:hAnsi="宋体" w:cs="宋体"/>
                <w:color w:val="auto"/>
                <w:sz w:val="24"/>
                <w:highlight w:val="none"/>
              </w:rPr>
            </w:pPr>
          </w:p>
        </w:tc>
        <w:tc>
          <w:tcPr>
            <w:tcW w:w="1115" w:type="dxa"/>
          </w:tcPr>
          <w:p w14:paraId="376F6D1C">
            <w:pPr>
              <w:autoSpaceDE w:val="0"/>
              <w:autoSpaceDN w:val="0"/>
              <w:adjustRightInd w:val="0"/>
              <w:spacing w:line="420" w:lineRule="exact"/>
              <w:rPr>
                <w:rFonts w:ascii="宋体" w:hAnsi="宋体" w:cs="宋体"/>
                <w:color w:val="auto"/>
                <w:sz w:val="24"/>
                <w:highlight w:val="none"/>
              </w:rPr>
            </w:pPr>
          </w:p>
        </w:tc>
        <w:tc>
          <w:tcPr>
            <w:tcW w:w="1115" w:type="dxa"/>
          </w:tcPr>
          <w:p w14:paraId="48B98CE2">
            <w:pPr>
              <w:autoSpaceDE w:val="0"/>
              <w:autoSpaceDN w:val="0"/>
              <w:adjustRightInd w:val="0"/>
              <w:spacing w:line="420" w:lineRule="exact"/>
              <w:rPr>
                <w:rFonts w:ascii="宋体" w:hAnsi="宋体" w:cs="宋体"/>
                <w:color w:val="auto"/>
                <w:sz w:val="24"/>
                <w:highlight w:val="none"/>
              </w:rPr>
            </w:pPr>
          </w:p>
        </w:tc>
        <w:tc>
          <w:tcPr>
            <w:tcW w:w="1115" w:type="dxa"/>
          </w:tcPr>
          <w:p w14:paraId="115E9F68">
            <w:pPr>
              <w:autoSpaceDE w:val="0"/>
              <w:autoSpaceDN w:val="0"/>
              <w:adjustRightInd w:val="0"/>
              <w:spacing w:line="420" w:lineRule="exact"/>
              <w:rPr>
                <w:rFonts w:ascii="宋体" w:hAnsi="宋体" w:cs="宋体"/>
                <w:color w:val="auto"/>
                <w:sz w:val="24"/>
                <w:highlight w:val="none"/>
              </w:rPr>
            </w:pPr>
          </w:p>
        </w:tc>
        <w:tc>
          <w:tcPr>
            <w:tcW w:w="1115" w:type="dxa"/>
          </w:tcPr>
          <w:p w14:paraId="7616226F">
            <w:pPr>
              <w:autoSpaceDE w:val="0"/>
              <w:autoSpaceDN w:val="0"/>
              <w:adjustRightInd w:val="0"/>
              <w:spacing w:line="420" w:lineRule="exact"/>
              <w:rPr>
                <w:rFonts w:ascii="宋体" w:hAnsi="宋体" w:cs="宋体"/>
                <w:color w:val="auto"/>
                <w:sz w:val="24"/>
                <w:highlight w:val="none"/>
              </w:rPr>
            </w:pPr>
          </w:p>
        </w:tc>
        <w:tc>
          <w:tcPr>
            <w:tcW w:w="1116" w:type="dxa"/>
          </w:tcPr>
          <w:p w14:paraId="4A33EB5E">
            <w:pPr>
              <w:autoSpaceDE w:val="0"/>
              <w:autoSpaceDN w:val="0"/>
              <w:adjustRightInd w:val="0"/>
              <w:spacing w:line="420" w:lineRule="exact"/>
              <w:rPr>
                <w:rFonts w:ascii="宋体" w:hAnsi="宋体" w:cs="宋体"/>
                <w:color w:val="auto"/>
                <w:sz w:val="24"/>
                <w:highlight w:val="none"/>
              </w:rPr>
            </w:pPr>
          </w:p>
        </w:tc>
      </w:tr>
      <w:tr w14:paraId="533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0D784A6">
            <w:pPr>
              <w:autoSpaceDE w:val="0"/>
              <w:autoSpaceDN w:val="0"/>
              <w:adjustRightInd w:val="0"/>
              <w:spacing w:line="420" w:lineRule="exact"/>
              <w:rPr>
                <w:rFonts w:ascii="宋体" w:hAnsi="宋体" w:cs="宋体"/>
                <w:color w:val="auto"/>
                <w:sz w:val="24"/>
                <w:highlight w:val="none"/>
              </w:rPr>
            </w:pPr>
          </w:p>
        </w:tc>
        <w:tc>
          <w:tcPr>
            <w:tcW w:w="1115" w:type="dxa"/>
          </w:tcPr>
          <w:p w14:paraId="4708B796">
            <w:pPr>
              <w:autoSpaceDE w:val="0"/>
              <w:autoSpaceDN w:val="0"/>
              <w:adjustRightInd w:val="0"/>
              <w:spacing w:line="420" w:lineRule="exact"/>
              <w:rPr>
                <w:rFonts w:ascii="宋体" w:hAnsi="宋体" w:cs="宋体"/>
                <w:color w:val="auto"/>
                <w:sz w:val="24"/>
                <w:highlight w:val="none"/>
              </w:rPr>
            </w:pPr>
          </w:p>
        </w:tc>
        <w:tc>
          <w:tcPr>
            <w:tcW w:w="1115" w:type="dxa"/>
          </w:tcPr>
          <w:p w14:paraId="3477C2D2">
            <w:pPr>
              <w:autoSpaceDE w:val="0"/>
              <w:autoSpaceDN w:val="0"/>
              <w:adjustRightInd w:val="0"/>
              <w:spacing w:line="420" w:lineRule="exact"/>
              <w:rPr>
                <w:rFonts w:ascii="宋体" w:hAnsi="宋体" w:cs="宋体"/>
                <w:color w:val="auto"/>
                <w:sz w:val="24"/>
                <w:highlight w:val="none"/>
              </w:rPr>
            </w:pPr>
          </w:p>
        </w:tc>
        <w:tc>
          <w:tcPr>
            <w:tcW w:w="1115" w:type="dxa"/>
          </w:tcPr>
          <w:p w14:paraId="7179B725">
            <w:pPr>
              <w:autoSpaceDE w:val="0"/>
              <w:autoSpaceDN w:val="0"/>
              <w:adjustRightInd w:val="0"/>
              <w:spacing w:line="420" w:lineRule="exact"/>
              <w:rPr>
                <w:rFonts w:ascii="宋体" w:hAnsi="宋体" w:cs="宋体"/>
                <w:color w:val="auto"/>
                <w:sz w:val="24"/>
                <w:highlight w:val="none"/>
              </w:rPr>
            </w:pPr>
          </w:p>
        </w:tc>
        <w:tc>
          <w:tcPr>
            <w:tcW w:w="1115" w:type="dxa"/>
          </w:tcPr>
          <w:p w14:paraId="657403DF">
            <w:pPr>
              <w:autoSpaceDE w:val="0"/>
              <w:autoSpaceDN w:val="0"/>
              <w:adjustRightInd w:val="0"/>
              <w:spacing w:line="420" w:lineRule="exact"/>
              <w:rPr>
                <w:rFonts w:ascii="宋体" w:hAnsi="宋体" w:cs="宋体"/>
                <w:color w:val="auto"/>
                <w:sz w:val="24"/>
                <w:highlight w:val="none"/>
              </w:rPr>
            </w:pPr>
          </w:p>
        </w:tc>
        <w:tc>
          <w:tcPr>
            <w:tcW w:w="1115" w:type="dxa"/>
          </w:tcPr>
          <w:p w14:paraId="2EC55E8D">
            <w:pPr>
              <w:autoSpaceDE w:val="0"/>
              <w:autoSpaceDN w:val="0"/>
              <w:adjustRightInd w:val="0"/>
              <w:spacing w:line="420" w:lineRule="exact"/>
              <w:rPr>
                <w:rFonts w:ascii="宋体" w:hAnsi="宋体" w:cs="宋体"/>
                <w:color w:val="auto"/>
                <w:sz w:val="24"/>
                <w:highlight w:val="none"/>
              </w:rPr>
            </w:pPr>
          </w:p>
        </w:tc>
        <w:tc>
          <w:tcPr>
            <w:tcW w:w="1115" w:type="dxa"/>
          </w:tcPr>
          <w:p w14:paraId="64C90736">
            <w:pPr>
              <w:autoSpaceDE w:val="0"/>
              <w:autoSpaceDN w:val="0"/>
              <w:adjustRightInd w:val="0"/>
              <w:spacing w:line="420" w:lineRule="exact"/>
              <w:rPr>
                <w:rFonts w:ascii="宋体" w:hAnsi="宋体" w:cs="宋体"/>
                <w:color w:val="auto"/>
                <w:sz w:val="24"/>
                <w:highlight w:val="none"/>
              </w:rPr>
            </w:pPr>
          </w:p>
        </w:tc>
        <w:tc>
          <w:tcPr>
            <w:tcW w:w="1116" w:type="dxa"/>
          </w:tcPr>
          <w:p w14:paraId="0F26811B">
            <w:pPr>
              <w:autoSpaceDE w:val="0"/>
              <w:autoSpaceDN w:val="0"/>
              <w:adjustRightInd w:val="0"/>
              <w:spacing w:line="420" w:lineRule="exact"/>
              <w:rPr>
                <w:rFonts w:ascii="宋体" w:hAnsi="宋体" w:cs="宋体"/>
                <w:color w:val="auto"/>
                <w:sz w:val="24"/>
                <w:highlight w:val="none"/>
              </w:rPr>
            </w:pPr>
          </w:p>
        </w:tc>
      </w:tr>
      <w:tr w14:paraId="0A3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7E474AF4">
            <w:pPr>
              <w:autoSpaceDE w:val="0"/>
              <w:autoSpaceDN w:val="0"/>
              <w:adjustRightInd w:val="0"/>
              <w:spacing w:line="420" w:lineRule="exact"/>
              <w:rPr>
                <w:rFonts w:ascii="宋体" w:hAnsi="宋体" w:cs="宋体"/>
                <w:color w:val="auto"/>
                <w:sz w:val="24"/>
                <w:highlight w:val="none"/>
              </w:rPr>
            </w:pPr>
          </w:p>
        </w:tc>
        <w:tc>
          <w:tcPr>
            <w:tcW w:w="1115" w:type="dxa"/>
          </w:tcPr>
          <w:p w14:paraId="10137E76">
            <w:pPr>
              <w:autoSpaceDE w:val="0"/>
              <w:autoSpaceDN w:val="0"/>
              <w:adjustRightInd w:val="0"/>
              <w:spacing w:line="420" w:lineRule="exact"/>
              <w:rPr>
                <w:rFonts w:ascii="宋体" w:hAnsi="宋体" w:cs="宋体"/>
                <w:color w:val="auto"/>
                <w:sz w:val="24"/>
                <w:highlight w:val="none"/>
              </w:rPr>
            </w:pPr>
          </w:p>
        </w:tc>
        <w:tc>
          <w:tcPr>
            <w:tcW w:w="1115" w:type="dxa"/>
          </w:tcPr>
          <w:p w14:paraId="56E7263E">
            <w:pPr>
              <w:autoSpaceDE w:val="0"/>
              <w:autoSpaceDN w:val="0"/>
              <w:adjustRightInd w:val="0"/>
              <w:spacing w:line="420" w:lineRule="exact"/>
              <w:rPr>
                <w:rFonts w:ascii="宋体" w:hAnsi="宋体" w:cs="宋体"/>
                <w:color w:val="auto"/>
                <w:sz w:val="24"/>
                <w:highlight w:val="none"/>
              </w:rPr>
            </w:pPr>
          </w:p>
        </w:tc>
        <w:tc>
          <w:tcPr>
            <w:tcW w:w="1115" w:type="dxa"/>
          </w:tcPr>
          <w:p w14:paraId="7CB30D42">
            <w:pPr>
              <w:autoSpaceDE w:val="0"/>
              <w:autoSpaceDN w:val="0"/>
              <w:adjustRightInd w:val="0"/>
              <w:spacing w:line="420" w:lineRule="exact"/>
              <w:rPr>
                <w:rFonts w:ascii="宋体" w:hAnsi="宋体" w:cs="宋体"/>
                <w:color w:val="auto"/>
                <w:sz w:val="24"/>
                <w:highlight w:val="none"/>
              </w:rPr>
            </w:pPr>
          </w:p>
        </w:tc>
        <w:tc>
          <w:tcPr>
            <w:tcW w:w="1115" w:type="dxa"/>
          </w:tcPr>
          <w:p w14:paraId="7C109D07">
            <w:pPr>
              <w:autoSpaceDE w:val="0"/>
              <w:autoSpaceDN w:val="0"/>
              <w:adjustRightInd w:val="0"/>
              <w:spacing w:line="420" w:lineRule="exact"/>
              <w:rPr>
                <w:rFonts w:ascii="宋体" w:hAnsi="宋体" w:cs="宋体"/>
                <w:color w:val="auto"/>
                <w:sz w:val="24"/>
                <w:highlight w:val="none"/>
              </w:rPr>
            </w:pPr>
          </w:p>
        </w:tc>
        <w:tc>
          <w:tcPr>
            <w:tcW w:w="1115" w:type="dxa"/>
          </w:tcPr>
          <w:p w14:paraId="2464FFB8">
            <w:pPr>
              <w:autoSpaceDE w:val="0"/>
              <w:autoSpaceDN w:val="0"/>
              <w:adjustRightInd w:val="0"/>
              <w:spacing w:line="420" w:lineRule="exact"/>
              <w:rPr>
                <w:rFonts w:ascii="宋体" w:hAnsi="宋体" w:cs="宋体"/>
                <w:color w:val="auto"/>
                <w:sz w:val="24"/>
                <w:highlight w:val="none"/>
              </w:rPr>
            </w:pPr>
          </w:p>
        </w:tc>
        <w:tc>
          <w:tcPr>
            <w:tcW w:w="1115" w:type="dxa"/>
          </w:tcPr>
          <w:p w14:paraId="51B2F828">
            <w:pPr>
              <w:autoSpaceDE w:val="0"/>
              <w:autoSpaceDN w:val="0"/>
              <w:adjustRightInd w:val="0"/>
              <w:spacing w:line="420" w:lineRule="exact"/>
              <w:rPr>
                <w:rFonts w:ascii="宋体" w:hAnsi="宋体" w:cs="宋体"/>
                <w:color w:val="auto"/>
                <w:sz w:val="24"/>
                <w:highlight w:val="none"/>
              </w:rPr>
            </w:pPr>
          </w:p>
        </w:tc>
        <w:tc>
          <w:tcPr>
            <w:tcW w:w="1116" w:type="dxa"/>
          </w:tcPr>
          <w:p w14:paraId="59E6E6DA">
            <w:pPr>
              <w:autoSpaceDE w:val="0"/>
              <w:autoSpaceDN w:val="0"/>
              <w:adjustRightInd w:val="0"/>
              <w:spacing w:line="420" w:lineRule="exact"/>
              <w:rPr>
                <w:rFonts w:ascii="宋体" w:hAnsi="宋体" w:cs="宋体"/>
                <w:color w:val="auto"/>
                <w:sz w:val="24"/>
                <w:highlight w:val="none"/>
              </w:rPr>
            </w:pPr>
          </w:p>
        </w:tc>
      </w:tr>
      <w:tr w14:paraId="2174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688FE259">
            <w:pPr>
              <w:autoSpaceDE w:val="0"/>
              <w:autoSpaceDN w:val="0"/>
              <w:adjustRightInd w:val="0"/>
              <w:spacing w:line="420" w:lineRule="exact"/>
              <w:rPr>
                <w:rFonts w:ascii="宋体" w:hAnsi="宋体" w:cs="宋体"/>
                <w:color w:val="auto"/>
                <w:sz w:val="24"/>
                <w:highlight w:val="none"/>
              </w:rPr>
            </w:pPr>
          </w:p>
        </w:tc>
        <w:tc>
          <w:tcPr>
            <w:tcW w:w="1115" w:type="dxa"/>
          </w:tcPr>
          <w:p w14:paraId="72EB5BB4">
            <w:pPr>
              <w:autoSpaceDE w:val="0"/>
              <w:autoSpaceDN w:val="0"/>
              <w:adjustRightInd w:val="0"/>
              <w:spacing w:line="420" w:lineRule="exact"/>
              <w:rPr>
                <w:rFonts w:ascii="宋体" w:hAnsi="宋体" w:cs="宋体"/>
                <w:color w:val="auto"/>
                <w:sz w:val="24"/>
                <w:highlight w:val="none"/>
              </w:rPr>
            </w:pPr>
          </w:p>
        </w:tc>
        <w:tc>
          <w:tcPr>
            <w:tcW w:w="1115" w:type="dxa"/>
          </w:tcPr>
          <w:p w14:paraId="4A29ED65">
            <w:pPr>
              <w:autoSpaceDE w:val="0"/>
              <w:autoSpaceDN w:val="0"/>
              <w:adjustRightInd w:val="0"/>
              <w:spacing w:line="420" w:lineRule="exact"/>
              <w:rPr>
                <w:rFonts w:ascii="宋体" w:hAnsi="宋体" w:cs="宋体"/>
                <w:color w:val="auto"/>
                <w:sz w:val="24"/>
                <w:highlight w:val="none"/>
              </w:rPr>
            </w:pPr>
          </w:p>
        </w:tc>
        <w:tc>
          <w:tcPr>
            <w:tcW w:w="1115" w:type="dxa"/>
          </w:tcPr>
          <w:p w14:paraId="45850FD6">
            <w:pPr>
              <w:autoSpaceDE w:val="0"/>
              <w:autoSpaceDN w:val="0"/>
              <w:adjustRightInd w:val="0"/>
              <w:spacing w:line="420" w:lineRule="exact"/>
              <w:rPr>
                <w:rFonts w:ascii="宋体" w:hAnsi="宋体" w:cs="宋体"/>
                <w:color w:val="auto"/>
                <w:sz w:val="24"/>
                <w:highlight w:val="none"/>
              </w:rPr>
            </w:pPr>
          </w:p>
        </w:tc>
        <w:tc>
          <w:tcPr>
            <w:tcW w:w="1115" w:type="dxa"/>
          </w:tcPr>
          <w:p w14:paraId="1CBD5DE9">
            <w:pPr>
              <w:autoSpaceDE w:val="0"/>
              <w:autoSpaceDN w:val="0"/>
              <w:adjustRightInd w:val="0"/>
              <w:spacing w:line="420" w:lineRule="exact"/>
              <w:rPr>
                <w:rFonts w:ascii="宋体" w:hAnsi="宋体" w:cs="宋体"/>
                <w:color w:val="auto"/>
                <w:sz w:val="24"/>
                <w:highlight w:val="none"/>
              </w:rPr>
            </w:pPr>
          </w:p>
        </w:tc>
        <w:tc>
          <w:tcPr>
            <w:tcW w:w="1115" w:type="dxa"/>
          </w:tcPr>
          <w:p w14:paraId="27C86CF7">
            <w:pPr>
              <w:autoSpaceDE w:val="0"/>
              <w:autoSpaceDN w:val="0"/>
              <w:adjustRightInd w:val="0"/>
              <w:spacing w:line="420" w:lineRule="exact"/>
              <w:rPr>
                <w:rFonts w:ascii="宋体" w:hAnsi="宋体" w:cs="宋体"/>
                <w:color w:val="auto"/>
                <w:sz w:val="24"/>
                <w:highlight w:val="none"/>
              </w:rPr>
            </w:pPr>
          </w:p>
        </w:tc>
        <w:tc>
          <w:tcPr>
            <w:tcW w:w="1115" w:type="dxa"/>
          </w:tcPr>
          <w:p w14:paraId="4F0917D8">
            <w:pPr>
              <w:autoSpaceDE w:val="0"/>
              <w:autoSpaceDN w:val="0"/>
              <w:adjustRightInd w:val="0"/>
              <w:spacing w:line="420" w:lineRule="exact"/>
              <w:rPr>
                <w:rFonts w:ascii="宋体" w:hAnsi="宋体" w:cs="宋体"/>
                <w:color w:val="auto"/>
                <w:sz w:val="24"/>
                <w:highlight w:val="none"/>
              </w:rPr>
            </w:pPr>
          </w:p>
        </w:tc>
        <w:tc>
          <w:tcPr>
            <w:tcW w:w="1116" w:type="dxa"/>
          </w:tcPr>
          <w:p w14:paraId="2AE4AAB0">
            <w:pPr>
              <w:autoSpaceDE w:val="0"/>
              <w:autoSpaceDN w:val="0"/>
              <w:adjustRightInd w:val="0"/>
              <w:spacing w:line="420" w:lineRule="exact"/>
              <w:rPr>
                <w:rFonts w:ascii="宋体" w:hAnsi="宋体" w:cs="宋体"/>
                <w:color w:val="auto"/>
                <w:sz w:val="24"/>
                <w:highlight w:val="none"/>
              </w:rPr>
            </w:pPr>
          </w:p>
        </w:tc>
      </w:tr>
      <w:tr w14:paraId="22B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113" w:type="dxa"/>
          </w:tcPr>
          <w:p w14:paraId="1CCF96CA">
            <w:pPr>
              <w:autoSpaceDE w:val="0"/>
              <w:autoSpaceDN w:val="0"/>
              <w:adjustRightInd w:val="0"/>
              <w:spacing w:line="420" w:lineRule="exact"/>
              <w:rPr>
                <w:rFonts w:ascii="宋体" w:hAnsi="宋体" w:cs="宋体"/>
                <w:color w:val="auto"/>
                <w:sz w:val="24"/>
                <w:highlight w:val="none"/>
              </w:rPr>
            </w:pPr>
          </w:p>
        </w:tc>
        <w:tc>
          <w:tcPr>
            <w:tcW w:w="1115" w:type="dxa"/>
          </w:tcPr>
          <w:p w14:paraId="62D89368">
            <w:pPr>
              <w:autoSpaceDE w:val="0"/>
              <w:autoSpaceDN w:val="0"/>
              <w:adjustRightInd w:val="0"/>
              <w:spacing w:line="420" w:lineRule="exact"/>
              <w:rPr>
                <w:rFonts w:ascii="宋体" w:hAnsi="宋体" w:cs="宋体"/>
                <w:color w:val="auto"/>
                <w:sz w:val="24"/>
                <w:highlight w:val="none"/>
              </w:rPr>
            </w:pPr>
          </w:p>
        </w:tc>
        <w:tc>
          <w:tcPr>
            <w:tcW w:w="1115" w:type="dxa"/>
          </w:tcPr>
          <w:p w14:paraId="299BD652">
            <w:pPr>
              <w:autoSpaceDE w:val="0"/>
              <w:autoSpaceDN w:val="0"/>
              <w:adjustRightInd w:val="0"/>
              <w:spacing w:line="420" w:lineRule="exact"/>
              <w:rPr>
                <w:rFonts w:ascii="宋体" w:hAnsi="宋体" w:cs="宋体"/>
                <w:color w:val="auto"/>
                <w:sz w:val="24"/>
                <w:highlight w:val="none"/>
              </w:rPr>
            </w:pPr>
          </w:p>
        </w:tc>
        <w:tc>
          <w:tcPr>
            <w:tcW w:w="1115" w:type="dxa"/>
          </w:tcPr>
          <w:p w14:paraId="5A79E3F3">
            <w:pPr>
              <w:autoSpaceDE w:val="0"/>
              <w:autoSpaceDN w:val="0"/>
              <w:adjustRightInd w:val="0"/>
              <w:spacing w:line="420" w:lineRule="exact"/>
              <w:rPr>
                <w:rFonts w:ascii="宋体" w:hAnsi="宋体" w:cs="宋体"/>
                <w:color w:val="auto"/>
                <w:sz w:val="24"/>
                <w:highlight w:val="none"/>
              </w:rPr>
            </w:pPr>
          </w:p>
        </w:tc>
        <w:tc>
          <w:tcPr>
            <w:tcW w:w="1115" w:type="dxa"/>
          </w:tcPr>
          <w:p w14:paraId="112ACB27">
            <w:pPr>
              <w:autoSpaceDE w:val="0"/>
              <w:autoSpaceDN w:val="0"/>
              <w:adjustRightInd w:val="0"/>
              <w:spacing w:line="420" w:lineRule="exact"/>
              <w:rPr>
                <w:rFonts w:ascii="宋体" w:hAnsi="宋体" w:cs="宋体"/>
                <w:color w:val="auto"/>
                <w:sz w:val="24"/>
                <w:highlight w:val="none"/>
              </w:rPr>
            </w:pPr>
          </w:p>
        </w:tc>
        <w:tc>
          <w:tcPr>
            <w:tcW w:w="1115" w:type="dxa"/>
          </w:tcPr>
          <w:p w14:paraId="31C063E5">
            <w:pPr>
              <w:autoSpaceDE w:val="0"/>
              <w:autoSpaceDN w:val="0"/>
              <w:adjustRightInd w:val="0"/>
              <w:spacing w:line="420" w:lineRule="exact"/>
              <w:rPr>
                <w:rFonts w:ascii="宋体" w:hAnsi="宋体" w:cs="宋体"/>
                <w:color w:val="auto"/>
                <w:sz w:val="24"/>
                <w:highlight w:val="none"/>
              </w:rPr>
            </w:pPr>
          </w:p>
        </w:tc>
        <w:tc>
          <w:tcPr>
            <w:tcW w:w="1115" w:type="dxa"/>
          </w:tcPr>
          <w:p w14:paraId="3CC52208">
            <w:pPr>
              <w:autoSpaceDE w:val="0"/>
              <w:autoSpaceDN w:val="0"/>
              <w:adjustRightInd w:val="0"/>
              <w:spacing w:line="420" w:lineRule="exact"/>
              <w:rPr>
                <w:rFonts w:ascii="宋体" w:hAnsi="宋体" w:cs="宋体"/>
                <w:color w:val="auto"/>
                <w:sz w:val="24"/>
                <w:highlight w:val="none"/>
              </w:rPr>
            </w:pPr>
          </w:p>
        </w:tc>
        <w:tc>
          <w:tcPr>
            <w:tcW w:w="1116" w:type="dxa"/>
          </w:tcPr>
          <w:p w14:paraId="71B75E93">
            <w:pPr>
              <w:autoSpaceDE w:val="0"/>
              <w:autoSpaceDN w:val="0"/>
              <w:adjustRightInd w:val="0"/>
              <w:spacing w:line="420" w:lineRule="exact"/>
              <w:rPr>
                <w:rFonts w:ascii="宋体" w:hAnsi="宋体" w:cs="宋体"/>
                <w:color w:val="auto"/>
                <w:sz w:val="24"/>
                <w:highlight w:val="none"/>
              </w:rPr>
            </w:pPr>
          </w:p>
        </w:tc>
      </w:tr>
      <w:tr w14:paraId="731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113" w:type="dxa"/>
          </w:tcPr>
          <w:p w14:paraId="753525D4">
            <w:pPr>
              <w:autoSpaceDE w:val="0"/>
              <w:autoSpaceDN w:val="0"/>
              <w:adjustRightInd w:val="0"/>
              <w:spacing w:line="420" w:lineRule="exact"/>
              <w:rPr>
                <w:rFonts w:ascii="宋体" w:hAnsi="宋体" w:cs="宋体"/>
                <w:color w:val="auto"/>
                <w:sz w:val="24"/>
                <w:highlight w:val="none"/>
              </w:rPr>
            </w:pPr>
          </w:p>
        </w:tc>
        <w:tc>
          <w:tcPr>
            <w:tcW w:w="1115" w:type="dxa"/>
          </w:tcPr>
          <w:p w14:paraId="12F92F1A">
            <w:pPr>
              <w:autoSpaceDE w:val="0"/>
              <w:autoSpaceDN w:val="0"/>
              <w:adjustRightInd w:val="0"/>
              <w:spacing w:line="420" w:lineRule="exact"/>
              <w:rPr>
                <w:rFonts w:ascii="宋体" w:hAnsi="宋体" w:cs="宋体"/>
                <w:color w:val="auto"/>
                <w:sz w:val="24"/>
                <w:highlight w:val="none"/>
              </w:rPr>
            </w:pPr>
          </w:p>
        </w:tc>
        <w:tc>
          <w:tcPr>
            <w:tcW w:w="1115" w:type="dxa"/>
          </w:tcPr>
          <w:p w14:paraId="7C90C04C">
            <w:pPr>
              <w:autoSpaceDE w:val="0"/>
              <w:autoSpaceDN w:val="0"/>
              <w:adjustRightInd w:val="0"/>
              <w:spacing w:line="420" w:lineRule="exact"/>
              <w:rPr>
                <w:rFonts w:ascii="宋体" w:hAnsi="宋体" w:cs="宋体"/>
                <w:color w:val="auto"/>
                <w:sz w:val="24"/>
                <w:highlight w:val="none"/>
              </w:rPr>
            </w:pPr>
          </w:p>
        </w:tc>
        <w:tc>
          <w:tcPr>
            <w:tcW w:w="1115" w:type="dxa"/>
          </w:tcPr>
          <w:p w14:paraId="582E2B3A">
            <w:pPr>
              <w:autoSpaceDE w:val="0"/>
              <w:autoSpaceDN w:val="0"/>
              <w:adjustRightInd w:val="0"/>
              <w:spacing w:line="420" w:lineRule="exact"/>
              <w:rPr>
                <w:rFonts w:ascii="宋体" w:hAnsi="宋体" w:cs="宋体"/>
                <w:color w:val="auto"/>
                <w:sz w:val="24"/>
                <w:highlight w:val="none"/>
              </w:rPr>
            </w:pPr>
          </w:p>
        </w:tc>
        <w:tc>
          <w:tcPr>
            <w:tcW w:w="1115" w:type="dxa"/>
          </w:tcPr>
          <w:p w14:paraId="7E3D4794">
            <w:pPr>
              <w:autoSpaceDE w:val="0"/>
              <w:autoSpaceDN w:val="0"/>
              <w:adjustRightInd w:val="0"/>
              <w:spacing w:line="420" w:lineRule="exact"/>
              <w:rPr>
                <w:rFonts w:ascii="宋体" w:hAnsi="宋体" w:cs="宋体"/>
                <w:color w:val="auto"/>
                <w:sz w:val="24"/>
                <w:highlight w:val="none"/>
              </w:rPr>
            </w:pPr>
          </w:p>
        </w:tc>
        <w:tc>
          <w:tcPr>
            <w:tcW w:w="1115" w:type="dxa"/>
          </w:tcPr>
          <w:p w14:paraId="0FEFEE1B">
            <w:pPr>
              <w:autoSpaceDE w:val="0"/>
              <w:autoSpaceDN w:val="0"/>
              <w:adjustRightInd w:val="0"/>
              <w:spacing w:line="420" w:lineRule="exact"/>
              <w:rPr>
                <w:rFonts w:ascii="宋体" w:hAnsi="宋体" w:cs="宋体"/>
                <w:color w:val="auto"/>
                <w:sz w:val="24"/>
                <w:highlight w:val="none"/>
              </w:rPr>
            </w:pPr>
          </w:p>
        </w:tc>
        <w:tc>
          <w:tcPr>
            <w:tcW w:w="1115" w:type="dxa"/>
          </w:tcPr>
          <w:p w14:paraId="028E46AC">
            <w:pPr>
              <w:autoSpaceDE w:val="0"/>
              <w:autoSpaceDN w:val="0"/>
              <w:adjustRightInd w:val="0"/>
              <w:spacing w:line="420" w:lineRule="exact"/>
              <w:rPr>
                <w:rFonts w:ascii="宋体" w:hAnsi="宋体" w:cs="宋体"/>
                <w:color w:val="auto"/>
                <w:sz w:val="24"/>
                <w:highlight w:val="none"/>
              </w:rPr>
            </w:pPr>
          </w:p>
        </w:tc>
        <w:tc>
          <w:tcPr>
            <w:tcW w:w="1116" w:type="dxa"/>
          </w:tcPr>
          <w:p w14:paraId="2739E531">
            <w:pPr>
              <w:autoSpaceDE w:val="0"/>
              <w:autoSpaceDN w:val="0"/>
              <w:adjustRightInd w:val="0"/>
              <w:spacing w:line="420" w:lineRule="exact"/>
              <w:rPr>
                <w:rFonts w:ascii="宋体" w:hAnsi="宋体" w:cs="宋体"/>
                <w:color w:val="auto"/>
                <w:sz w:val="24"/>
                <w:highlight w:val="none"/>
              </w:rPr>
            </w:pPr>
          </w:p>
        </w:tc>
      </w:tr>
    </w:tbl>
    <w:p w14:paraId="50E91412">
      <w:pPr>
        <w:spacing w:line="300" w:lineRule="auto"/>
        <w:rPr>
          <w:rFonts w:ascii="宋体" w:hAnsi="宋体" w:cs="宋体"/>
          <w:b/>
          <w:color w:val="auto"/>
          <w:spacing w:val="20"/>
          <w:kern w:val="0"/>
          <w:sz w:val="24"/>
          <w:highlight w:val="none"/>
        </w:rPr>
      </w:pPr>
    </w:p>
    <w:p w14:paraId="18B3D447">
      <w:pPr>
        <w:autoSpaceDE w:val="0"/>
        <w:autoSpaceDN w:val="0"/>
        <w:adjustRightInd w:val="0"/>
        <w:spacing w:line="420" w:lineRule="exact"/>
        <w:rPr>
          <w:rFonts w:ascii="黑体" w:hAnsi="黑体" w:eastAsia="黑体" w:cs="黑体"/>
          <w:b/>
          <w:bCs/>
          <w:color w:val="auto"/>
          <w:sz w:val="28"/>
          <w:szCs w:val="28"/>
          <w:highlight w:val="none"/>
        </w:rPr>
      </w:pPr>
    </w:p>
    <w:p w14:paraId="45E3642F">
      <w:pPr>
        <w:autoSpaceDE w:val="0"/>
        <w:autoSpaceDN w:val="0"/>
        <w:adjustRightInd w:val="0"/>
        <w:spacing w:line="420" w:lineRule="exact"/>
        <w:rPr>
          <w:rFonts w:ascii="黑体" w:hAnsi="黑体" w:eastAsia="黑体" w:cs="黑体"/>
          <w:b/>
          <w:bCs/>
          <w:color w:val="auto"/>
          <w:sz w:val="28"/>
          <w:szCs w:val="28"/>
          <w:highlight w:val="none"/>
        </w:rPr>
      </w:pPr>
    </w:p>
    <w:p w14:paraId="3F874859">
      <w:pPr>
        <w:autoSpaceDE w:val="0"/>
        <w:autoSpaceDN w:val="0"/>
        <w:adjustRightInd w:val="0"/>
        <w:spacing w:line="420" w:lineRule="exact"/>
        <w:rPr>
          <w:rFonts w:ascii="黑体" w:hAnsi="黑体" w:eastAsia="黑体" w:cs="黑体"/>
          <w:b/>
          <w:bCs/>
          <w:color w:val="auto"/>
          <w:sz w:val="28"/>
          <w:szCs w:val="28"/>
          <w:highlight w:val="none"/>
        </w:rPr>
      </w:pPr>
    </w:p>
    <w:p w14:paraId="43EF600A">
      <w:pPr>
        <w:autoSpaceDE w:val="0"/>
        <w:autoSpaceDN w:val="0"/>
        <w:adjustRightInd w:val="0"/>
        <w:spacing w:line="420" w:lineRule="exact"/>
        <w:rPr>
          <w:rFonts w:ascii="黑体" w:hAnsi="黑体" w:eastAsia="黑体" w:cs="黑体"/>
          <w:b/>
          <w:bCs/>
          <w:color w:val="auto"/>
          <w:sz w:val="28"/>
          <w:szCs w:val="28"/>
          <w:highlight w:val="none"/>
        </w:rPr>
      </w:pPr>
    </w:p>
    <w:p w14:paraId="51443414">
      <w:pPr>
        <w:autoSpaceDE w:val="0"/>
        <w:autoSpaceDN w:val="0"/>
        <w:adjustRightInd w:val="0"/>
        <w:spacing w:line="420" w:lineRule="exact"/>
        <w:rPr>
          <w:rFonts w:ascii="黑体" w:hAnsi="黑体" w:eastAsia="黑体" w:cs="黑体"/>
          <w:b/>
          <w:bCs/>
          <w:color w:val="auto"/>
          <w:sz w:val="28"/>
          <w:szCs w:val="28"/>
          <w:highlight w:val="none"/>
        </w:rPr>
      </w:pPr>
    </w:p>
    <w:p w14:paraId="408EB1F1">
      <w:pPr>
        <w:autoSpaceDE w:val="0"/>
        <w:autoSpaceDN w:val="0"/>
        <w:adjustRightInd w:val="0"/>
        <w:spacing w:line="420" w:lineRule="exact"/>
        <w:rPr>
          <w:rFonts w:ascii="黑体" w:hAnsi="黑体" w:eastAsia="黑体" w:cs="黑体"/>
          <w:b/>
          <w:bCs/>
          <w:color w:val="auto"/>
          <w:sz w:val="28"/>
          <w:szCs w:val="28"/>
          <w:highlight w:val="none"/>
        </w:rPr>
      </w:pPr>
    </w:p>
    <w:p w14:paraId="3D4D39C0">
      <w:pPr>
        <w:autoSpaceDE w:val="0"/>
        <w:autoSpaceDN w:val="0"/>
        <w:adjustRightInd w:val="0"/>
        <w:spacing w:line="420" w:lineRule="exact"/>
        <w:rPr>
          <w:rFonts w:ascii="黑体" w:hAnsi="黑体" w:eastAsia="黑体" w:cs="黑体"/>
          <w:b/>
          <w:bCs/>
          <w:color w:val="auto"/>
          <w:sz w:val="28"/>
          <w:szCs w:val="28"/>
          <w:highlight w:val="none"/>
        </w:rPr>
      </w:pPr>
    </w:p>
    <w:p w14:paraId="56AD545D">
      <w:pPr>
        <w:autoSpaceDE w:val="0"/>
        <w:autoSpaceDN w:val="0"/>
        <w:adjustRightInd w:val="0"/>
        <w:spacing w:line="420" w:lineRule="exact"/>
        <w:rPr>
          <w:rFonts w:ascii="黑体" w:hAnsi="黑体" w:eastAsia="黑体" w:cs="黑体"/>
          <w:b/>
          <w:bCs/>
          <w:color w:val="auto"/>
          <w:sz w:val="28"/>
          <w:szCs w:val="28"/>
          <w:highlight w:val="none"/>
        </w:rPr>
      </w:pPr>
    </w:p>
    <w:p w14:paraId="528A56EA">
      <w:pPr>
        <w:autoSpaceDE w:val="0"/>
        <w:autoSpaceDN w:val="0"/>
        <w:adjustRightInd w:val="0"/>
        <w:spacing w:line="420" w:lineRule="exact"/>
        <w:rPr>
          <w:rFonts w:ascii="黑体" w:hAnsi="黑体" w:eastAsia="黑体" w:cs="黑体"/>
          <w:b/>
          <w:bCs/>
          <w:color w:val="auto"/>
          <w:sz w:val="28"/>
          <w:szCs w:val="28"/>
          <w:highlight w:val="none"/>
        </w:rPr>
      </w:pPr>
    </w:p>
    <w:p w14:paraId="203534C3">
      <w:pPr>
        <w:autoSpaceDE w:val="0"/>
        <w:autoSpaceDN w:val="0"/>
        <w:adjustRightInd w:val="0"/>
        <w:spacing w:line="420" w:lineRule="exact"/>
        <w:rPr>
          <w:rFonts w:ascii="黑体" w:hAnsi="黑体" w:eastAsia="黑体" w:cs="黑体"/>
          <w:b/>
          <w:bCs/>
          <w:color w:val="auto"/>
          <w:sz w:val="28"/>
          <w:szCs w:val="28"/>
          <w:highlight w:val="none"/>
        </w:rPr>
      </w:pPr>
    </w:p>
    <w:p w14:paraId="3435E9F1">
      <w:pPr>
        <w:autoSpaceDE w:val="0"/>
        <w:autoSpaceDN w:val="0"/>
        <w:adjustRightInd w:val="0"/>
        <w:spacing w:line="420" w:lineRule="exact"/>
        <w:rPr>
          <w:rFonts w:ascii="黑体" w:hAnsi="黑体" w:eastAsia="黑体" w:cs="黑体"/>
          <w:b/>
          <w:bCs/>
          <w:color w:val="auto"/>
          <w:sz w:val="28"/>
          <w:szCs w:val="28"/>
          <w:highlight w:val="none"/>
        </w:rPr>
      </w:pPr>
    </w:p>
    <w:p w14:paraId="135C98DF">
      <w:pPr>
        <w:autoSpaceDE w:val="0"/>
        <w:autoSpaceDN w:val="0"/>
        <w:adjustRightInd w:val="0"/>
        <w:spacing w:line="420" w:lineRule="exact"/>
        <w:rPr>
          <w:rFonts w:ascii="黑体" w:hAnsi="黑体" w:eastAsia="黑体" w:cs="黑体"/>
          <w:b/>
          <w:bCs/>
          <w:color w:val="auto"/>
          <w:sz w:val="28"/>
          <w:szCs w:val="28"/>
          <w:highlight w:val="none"/>
        </w:rPr>
      </w:pPr>
    </w:p>
    <w:p w14:paraId="62616014">
      <w:pPr>
        <w:autoSpaceDE w:val="0"/>
        <w:autoSpaceDN w:val="0"/>
        <w:adjustRightInd w:val="0"/>
        <w:spacing w:line="420" w:lineRule="exact"/>
        <w:rPr>
          <w:rFonts w:ascii="黑体" w:hAnsi="黑体" w:eastAsia="黑体" w:cs="黑体"/>
          <w:b/>
          <w:bCs/>
          <w:color w:val="auto"/>
          <w:sz w:val="28"/>
          <w:szCs w:val="28"/>
          <w:highlight w:val="none"/>
        </w:rPr>
      </w:pPr>
    </w:p>
    <w:p w14:paraId="4CAFBA87">
      <w:pPr>
        <w:autoSpaceDE w:val="0"/>
        <w:autoSpaceDN w:val="0"/>
        <w:adjustRightInd w:val="0"/>
        <w:spacing w:line="420" w:lineRule="exact"/>
        <w:rPr>
          <w:rFonts w:ascii="黑体" w:hAnsi="黑体" w:eastAsia="黑体" w:cs="黑体"/>
          <w:b/>
          <w:bCs/>
          <w:color w:val="auto"/>
          <w:sz w:val="28"/>
          <w:szCs w:val="28"/>
          <w:highlight w:val="none"/>
        </w:rPr>
      </w:pPr>
    </w:p>
    <w:p w14:paraId="0C93B007">
      <w:pPr>
        <w:autoSpaceDE w:val="0"/>
        <w:autoSpaceDN w:val="0"/>
        <w:adjustRightInd w:val="0"/>
        <w:spacing w:line="420" w:lineRule="exact"/>
        <w:rPr>
          <w:rFonts w:ascii="黑体" w:hAnsi="黑体" w:eastAsia="黑体" w:cs="黑体"/>
          <w:b/>
          <w:bCs/>
          <w:color w:val="auto"/>
          <w:sz w:val="28"/>
          <w:szCs w:val="28"/>
          <w:highlight w:val="none"/>
        </w:rPr>
      </w:pPr>
    </w:p>
    <w:p w14:paraId="18D4AE00">
      <w:pPr>
        <w:autoSpaceDE w:val="0"/>
        <w:autoSpaceDN w:val="0"/>
        <w:adjustRightInd w:val="0"/>
        <w:spacing w:line="420" w:lineRule="exact"/>
        <w:rPr>
          <w:rFonts w:ascii="黑体" w:hAnsi="黑体" w:eastAsia="黑体" w:cs="黑体"/>
          <w:b/>
          <w:bCs/>
          <w:color w:val="auto"/>
          <w:sz w:val="28"/>
          <w:szCs w:val="28"/>
          <w:highlight w:val="none"/>
        </w:rPr>
      </w:pPr>
    </w:p>
    <w:p w14:paraId="3223E4FB">
      <w:pPr>
        <w:autoSpaceDE w:val="0"/>
        <w:autoSpaceDN w:val="0"/>
        <w:adjustRightInd w:val="0"/>
        <w:spacing w:line="420" w:lineRule="exact"/>
        <w:rPr>
          <w:rFonts w:ascii="黑体" w:hAnsi="黑体" w:eastAsia="黑体" w:cs="黑体"/>
          <w:b/>
          <w:bCs/>
          <w:color w:val="auto"/>
          <w:sz w:val="28"/>
          <w:szCs w:val="28"/>
          <w:highlight w:val="none"/>
        </w:rPr>
      </w:pPr>
    </w:p>
    <w:p w14:paraId="261446C1">
      <w:pPr>
        <w:autoSpaceDE w:val="0"/>
        <w:autoSpaceDN w:val="0"/>
        <w:adjustRightInd w:val="0"/>
        <w:spacing w:line="420" w:lineRule="exact"/>
        <w:rPr>
          <w:rFonts w:ascii="黑体" w:hAnsi="黑体" w:eastAsia="黑体" w:cs="黑体"/>
          <w:b/>
          <w:bCs/>
          <w:color w:val="auto"/>
          <w:sz w:val="28"/>
          <w:szCs w:val="28"/>
          <w:highlight w:val="none"/>
        </w:rPr>
      </w:pPr>
    </w:p>
    <w:p w14:paraId="72EB1E38">
      <w:pPr>
        <w:autoSpaceDE w:val="0"/>
        <w:autoSpaceDN w:val="0"/>
        <w:adjustRightInd w:val="0"/>
        <w:spacing w:line="420" w:lineRule="exact"/>
        <w:rPr>
          <w:rFonts w:ascii="黑体" w:hAnsi="黑体" w:eastAsia="黑体" w:cs="黑体"/>
          <w:b/>
          <w:bCs/>
          <w:color w:val="auto"/>
          <w:sz w:val="28"/>
          <w:szCs w:val="28"/>
          <w:highlight w:val="none"/>
        </w:rPr>
      </w:pPr>
    </w:p>
    <w:p w14:paraId="40F34ED1">
      <w:pPr>
        <w:autoSpaceDE w:val="0"/>
        <w:autoSpaceDN w:val="0"/>
        <w:adjustRightInd w:val="0"/>
        <w:spacing w:line="420" w:lineRule="exact"/>
        <w:rPr>
          <w:rFonts w:ascii="黑体" w:hAnsi="黑体" w:eastAsia="黑体" w:cs="黑体"/>
          <w:b/>
          <w:bCs/>
          <w:color w:val="auto"/>
          <w:sz w:val="28"/>
          <w:szCs w:val="28"/>
          <w:highlight w:val="none"/>
        </w:rPr>
      </w:pPr>
    </w:p>
    <w:p w14:paraId="51238729">
      <w:pPr>
        <w:autoSpaceDE w:val="0"/>
        <w:autoSpaceDN w:val="0"/>
        <w:adjustRightInd w:val="0"/>
        <w:spacing w:line="420" w:lineRule="exact"/>
        <w:rPr>
          <w:rFonts w:ascii="宋体" w:hAnsi="宋体" w:cs="宋体"/>
          <w:color w:val="auto"/>
          <w:sz w:val="28"/>
          <w:szCs w:val="28"/>
          <w:highlight w:val="none"/>
        </w:rPr>
      </w:pPr>
      <w:r>
        <w:rPr>
          <w:rFonts w:hint="eastAsia" w:ascii="宋体" w:hAnsi="宋体" w:cs="宋体"/>
          <w:color w:val="auto"/>
          <w:spacing w:val="20"/>
          <w:sz w:val="24"/>
          <w:highlight w:val="none"/>
        </w:rPr>
        <w:t xml:space="preserve">附表3          </w:t>
      </w:r>
      <w:r>
        <w:rPr>
          <w:rFonts w:hint="eastAsia" w:ascii="宋体" w:hAnsi="宋体" w:cs="宋体"/>
          <w:color w:val="auto"/>
          <w:sz w:val="28"/>
          <w:szCs w:val="28"/>
          <w:highlight w:val="none"/>
        </w:rPr>
        <w:t xml:space="preserve">  </w:t>
      </w:r>
    </w:p>
    <w:p w14:paraId="5B050490">
      <w:pPr>
        <w:autoSpaceDE w:val="0"/>
        <w:autoSpaceDN w:val="0"/>
        <w:adjustRightInd w:val="0"/>
        <w:spacing w:line="420" w:lineRule="exact"/>
        <w:rPr>
          <w:rFonts w:ascii="宋体" w:hAnsi="宋体" w:cs="宋体"/>
          <w:color w:val="auto"/>
          <w:sz w:val="28"/>
          <w:szCs w:val="28"/>
          <w:highlight w:val="none"/>
        </w:rPr>
      </w:pPr>
    </w:p>
    <w:p w14:paraId="6A8CEBE4">
      <w:pPr>
        <w:autoSpaceDE w:val="0"/>
        <w:autoSpaceDN w:val="0"/>
        <w:adjustRightInd w:val="0"/>
        <w:spacing w:line="420" w:lineRule="exact"/>
        <w:jc w:val="center"/>
        <w:rPr>
          <w:rFonts w:ascii="宋体" w:hAnsi="宋体" w:cs="宋体"/>
          <w:b/>
          <w:bCs/>
          <w:color w:val="auto"/>
          <w:spacing w:val="20"/>
          <w:sz w:val="28"/>
          <w:szCs w:val="28"/>
          <w:highlight w:val="none"/>
        </w:rPr>
      </w:pPr>
      <w:r>
        <w:rPr>
          <w:rFonts w:hint="eastAsia" w:ascii="宋体" w:hAnsi="宋体" w:cs="宋体"/>
          <w:b/>
          <w:bCs/>
          <w:color w:val="auto"/>
          <w:sz w:val="28"/>
          <w:szCs w:val="28"/>
          <w:highlight w:val="none"/>
        </w:rPr>
        <w:t>拟投入的主要施工机械设备表</w:t>
      </w:r>
    </w:p>
    <w:p w14:paraId="3B427307">
      <w:pPr>
        <w:autoSpaceDE w:val="0"/>
        <w:autoSpaceDN w:val="0"/>
        <w:adjustRightInd w:val="0"/>
        <w:spacing w:line="420" w:lineRule="exact"/>
        <w:rPr>
          <w:rFonts w:ascii="黑体" w:hAnsi="黑体" w:eastAsia="黑体" w:cs="黑体"/>
          <w:b/>
          <w:bCs/>
          <w:color w:val="auto"/>
          <w:sz w:val="28"/>
          <w:szCs w:val="28"/>
          <w:highlight w:val="none"/>
        </w:rPr>
      </w:pPr>
    </w:p>
    <w:p w14:paraId="7F43AE47">
      <w:pPr>
        <w:autoSpaceDE w:val="0"/>
        <w:autoSpaceDN w:val="0"/>
        <w:adjustRightInd w:val="0"/>
        <w:spacing w:line="420" w:lineRule="exact"/>
        <w:rPr>
          <w:rFonts w:ascii="宋体" w:hAnsi="宋体" w:cs="宋体"/>
          <w:color w:val="auto"/>
          <w:spacing w:val="20"/>
          <w:kern w:val="0"/>
          <w:sz w:val="24"/>
          <w:highlight w:val="none"/>
        </w:rPr>
      </w:pPr>
      <w:r>
        <w:rPr>
          <w:rFonts w:hint="eastAsia" w:ascii="黑体" w:hAnsi="黑体" w:eastAsia="黑体" w:cs="黑体"/>
          <w:color w:val="auto"/>
          <w:spacing w:val="20"/>
          <w:kern w:val="0"/>
          <w:sz w:val="24"/>
          <w:highlight w:val="none"/>
          <w:u w:val="single"/>
        </w:rPr>
        <w:t xml:space="preserve"> </w:t>
      </w:r>
      <w:r>
        <w:rPr>
          <w:rFonts w:hint="eastAsia" w:ascii="宋体" w:hAnsi="宋体" w:cs="宋体"/>
          <w:color w:val="auto"/>
          <w:spacing w:val="20"/>
          <w:kern w:val="0"/>
          <w:sz w:val="24"/>
          <w:highlight w:val="none"/>
          <w:u w:val="single"/>
        </w:rPr>
        <w:t xml:space="preserve">                     （工程项目名称）</w:t>
      </w:r>
      <w:r>
        <w:rPr>
          <w:rFonts w:hint="eastAsia" w:ascii="宋体" w:hAnsi="宋体" w:cs="宋体"/>
          <w:color w:val="auto"/>
          <w:spacing w:val="20"/>
          <w:kern w:val="0"/>
          <w:sz w:val="24"/>
          <w:highlight w:val="none"/>
        </w:rPr>
        <w:t xml:space="preserve">工程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97"/>
        <w:gridCol w:w="680"/>
        <w:gridCol w:w="668"/>
        <w:gridCol w:w="691"/>
        <w:gridCol w:w="849"/>
        <w:gridCol w:w="1190"/>
        <w:gridCol w:w="801"/>
        <w:gridCol w:w="903"/>
        <w:gridCol w:w="724"/>
      </w:tblGrid>
      <w:tr w14:paraId="3A1C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70" w:type="dxa"/>
            <w:vAlign w:val="center"/>
          </w:tcPr>
          <w:p w14:paraId="6281D8B8">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序号</w:t>
            </w:r>
          </w:p>
        </w:tc>
        <w:tc>
          <w:tcPr>
            <w:tcW w:w="1697" w:type="dxa"/>
            <w:vAlign w:val="center"/>
          </w:tcPr>
          <w:p w14:paraId="2A63FFA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机械或</w:t>
            </w:r>
          </w:p>
          <w:p w14:paraId="5953B0B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设备名称</w:t>
            </w:r>
          </w:p>
        </w:tc>
        <w:tc>
          <w:tcPr>
            <w:tcW w:w="680" w:type="dxa"/>
            <w:vAlign w:val="center"/>
          </w:tcPr>
          <w:p w14:paraId="7AAE35E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型号规格</w:t>
            </w:r>
          </w:p>
        </w:tc>
        <w:tc>
          <w:tcPr>
            <w:tcW w:w="668" w:type="dxa"/>
            <w:vAlign w:val="center"/>
          </w:tcPr>
          <w:p w14:paraId="0857340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数量</w:t>
            </w:r>
          </w:p>
        </w:tc>
        <w:tc>
          <w:tcPr>
            <w:tcW w:w="691" w:type="dxa"/>
            <w:vAlign w:val="center"/>
          </w:tcPr>
          <w:p w14:paraId="1473476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国别</w:t>
            </w:r>
          </w:p>
          <w:p w14:paraId="25874556">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产地</w:t>
            </w:r>
          </w:p>
        </w:tc>
        <w:tc>
          <w:tcPr>
            <w:tcW w:w="849" w:type="dxa"/>
            <w:vAlign w:val="center"/>
          </w:tcPr>
          <w:p w14:paraId="517BC4F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制造</w:t>
            </w:r>
          </w:p>
          <w:p w14:paraId="143F1D1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年份</w:t>
            </w:r>
          </w:p>
        </w:tc>
        <w:tc>
          <w:tcPr>
            <w:tcW w:w="1190" w:type="dxa"/>
            <w:vAlign w:val="center"/>
          </w:tcPr>
          <w:p w14:paraId="544B65B3">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额定</w:t>
            </w:r>
          </w:p>
          <w:p w14:paraId="6B897145">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功率(kw)</w:t>
            </w:r>
          </w:p>
        </w:tc>
        <w:tc>
          <w:tcPr>
            <w:tcW w:w="801" w:type="dxa"/>
            <w:vAlign w:val="center"/>
          </w:tcPr>
          <w:p w14:paraId="12CB5DD4">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生产能力</w:t>
            </w:r>
          </w:p>
        </w:tc>
        <w:tc>
          <w:tcPr>
            <w:tcW w:w="903" w:type="dxa"/>
            <w:vAlign w:val="center"/>
          </w:tcPr>
          <w:p w14:paraId="1EDB47F0">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用于施</w:t>
            </w:r>
          </w:p>
          <w:p w14:paraId="5D63855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工部位</w:t>
            </w:r>
          </w:p>
        </w:tc>
        <w:tc>
          <w:tcPr>
            <w:tcW w:w="724" w:type="dxa"/>
            <w:vAlign w:val="center"/>
          </w:tcPr>
          <w:p w14:paraId="4DFE9166">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备注</w:t>
            </w:r>
          </w:p>
        </w:tc>
      </w:tr>
      <w:tr w14:paraId="25B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176D24E">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466E989B">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1BE15AD6">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2F669198">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0CEC437F">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5EE6195B">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3C679711">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6D1B4D4D">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4B7172EA">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5A52633B">
            <w:pPr>
              <w:autoSpaceDE w:val="0"/>
              <w:autoSpaceDN w:val="0"/>
              <w:adjustRightInd w:val="0"/>
              <w:spacing w:line="420" w:lineRule="exact"/>
              <w:jc w:val="center"/>
              <w:rPr>
                <w:rFonts w:ascii="宋体" w:hAnsi="宋体" w:cs="宋体"/>
                <w:color w:val="auto"/>
                <w:spacing w:val="20"/>
                <w:kern w:val="0"/>
                <w:sz w:val="24"/>
                <w:highlight w:val="none"/>
              </w:rPr>
            </w:pPr>
          </w:p>
        </w:tc>
      </w:tr>
      <w:tr w14:paraId="2281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8D3CB43">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002992C6">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55F069B4">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03140BF1">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331ACD7B">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2649B29E">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74561416">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254D9524">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2C5F5760">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60A7DAC9">
            <w:pPr>
              <w:autoSpaceDE w:val="0"/>
              <w:autoSpaceDN w:val="0"/>
              <w:adjustRightInd w:val="0"/>
              <w:spacing w:line="420" w:lineRule="exact"/>
              <w:jc w:val="center"/>
              <w:rPr>
                <w:rFonts w:ascii="宋体" w:hAnsi="宋体" w:cs="宋体"/>
                <w:color w:val="auto"/>
                <w:spacing w:val="20"/>
                <w:kern w:val="0"/>
                <w:sz w:val="24"/>
                <w:highlight w:val="none"/>
              </w:rPr>
            </w:pPr>
          </w:p>
        </w:tc>
      </w:tr>
      <w:tr w14:paraId="7C7A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51AEFC13">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4109427D">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1B488A3B">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48EBC496">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17E18F74">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43490A44">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641BA439">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13781087">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001EBB27">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35FE6BCF">
            <w:pPr>
              <w:autoSpaceDE w:val="0"/>
              <w:autoSpaceDN w:val="0"/>
              <w:adjustRightInd w:val="0"/>
              <w:spacing w:line="420" w:lineRule="exact"/>
              <w:jc w:val="center"/>
              <w:rPr>
                <w:rFonts w:ascii="宋体" w:hAnsi="宋体" w:cs="宋体"/>
                <w:color w:val="auto"/>
                <w:spacing w:val="20"/>
                <w:kern w:val="0"/>
                <w:sz w:val="24"/>
                <w:highlight w:val="none"/>
              </w:rPr>
            </w:pPr>
          </w:p>
        </w:tc>
      </w:tr>
      <w:tr w14:paraId="1868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0AD3D177">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7B1767EB">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4BFA8A39">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65957D41">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32F30A92">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30E9425B">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7FA36330">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3A21293D">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2537EC4B">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6D70B8A2">
            <w:pPr>
              <w:autoSpaceDE w:val="0"/>
              <w:autoSpaceDN w:val="0"/>
              <w:adjustRightInd w:val="0"/>
              <w:spacing w:line="420" w:lineRule="exact"/>
              <w:jc w:val="center"/>
              <w:rPr>
                <w:rFonts w:ascii="宋体" w:hAnsi="宋体" w:cs="宋体"/>
                <w:color w:val="auto"/>
                <w:spacing w:val="20"/>
                <w:kern w:val="0"/>
                <w:sz w:val="24"/>
                <w:highlight w:val="none"/>
              </w:rPr>
            </w:pPr>
          </w:p>
        </w:tc>
      </w:tr>
      <w:tr w14:paraId="69F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6B9383D1">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1534D354">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269BEE4C">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4711969A">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08CB663E">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7E1E1942">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63BBF6C8">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3CF72F99">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71E9CB5C">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312B6CE7">
            <w:pPr>
              <w:autoSpaceDE w:val="0"/>
              <w:autoSpaceDN w:val="0"/>
              <w:adjustRightInd w:val="0"/>
              <w:spacing w:line="420" w:lineRule="exact"/>
              <w:jc w:val="center"/>
              <w:rPr>
                <w:rFonts w:ascii="宋体" w:hAnsi="宋体" w:cs="宋体"/>
                <w:color w:val="auto"/>
                <w:spacing w:val="20"/>
                <w:kern w:val="0"/>
                <w:sz w:val="24"/>
                <w:highlight w:val="none"/>
              </w:rPr>
            </w:pPr>
          </w:p>
        </w:tc>
      </w:tr>
      <w:tr w14:paraId="71ED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70" w:type="dxa"/>
            <w:vAlign w:val="center"/>
          </w:tcPr>
          <w:p w14:paraId="427EC6D3">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149E6598">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1BAC4300">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3A93151E">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379DE9A1">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40189523">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0A1E3CC8">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450E68B2">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54D35CAA">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4B96C418">
            <w:pPr>
              <w:autoSpaceDE w:val="0"/>
              <w:autoSpaceDN w:val="0"/>
              <w:adjustRightInd w:val="0"/>
              <w:spacing w:line="420" w:lineRule="exact"/>
              <w:jc w:val="center"/>
              <w:rPr>
                <w:rFonts w:ascii="宋体" w:hAnsi="宋体" w:cs="宋体"/>
                <w:color w:val="auto"/>
                <w:spacing w:val="20"/>
                <w:kern w:val="0"/>
                <w:sz w:val="24"/>
                <w:highlight w:val="none"/>
              </w:rPr>
            </w:pPr>
          </w:p>
        </w:tc>
      </w:tr>
      <w:tr w14:paraId="45B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0" w:type="dxa"/>
            <w:vAlign w:val="center"/>
          </w:tcPr>
          <w:p w14:paraId="434CC271">
            <w:pPr>
              <w:autoSpaceDE w:val="0"/>
              <w:autoSpaceDN w:val="0"/>
              <w:adjustRightInd w:val="0"/>
              <w:spacing w:line="420" w:lineRule="exact"/>
              <w:jc w:val="center"/>
              <w:rPr>
                <w:rFonts w:ascii="宋体" w:hAnsi="宋体" w:cs="宋体"/>
                <w:color w:val="auto"/>
                <w:spacing w:val="20"/>
                <w:kern w:val="0"/>
                <w:sz w:val="24"/>
                <w:highlight w:val="none"/>
              </w:rPr>
            </w:pPr>
          </w:p>
        </w:tc>
        <w:tc>
          <w:tcPr>
            <w:tcW w:w="1697" w:type="dxa"/>
            <w:vAlign w:val="center"/>
          </w:tcPr>
          <w:p w14:paraId="72CC4DD4">
            <w:pPr>
              <w:autoSpaceDE w:val="0"/>
              <w:autoSpaceDN w:val="0"/>
              <w:adjustRightInd w:val="0"/>
              <w:spacing w:line="420" w:lineRule="exact"/>
              <w:jc w:val="center"/>
              <w:rPr>
                <w:rFonts w:ascii="宋体" w:hAnsi="宋体" w:cs="宋体"/>
                <w:color w:val="auto"/>
                <w:spacing w:val="20"/>
                <w:kern w:val="0"/>
                <w:sz w:val="24"/>
                <w:highlight w:val="none"/>
              </w:rPr>
            </w:pPr>
          </w:p>
        </w:tc>
        <w:tc>
          <w:tcPr>
            <w:tcW w:w="680" w:type="dxa"/>
            <w:vAlign w:val="center"/>
          </w:tcPr>
          <w:p w14:paraId="22D2A39F">
            <w:pPr>
              <w:autoSpaceDE w:val="0"/>
              <w:autoSpaceDN w:val="0"/>
              <w:adjustRightInd w:val="0"/>
              <w:spacing w:line="420" w:lineRule="exact"/>
              <w:jc w:val="center"/>
              <w:rPr>
                <w:rFonts w:ascii="宋体" w:hAnsi="宋体" w:cs="宋体"/>
                <w:color w:val="auto"/>
                <w:spacing w:val="20"/>
                <w:kern w:val="0"/>
                <w:sz w:val="24"/>
                <w:highlight w:val="none"/>
              </w:rPr>
            </w:pPr>
          </w:p>
        </w:tc>
        <w:tc>
          <w:tcPr>
            <w:tcW w:w="668" w:type="dxa"/>
            <w:vAlign w:val="center"/>
          </w:tcPr>
          <w:p w14:paraId="05DBC9EE">
            <w:pPr>
              <w:autoSpaceDE w:val="0"/>
              <w:autoSpaceDN w:val="0"/>
              <w:adjustRightInd w:val="0"/>
              <w:spacing w:line="420" w:lineRule="exact"/>
              <w:jc w:val="center"/>
              <w:rPr>
                <w:rFonts w:ascii="宋体" w:hAnsi="宋体" w:cs="宋体"/>
                <w:color w:val="auto"/>
                <w:spacing w:val="20"/>
                <w:kern w:val="0"/>
                <w:sz w:val="24"/>
                <w:highlight w:val="none"/>
              </w:rPr>
            </w:pPr>
          </w:p>
        </w:tc>
        <w:tc>
          <w:tcPr>
            <w:tcW w:w="691" w:type="dxa"/>
            <w:vAlign w:val="center"/>
          </w:tcPr>
          <w:p w14:paraId="5BDE67A8">
            <w:pPr>
              <w:autoSpaceDE w:val="0"/>
              <w:autoSpaceDN w:val="0"/>
              <w:adjustRightInd w:val="0"/>
              <w:spacing w:line="420" w:lineRule="exact"/>
              <w:jc w:val="center"/>
              <w:rPr>
                <w:rFonts w:ascii="宋体" w:hAnsi="宋体" w:cs="宋体"/>
                <w:color w:val="auto"/>
                <w:spacing w:val="20"/>
                <w:kern w:val="0"/>
                <w:sz w:val="24"/>
                <w:highlight w:val="none"/>
              </w:rPr>
            </w:pPr>
          </w:p>
        </w:tc>
        <w:tc>
          <w:tcPr>
            <w:tcW w:w="849" w:type="dxa"/>
            <w:vAlign w:val="center"/>
          </w:tcPr>
          <w:p w14:paraId="7E3B7AB5">
            <w:pPr>
              <w:autoSpaceDE w:val="0"/>
              <w:autoSpaceDN w:val="0"/>
              <w:adjustRightInd w:val="0"/>
              <w:spacing w:line="420" w:lineRule="exact"/>
              <w:jc w:val="center"/>
              <w:rPr>
                <w:rFonts w:ascii="宋体" w:hAnsi="宋体" w:cs="宋体"/>
                <w:color w:val="auto"/>
                <w:spacing w:val="20"/>
                <w:kern w:val="0"/>
                <w:sz w:val="24"/>
                <w:highlight w:val="none"/>
              </w:rPr>
            </w:pPr>
          </w:p>
        </w:tc>
        <w:tc>
          <w:tcPr>
            <w:tcW w:w="1190" w:type="dxa"/>
            <w:vAlign w:val="center"/>
          </w:tcPr>
          <w:p w14:paraId="4ADF7A6C">
            <w:pPr>
              <w:autoSpaceDE w:val="0"/>
              <w:autoSpaceDN w:val="0"/>
              <w:adjustRightInd w:val="0"/>
              <w:spacing w:line="420" w:lineRule="exact"/>
              <w:jc w:val="center"/>
              <w:rPr>
                <w:rFonts w:ascii="宋体" w:hAnsi="宋体" w:cs="宋体"/>
                <w:color w:val="auto"/>
                <w:spacing w:val="20"/>
                <w:kern w:val="0"/>
                <w:sz w:val="24"/>
                <w:highlight w:val="none"/>
              </w:rPr>
            </w:pPr>
          </w:p>
        </w:tc>
        <w:tc>
          <w:tcPr>
            <w:tcW w:w="801" w:type="dxa"/>
            <w:vAlign w:val="center"/>
          </w:tcPr>
          <w:p w14:paraId="7A68670F">
            <w:pPr>
              <w:autoSpaceDE w:val="0"/>
              <w:autoSpaceDN w:val="0"/>
              <w:adjustRightInd w:val="0"/>
              <w:spacing w:line="420" w:lineRule="exact"/>
              <w:jc w:val="center"/>
              <w:rPr>
                <w:rFonts w:ascii="宋体" w:hAnsi="宋体" w:cs="宋体"/>
                <w:color w:val="auto"/>
                <w:spacing w:val="20"/>
                <w:kern w:val="0"/>
                <w:sz w:val="24"/>
                <w:highlight w:val="none"/>
              </w:rPr>
            </w:pPr>
          </w:p>
        </w:tc>
        <w:tc>
          <w:tcPr>
            <w:tcW w:w="903" w:type="dxa"/>
            <w:vAlign w:val="center"/>
          </w:tcPr>
          <w:p w14:paraId="1246A4E3">
            <w:pPr>
              <w:autoSpaceDE w:val="0"/>
              <w:autoSpaceDN w:val="0"/>
              <w:adjustRightInd w:val="0"/>
              <w:spacing w:line="420" w:lineRule="exact"/>
              <w:jc w:val="center"/>
              <w:rPr>
                <w:rFonts w:ascii="宋体" w:hAnsi="宋体" w:cs="宋体"/>
                <w:color w:val="auto"/>
                <w:spacing w:val="20"/>
                <w:kern w:val="0"/>
                <w:sz w:val="24"/>
                <w:highlight w:val="none"/>
              </w:rPr>
            </w:pPr>
          </w:p>
        </w:tc>
        <w:tc>
          <w:tcPr>
            <w:tcW w:w="724" w:type="dxa"/>
            <w:vAlign w:val="center"/>
          </w:tcPr>
          <w:p w14:paraId="3B304473">
            <w:pPr>
              <w:autoSpaceDE w:val="0"/>
              <w:autoSpaceDN w:val="0"/>
              <w:adjustRightInd w:val="0"/>
              <w:spacing w:line="420" w:lineRule="exact"/>
              <w:jc w:val="center"/>
              <w:rPr>
                <w:rFonts w:ascii="宋体" w:hAnsi="宋体" w:cs="宋体"/>
                <w:color w:val="auto"/>
                <w:spacing w:val="20"/>
                <w:kern w:val="0"/>
                <w:sz w:val="24"/>
                <w:highlight w:val="none"/>
              </w:rPr>
            </w:pPr>
          </w:p>
        </w:tc>
      </w:tr>
    </w:tbl>
    <w:p w14:paraId="411EBD08">
      <w:pPr>
        <w:spacing w:line="300" w:lineRule="auto"/>
        <w:rPr>
          <w:rFonts w:ascii="黑体" w:hAnsi="黑体" w:eastAsia="黑体" w:cs="黑体"/>
          <w:b/>
          <w:color w:val="auto"/>
          <w:spacing w:val="20"/>
          <w:sz w:val="24"/>
          <w:highlight w:val="none"/>
        </w:rPr>
      </w:pPr>
    </w:p>
    <w:p w14:paraId="5346AB08">
      <w:pPr>
        <w:spacing w:line="300" w:lineRule="auto"/>
        <w:rPr>
          <w:rFonts w:ascii="黑体" w:hAnsi="黑体" w:eastAsia="黑体" w:cs="黑体"/>
          <w:color w:val="auto"/>
          <w:sz w:val="24"/>
          <w:highlight w:val="none"/>
        </w:rPr>
      </w:pPr>
    </w:p>
    <w:p w14:paraId="591C248D">
      <w:pPr>
        <w:spacing w:line="300" w:lineRule="auto"/>
        <w:rPr>
          <w:rFonts w:ascii="黑体" w:hAnsi="黑体" w:eastAsia="黑体" w:cs="黑体"/>
          <w:b/>
          <w:bCs/>
          <w:color w:val="auto"/>
          <w:sz w:val="28"/>
          <w:szCs w:val="28"/>
          <w:highlight w:val="none"/>
        </w:rPr>
      </w:pPr>
    </w:p>
    <w:p w14:paraId="27B31C7A">
      <w:pPr>
        <w:spacing w:line="300" w:lineRule="auto"/>
        <w:rPr>
          <w:rFonts w:ascii="黑体" w:hAnsi="黑体" w:eastAsia="黑体" w:cs="黑体"/>
          <w:b/>
          <w:bCs/>
          <w:color w:val="auto"/>
          <w:sz w:val="28"/>
          <w:szCs w:val="28"/>
          <w:highlight w:val="none"/>
        </w:rPr>
      </w:pPr>
    </w:p>
    <w:p w14:paraId="1D583356">
      <w:pPr>
        <w:spacing w:line="300" w:lineRule="auto"/>
        <w:rPr>
          <w:rFonts w:ascii="黑体" w:hAnsi="黑体" w:eastAsia="黑体" w:cs="黑体"/>
          <w:b/>
          <w:bCs/>
          <w:color w:val="auto"/>
          <w:sz w:val="28"/>
          <w:szCs w:val="28"/>
          <w:highlight w:val="none"/>
        </w:rPr>
      </w:pPr>
    </w:p>
    <w:p w14:paraId="5BB63ADD">
      <w:pPr>
        <w:spacing w:line="300" w:lineRule="auto"/>
        <w:rPr>
          <w:rFonts w:ascii="黑体" w:hAnsi="黑体" w:eastAsia="黑体" w:cs="黑体"/>
          <w:b/>
          <w:bCs/>
          <w:color w:val="auto"/>
          <w:sz w:val="28"/>
          <w:szCs w:val="28"/>
          <w:highlight w:val="none"/>
        </w:rPr>
      </w:pPr>
    </w:p>
    <w:p w14:paraId="78FD1B34">
      <w:pPr>
        <w:spacing w:line="300" w:lineRule="auto"/>
        <w:rPr>
          <w:rFonts w:ascii="黑体" w:hAnsi="黑体" w:eastAsia="黑体" w:cs="黑体"/>
          <w:b/>
          <w:bCs/>
          <w:color w:val="auto"/>
          <w:sz w:val="28"/>
          <w:szCs w:val="28"/>
          <w:highlight w:val="none"/>
        </w:rPr>
      </w:pPr>
    </w:p>
    <w:p w14:paraId="2109A1D0">
      <w:pPr>
        <w:spacing w:line="300" w:lineRule="auto"/>
        <w:rPr>
          <w:rFonts w:ascii="黑体" w:hAnsi="黑体" w:eastAsia="黑体" w:cs="黑体"/>
          <w:b/>
          <w:bCs/>
          <w:color w:val="auto"/>
          <w:sz w:val="28"/>
          <w:szCs w:val="28"/>
          <w:highlight w:val="none"/>
        </w:rPr>
      </w:pPr>
    </w:p>
    <w:p w14:paraId="09916F39">
      <w:pPr>
        <w:spacing w:line="300" w:lineRule="auto"/>
        <w:rPr>
          <w:rFonts w:ascii="黑体" w:hAnsi="黑体" w:eastAsia="黑体" w:cs="黑体"/>
          <w:b/>
          <w:bCs/>
          <w:color w:val="auto"/>
          <w:sz w:val="28"/>
          <w:szCs w:val="28"/>
          <w:highlight w:val="none"/>
        </w:rPr>
      </w:pPr>
    </w:p>
    <w:p w14:paraId="2B649C33">
      <w:pPr>
        <w:spacing w:line="300" w:lineRule="auto"/>
        <w:rPr>
          <w:rFonts w:ascii="黑体" w:hAnsi="黑体" w:eastAsia="黑体" w:cs="黑体"/>
          <w:b/>
          <w:bCs/>
          <w:color w:val="auto"/>
          <w:sz w:val="28"/>
          <w:szCs w:val="28"/>
          <w:highlight w:val="none"/>
        </w:rPr>
      </w:pPr>
    </w:p>
    <w:p w14:paraId="4DC916BC">
      <w:pPr>
        <w:spacing w:line="300" w:lineRule="auto"/>
        <w:rPr>
          <w:rFonts w:ascii="宋体" w:hAnsi="宋体" w:cs="宋体"/>
          <w:b/>
          <w:bCs/>
          <w:color w:val="auto"/>
          <w:sz w:val="24"/>
          <w:highlight w:val="none"/>
        </w:rPr>
      </w:pPr>
    </w:p>
    <w:p w14:paraId="367A0BB4">
      <w:pPr>
        <w:spacing w:line="300" w:lineRule="auto"/>
        <w:rPr>
          <w:rFonts w:ascii="宋体" w:hAnsi="宋体" w:cs="宋体"/>
          <w:color w:val="auto"/>
          <w:sz w:val="24"/>
          <w:highlight w:val="none"/>
        </w:rPr>
      </w:pPr>
      <w:r>
        <w:rPr>
          <w:rFonts w:hint="eastAsia" w:ascii="宋体" w:hAnsi="宋体" w:cs="宋体"/>
          <w:color w:val="auto"/>
          <w:spacing w:val="20"/>
          <w:sz w:val="24"/>
          <w:highlight w:val="none"/>
        </w:rPr>
        <w:t xml:space="preserve">附表4            </w:t>
      </w:r>
      <w:r>
        <w:rPr>
          <w:rFonts w:hint="eastAsia" w:ascii="宋体" w:hAnsi="宋体" w:cs="宋体"/>
          <w:color w:val="auto"/>
          <w:sz w:val="24"/>
          <w:highlight w:val="none"/>
        </w:rPr>
        <w:t xml:space="preserve"> </w:t>
      </w:r>
    </w:p>
    <w:p w14:paraId="031FD754">
      <w:pPr>
        <w:spacing w:line="300" w:lineRule="auto"/>
        <w:jc w:val="center"/>
        <w:rPr>
          <w:rFonts w:ascii="宋体" w:hAnsi="宋体" w:cs="宋体"/>
          <w:b/>
          <w:bCs/>
          <w:color w:val="auto"/>
          <w:spacing w:val="20"/>
          <w:sz w:val="24"/>
          <w:highlight w:val="none"/>
        </w:rPr>
      </w:pPr>
      <w:r>
        <w:rPr>
          <w:rFonts w:hint="eastAsia" w:ascii="宋体" w:hAnsi="宋体" w:cs="宋体"/>
          <w:b/>
          <w:bCs/>
          <w:color w:val="auto"/>
          <w:spacing w:val="20"/>
          <w:sz w:val="24"/>
          <w:highlight w:val="none"/>
        </w:rPr>
        <w:t>拟配备的试验和检测仪器设备表</w:t>
      </w:r>
    </w:p>
    <w:p w14:paraId="77946A4F">
      <w:pPr>
        <w:pStyle w:val="19"/>
        <w:rPr>
          <w:rFonts w:ascii="宋体" w:hAnsi="宋体" w:cs="宋体"/>
          <w:color w:val="auto"/>
          <w:sz w:val="24"/>
          <w:szCs w:val="24"/>
          <w:highlight w:val="none"/>
        </w:rPr>
      </w:pPr>
    </w:p>
    <w:p w14:paraId="13BF4CC5">
      <w:pPr>
        <w:autoSpaceDE w:val="0"/>
        <w:autoSpaceDN w:val="0"/>
        <w:adjustRightInd w:val="0"/>
        <w:spacing w:line="420" w:lineRule="exact"/>
        <w:rPr>
          <w:rFonts w:ascii="宋体" w:hAnsi="宋体" w:cs="宋体"/>
          <w:color w:val="auto"/>
          <w:spacing w:val="20"/>
          <w:kern w:val="0"/>
          <w:sz w:val="24"/>
          <w:highlight w:val="none"/>
        </w:rPr>
      </w:pPr>
      <w:r>
        <w:rPr>
          <w:rFonts w:hint="eastAsia" w:ascii="宋体" w:hAnsi="宋体" w:cs="宋体"/>
          <w:color w:val="auto"/>
          <w:spacing w:val="20"/>
          <w:kern w:val="0"/>
          <w:sz w:val="24"/>
          <w:highlight w:val="none"/>
          <w:u w:val="single"/>
        </w:rPr>
        <w:t xml:space="preserve">                        （工程项目名称）</w:t>
      </w:r>
      <w:r>
        <w:rPr>
          <w:rFonts w:hint="eastAsia" w:ascii="宋体" w:hAnsi="宋体" w:cs="宋体"/>
          <w:color w:val="auto"/>
          <w:spacing w:val="20"/>
          <w:kern w:val="0"/>
          <w:sz w:val="24"/>
          <w:highlight w:val="none"/>
        </w:rPr>
        <w:t xml:space="preserve">工程                      </w:t>
      </w:r>
    </w:p>
    <w:tbl>
      <w:tblPr>
        <w:tblStyle w:val="21"/>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36"/>
        <w:gridCol w:w="695"/>
        <w:gridCol w:w="684"/>
        <w:gridCol w:w="707"/>
        <w:gridCol w:w="869"/>
        <w:gridCol w:w="1218"/>
        <w:gridCol w:w="1911"/>
        <w:gridCol w:w="694"/>
      </w:tblGrid>
      <w:tr w14:paraId="3663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81" w:type="dxa"/>
            <w:vAlign w:val="center"/>
          </w:tcPr>
          <w:p w14:paraId="2CF0D38C">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序号</w:t>
            </w:r>
          </w:p>
        </w:tc>
        <w:tc>
          <w:tcPr>
            <w:tcW w:w="1736" w:type="dxa"/>
            <w:vAlign w:val="center"/>
          </w:tcPr>
          <w:p w14:paraId="2DF05B4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仪器</w:t>
            </w:r>
          </w:p>
          <w:p w14:paraId="78E9ABB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设备名称</w:t>
            </w:r>
          </w:p>
        </w:tc>
        <w:tc>
          <w:tcPr>
            <w:tcW w:w="695" w:type="dxa"/>
            <w:vAlign w:val="center"/>
          </w:tcPr>
          <w:p w14:paraId="376CB8C3">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型号规格</w:t>
            </w:r>
          </w:p>
        </w:tc>
        <w:tc>
          <w:tcPr>
            <w:tcW w:w="684" w:type="dxa"/>
            <w:vAlign w:val="center"/>
          </w:tcPr>
          <w:p w14:paraId="60F8D64C">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数量</w:t>
            </w:r>
          </w:p>
        </w:tc>
        <w:tc>
          <w:tcPr>
            <w:tcW w:w="707" w:type="dxa"/>
            <w:vAlign w:val="center"/>
          </w:tcPr>
          <w:p w14:paraId="45420A0F">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国别</w:t>
            </w:r>
          </w:p>
          <w:p w14:paraId="1188C33C">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产地</w:t>
            </w:r>
          </w:p>
        </w:tc>
        <w:tc>
          <w:tcPr>
            <w:tcW w:w="869" w:type="dxa"/>
            <w:vAlign w:val="center"/>
          </w:tcPr>
          <w:p w14:paraId="46B689D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制造</w:t>
            </w:r>
          </w:p>
          <w:p w14:paraId="63D31462">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年份</w:t>
            </w:r>
          </w:p>
        </w:tc>
        <w:tc>
          <w:tcPr>
            <w:tcW w:w="1218" w:type="dxa"/>
            <w:vAlign w:val="center"/>
          </w:tcPr>
          <w:p w14:paraId="33C1E98A">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已使用台时数</w:t>
            </w:r>
          </w:p>
        </w:tc>
        <w:tc>
          <w:tcPr>
            <w:tcW w:w="1911" w:type="dxa"/>
            <w:vAlign w:val="center"/>
          </w:tcPr>
          <w:p w14:paraId="3129293A">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用途</w:t>
            </w:r>
          </w:p>
        </w:tc>
        <w:tc>
          <w:tcPr>
            <w:tcW w:w="694" w:type="dxa"/>
            <w:vAlign w:val="center"/>
          </w:tcPr>
          <w:p w14:paraId="131F6499">
            <w:pPr>
              <w:autoSpaceDE w:val="0"/>
              <w:autoSpaceDN w:val="0"/>
              <w:adjustRightInd w:val="0"/>
              <w:spacing w:line="42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备注</w:t>
            </w:r>
          </w:p>
        </w:tc>
      </w:tr>
      <w:tr w14:paraId="00A7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0F70FA54">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7C402488">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43C66234">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2CB234D7">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4BA1EEAD">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1E4E4322">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3B72327D">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2707B5A9">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6DD0DC79">
            <w:pPr>
              <w:autoSpaceDE w:val="0"/>
              <w:autoSpaceDN w:val="0"/>
              <w:adjustRightInd w:val="0"/>
              <w:spacing w:line="420" w:lineRule="exact"/>
              <w:jc w:val="center"/>
              <w:rPr>
                <w:rFonts w:ascii="宋体" w:hAnsi="宋体" w:cs="宋体"/>
                <w:color w:val="auto"/>
                <w:spacing w:val="20"/>
                <w:kern w:val="0"/>
                <w:sz w:val="24"/>
                <w:highlight w:val="none"/>
              </w:rPr>
            </w:pPr>
          </w:p>
        </w:tc>
      </w:tr>
      <w:tr w14:paraId="095C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255DDF9">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53316296">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28A004A0">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1DDE2E1E">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6F9BED04">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4BE0B487">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067A8579">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255F320C">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500FCDF3">
            <w:pPr>
              <w:autoSpaceDE w:val="0"/>
              <w:autoSpaceDN w:val="0"/>
              <w:adjustRightInd w:val="0"/>
              <w:spacing w:line="420" w:lineRule="exact"/>
              <w:jc w:val="center"/>
              <w:rPr>
                <w:rFonts w:ascii="宋体" w:hAnsi="宋体" w:cs="宋体"/>
                <w:color w:val="auto"/>
                <w:spacing w:val="20"/>
                <w:kern w:val="0"/>
                <w:sz w:val="24"/>
                <w:highlight w:val="none"/>
              </w:rPr>
            </w:pPr>
          </w:p>
        </w:tc>
      </w:tr>
      <w:tr w14:paraId="74B3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47C14332">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5C3BBE83">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7B089043">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12935108">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38984898">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4525BAE5">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537FCE90">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69244F50">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3103AA92">
            <w:pPr>
              <w:autoSpaceDE w:val="0"/>
              <w:autoSpaceDN w:val="0"/>
              <w:adjustRightInd w:val="0"/>
              <w:spacing w:line="420" w:lineRule="exact"/>
              <w:jc w:val="center"/>
              <w:rPr>
                <w:rFonts w:ascii="宋体" w:hAnsi="宋体" w:cs="宋体"/>
                <w:color w:val="auto"/>
                <w:spacing w:val="20"/>
                <w:kern w:val="0"/>
                <w:sz w:val="24"/>
                <w:highlight w:val="none"/>
              </w:rPr>
            </w:pPr>
          </w:p>
        </w:tc>
      </w:tr>
      <w:tr w14:paraId="5B3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81" w:type="dxa"/>
            <w:vAlign w:val="center"/>
          </w:tcPr>
          <w:p w14:paraId="24B0B693">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2A58FD98">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3305820B">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755AA0F5">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30DDC35A">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469C2059">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6E91C933">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69E0A5AE">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6A4103A9">
            <w:pPr>
              <w:autoSpaceDE w:val="0"/>
              <w:autoSpaceDN w:val="0"/>
              <w:adjustRightInd w:val="0"/>
              <w:spacing w:line="420" w:lineRule="exact"/>
              <w:jc w:val="center"/>
              <w:rPr>
                <w:rFonts w:ascii="宋体" w:hAnsi="宋体" w:cs="宋体"/>
                <w:color w:val="auto"/>
                <w:spacing w:val="20"/>
                <w:kern w:val="0"/>
                <w:sz w:val="24"/>
                <w:highlight w:val="none"/>
              </w:rPr>
            </w:pPr>
          </w:p>
        </w:tc>
      </w:tr>
      <w:tr w14:paraId="4AF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1" w:type="dxa"/>
            <w:vAlign w:val="center"/>
          </w:tcPr>
          <w:p w14:paraId="51792331">
            <w:pPr>
              <w:autoSpaceDE w:val="0"/>
              <w:autoSpaceDN w:val="0"/>
              <w:adjustRightInd w:val="0"/>
              <w:spacing w:line="420" w:lineRule="exact"/>
              <w:jc w:val="center"/>
              <w:rPr>
                <w:rFonts w:ascii="宋体" w:hAnsi="宋体" w:cs="宋体"/>
                <w:color w:val="auto"/>
                <w:spacing w:val="20"/>
                <w:kern w:val="0"/>
                <w:sz w:val="24"/>
                <w:highlight w:val="none"/>
              </w:rPr>
            </w:pPr>
          </w:p>
        </w:tc>
        <w:tc>
          <w:tcPr>
            <w:tcW w:w="1736" w:type="dxa"/>
            <w:vAlign w:val="center"/>
          </w:tcPr>
          <w:p w14:paraId="2F47FFA5">
            <w:pPr>
              <w:autoSpaceDE w:val="0"/>
              <w:autoSpaceDN w:val="0"/>
              <w:adjustRightInd w:val="0"/>
              <w:spacing w:line="420" w:lineRule="exact"/>
              <w:jc w:val="center"/>
              <w:rPr>
                <w:rFonts w:ascii="宋体" w:hAnsi="宋体" w:cs="宋体"/>
                <w:color w:val="auto"/>
                <w:spacing w:val="20"/>
                <w:kern w:val="0"/>
                <w:sz w:val="24"/>
                <w:highlight w:val="none"/>
              </w:rPr>
            </w:pPr>
          </w:p>
        </w:tc>
        <w:tc>
          <w:tcPr>
            <w:tcW w:w="695" w:type="dxa"/>
            <w:vAlign w:val="center"/>
          </w:tcPr>
          <w:p w14:paraId="7827258B">
            <w:pPr>
              <w:autoSpaceDE w:val="0"/>
              <w:autoSpaceDN w:val="0"/>
              <w:adjustRightInd w:val="0"/>
              <w:spacing w:line="420" w:lineRule="exact"/>
              <w:jc w:val="center"/>
              <w:rPr>
                <w:rFonts w:ascii="宋体" w:hAnsi="宋体" w:cs="宋体"/>
                <w:color w:val="auto"/>
                <w:spacing w:val="20"/>
                <w:kern w:val="0"/>
                <w:sz w:val="24"/>
                <w:highlight w:val="none"/>
              </w:rPr>
            </w:pPr>
          </w:p>
        </w:tc>
        <w:tc>
          <w:tcPr>
            <w:tcW w:w="684" w:type="dxa"/>
            <w:vAlign w:val="center"/>
          </w:tcPr>
          <w:p w14:paraId="10D84614">
            <w:pPr>
              <w:autoSpaceDE w:val="0"/>
              <w:autoSpaceDN w:val="0"/>
              <w:adjustRightInd w:val="0"/>
              <w:spacing w:line="420" w:lineRule="exact"/>
              <w:jc w:val="center"/>
              <w:rPr>
                <w:rFonts w:ascii="宋体" w:hAnsi="宋体" w:cs="宋体"/>
                <w:color w:val="auto"/>
                <w:spacing w:val="20"/>
                <w:kern w:val="0"/>
                <w:sz w:val="24"/>
                <w:highlight w:val="none"/>
              </w:rPr>
            </w:pPr>
          </w:p>
        </w:tc>
        <w:tc>
          <w:tcPr>
            <w:tcW w:w="707" w:type="dxa"/>
            <w:vAlign w:val="center"/>
          </w:tcPr>
          <w:p w14:paraId="5405150D">
            <w:pPr>
              <w:autoSpaceDE w:val="0"/>
              <w:autoSpaceDN w:val="0"/>
              <w:adjustRightInd w:val="0"/>
              <w:spacing w:line="420" w:lineRule="exact"/>
              <w:jc w:val="center"/>
              <w:rPr>
                <w:rFonts w:ascii="宋体" w:hAnsi="宋体" w:cs="宋体"/>
                <w:color w:val="auto"/>
                <w:spacing w:val="20"/>
                <w:kern w:val="0"/>
                <w:sz w:val="24"/>
                <w:highlight w:val="none"/>
              </w:rPr>
            </w:pPr>
          </w:p>
        </w:tc>
        <w:tc>
          <w:tcPr>
            <w:tcW w:w="869" w:type="dxa"/>
            <w:vAlign w:val="center"/>
          </w:tcPr>
          <w:p w14:paraId="62057EDE">
            <w:pPr>
              <w:autoSpaceDE w:val="0"/>
              <w:autoSpaceDN w:val="0"/>
              <w:adjustRightInd w:val="0"/>
              <w:spacing w:line="420" w:lineRule="exact"/>
              <w:jc w:val="center"/>
              <w:rPr>
                <w:rFonts w:ascii="宋体" w:hAnsi="宋体" w:cs="宋体"/>
                <w:color w:val="auto"/>
                <w:spacing w:val="20"/>
                <w:kern w:val="0"/>
                <w:sz w:val="24"/>
                <w:highlight w:val="none"/>
              </w:rPr>
            </w:pPr>
          </w:p>
        </w:tc>
        <w:tc>
          <w:tcPr>
            <w:tcW w:w="1218" w:type="dxa"/>
            <w:vAlign w:val="center"/>
          </w:tcPr>
          <w:p w14:paraId="07E1011D">
            <w:pPr>
              <w:autoSpaceDE w:val="0"/>
              <w:autoSpaceDN w:val="0"/>
              <w:adjustRightInd w:val="0"/>
              <w:spacing w:line="420" w:lineRule="exact"/>
              <w:jc w:val="center"/>
              <w:rPr>
                <w:rFonts w:ascii="宋体" w:hAnsi="宋体" w:cs="宋体"/>
                <w:color w:val="auto"/>
                <w:spacing w:val="20"/>
                <w:kern w:val="0"/>
                <w:sz w:val="24"/>
                <w:highlight w:val="none"/>
              </w:rPr>
            </w:pPr>
          </w:p>
        </w:tc>
        <w:tc>
          <w:tcPr>
            <w:tcW w:w="1911" w:type="dxa"/>
            <w:vAlign w:val="center"/>
          </w:tcPr>
          <w:p w14:paraId="5DF46FAE">
            <w:pPr>
              <w:autoSpaceDE w:val="0"/>
              <w:autoSpaceDN w:val="0"/>
              <w:adjustRightInd w:val="0"/>
              <w:spacing w:line="420" w:lineRule="exact"/>
              <w:jc w:val="center"/>
              <w:rPr>
                <w:rFonts w:ascii="宋体" w:hAnsi="宋体" w:cs="宋体"/>
                <w:color w:val="auto"/>
                <w:spacing w:val="20"/>
                <w:kern w:val="0"/>
                <w:sz w:val="24"/>
                <w:highlight w:val="none"/>
              </w:rPr>
            </w:pPr>
          </w:p>
        </w:tc>
        <w:tc>
          <w:tcPr>
            <w:tcW w:w="694" w:type="dxa"/>
            <w:vAlign w:val="center"/>
          </w:tcPr>
          <w:p w14:paraId="056D3E41">
            <w:pPr>
              <w:autoSpaceDE w:val="0"/>
              <w:autoSpaceDN w:val="0"/>
              <w:adjustRightInd w:val="0"/>
              <w:spacing w:line="420" w:lineRule="exact"/>
              <w:jc w:val="center"/>
              <w:rPr>
                <w:rFonts w:ascii="宋体" w:hAnsi="宋体" w:cs="宋体"/>
                <w:color w:val="auto"/>
                <w:spacing w:val="20"/>
                <w:kern w:val="0"/>
                <w:sz w:val="24"/>
                <w:highlight w:val="none"/>
              </w:rPr>
            </w:pPr>
          </w:p>
        </w:tc>
      </w:tr>
    </w:tbl>
    <w:p w14:paraId="74FE82B4">
      <w:pPr>
        <w:spacing w:line="300" w:lineRule="auto"/>
        <w:rPr>
          <w:rFonts w:ascii="黑体" w:hAnsi="黑体" w:eastAsia="黑体" w:cs="黑体"/>
          <w:b/>
          <w:bCs/>
          <w:color w:val="auto"/>
          <w:sz w:val="28"/>
          <w:szCs w:val="28"/>
          <w:highlight w:val="none"/>
        </w:rPr>
      </w:pPr>
    </w:p>
    <w:p w14:paraId="62E91EFC">
      <w:pPr>
        <w:spacing w:line="300" w:lineRule="auto"/>
        <w:rPr>
          <w:rFonts w:ascii="黑体" w:hAnsi="黑体" w:eastAsia="黑体" w:cs="黑体"/>
          <w:b/>
          <w:bCs/>
          <w:color w:val="auto"/>
          <w:sz w:val="28"/>
          <w:szCs w:val="28"/>
          <w:highlight w:val="none"/>
        </w:rPr>
      </w:pPr>
    </w:p>
    <w:p w14:paraId="2456A375">
      <w:pPr>
        <w:spacing w:line="300" w:lineRule="auto"/>
        <w:rPr>
          <w:rFonts w:ascii="黑体" w:hAnsi="黑体" w:eastAsia="黑体" w:cs="黑体"/>
          <w:b/>
          <w:bCs/>
          <w:color w:val="auto"/>
          <w:sz w:val="28"/>
          <w:szCs w:val="28"/>
          <w:highlight w:val="none"/>
        </w:rPr>
      </w:pPr>
    </w:p>
    <w:p w14:paraId="2AC98749">
      <w:pPr>
        <w:spacing w:line="300" w:lineRule="auto"/>
        <w:rPr>
          <w:rFonts w:ascii="黑体" w:hAnsi="黑体" w:eastAsia="黑体" w:cs="黑体"/>
          <w:b/>
          <w:bCs/>
          <w:color w:val="auto"/>
          <w:sz w:val="28"/>
          <w:szCs w:val="28"/>
          <w:highlight w:val="none"/>
        </w:rPr>
      </w:pPr>
    </w:p>
    <w:p w14:paraId="1057D5D0">
      <w:pPr>
        <w:spacing w:line="300" w:lineRule="auto"/>
        <w:rPr>
          <w:rFonts w:ascii="黑体" w:hAnsi="黑体" w:eastAsia="黑体" w:cs="黑体"/>
          <w:b/>
          <w:bCs/>
          <w:color w:val="auto"/>
          <w:sz w:val="28"/>
          <w:szCs w:val="28"/>
          <w:highlight w:val="none"/>
        </w:rPr>
      </w:pPr>
    </w:p>
    <w:p w14:paraId="14B23B52">
      <w:pPr>
        <w:spacing w:line="300" w:lineRule="auto"/>
        <w:rPr>
          <w:rFonts w:ascii="黑体" w:hAnsi="黑体" w:eastAsia="黑体" w:cs="黑体"/>
          <w:b/>
          <w:bCs/>
          <w:color w:val="auto"/>
          <w:sz w:val="28"/>
          <w:szCs w:val="28"/>
          <w:highlight w:val="none"/>
        </w:rPr>
      </w:pPr>
    </w:p>
    <w:p w14:paraId="149A7975">
      <w:pPr>
        <w:spacing w:line="300" w:lineRule="auto"/>
        <w:rPr>
          <w:rFonts w:ascii="黑体" w:hAnsi="黑体" w:eastAsia="黑体" w:cs="黑体"/>
          <w:b/>
          <w:bCs/>
          <w:color w:val="auto"/>
          <w:sz w:val="28"/>
          <w:szCs w:val="28"/>
          <w:highlight w:val="none"/>
        </w:rPr>
      </w:pPr>
    </w:p>
    <w:p w14:paraId="0532279E">
      <w:pPr>
        <w:spacing w:line="300" w:lineRule="auto"/>
        <w:rPr>
          <w:rFonts w:ascii="黑体" w:hAnsi="黑体" w:eastAsia="黑体" w:cs="黑体"/>
          <w:b/>
          <w:bCs/>
          <w:color w:val="auto"/>
          <w:sz w:val="28"/>
          <w:szCs w:val="28"/>
          <w:highlight w:val="none"/>
        </w:rPr>
      </w:pPr>
    </w:p>
    <w:p w14:paraId="70268F05">
      <w:pPr>
        <w:spacing w:line="300" w:lineRule="auto"/>
        <w:rPr>
          <w:rFonts w:ascii="黑体" w:hAnsi="黑体" w:eastAsia="黑体" w:cs="黑体"/>
          <w:b/>
          <w:bCs/>
          <w:color w:val="auto"/>
          <w:sz w:val="28"/>
          <w:szCs w:val="28"/>
          <w:highlight w:val="none"/>
        </w:rPr>
      </w:pPr>
    </w:p>
    <w:p w14:paraId="12499C9E">
      <w:pPr>
        <w:spacing w:line="300" w:lineRule="auto"/>
        <w:rPr>
          <w:rFonts w:ascii="黑体" w:hAnsi="黑体" w:eastAsia="黑体" w:cs="黑体"/>
          <w:b/>
          <w:bCs/>
          <w:color w:val="auto"/>
          <w:sz w:val="28"/>
          <w:szCs w:val="28"/>
          <w:highlight w:val="none"/>
        </w:rPr>
      </w:pPr>
    </w:p>
    <w:p w14:paraId="2D0A1F28">
      <w:pPr>
        <w:spacing w:line="300" w:lineRule="auto"/>
        <w:rPr>
          <w:rFonts w:ascii="黑体" w:hAnsi="黑体" w:eastAsia="黑体" w:cs="黑体"/>
          <w:b/>
          <w:bCs/>
          <w:color w:val="auto"/>
          <w:sz w:val="28"/>
          <w:szCs w:val="28"/>
          <w:highlight w:val="none"/>
        </w:rPr>
      </w:pPr>
    </w:p>
    <w:p w14:paraId="5C200EF0">
      <w:pPr>
        <w:rPr>
          <w:color w:val="auto"/>
          <w:highlight w:val="none"/>
        </w:rPr>
      </w:pPr>
    </w:p>
    <w:p w14:paraId="785A1F7D">
      <w:pPr>
        <w:spacing w:line="300" w:lineRule="auto"/>
        <w:rPr>
          <w:rFonts w:ascii="黑体" w:hAnsi="黑体" w:eastAsia="黑体" w:cs="黑体"/>
          <w:b/>
          <w:bCs/>
          <w:color w:val="auto"/>
          <w:sz w:val="28"/>
          <w:szCs w:val="28"/>
          <w:highlight w:val="none"/>
        </w:rPr>
      </w:pPr>
    </w:p>
    <w:p w14:paraId="3476F612">
      <w:pPr>
        <w:spacing w:line="300" w:lineRule="auto"/>
        <w:rPr>
          <w:rFonts w:ascii="宋体" w:hAnsi="宋体" w:cs="宋体"/>
          <w:color w:val="auto"/>
          <w:spacing w:val="20"/>
          <w:sz w:val="24"/>
          <w:highlight w:val="none"/>
        </w:rPr>
      </w:pPr>
      <w:r>
        <w:rPr>
          <w:rFonts w:hint="eastAsia" w:ascii="宋体" w:hAnsi="宋体" w:cs="宋体"/>
          <w:color w:val="auto"/>
          <w:spacing w:val="20"/>
          <w:sz w:val="24"/>
          <w:highlight w:val="none"/>
        </w:rPr>
        <w:t xml:space="preserve">附表5  </w:t>
      </w:r>
    </w:p>
    <w:p w14:paraId="52CAED86">
      <w:pPr>
        <w:spacing w:line="300" w:lineRule="auto"/>
        <w:jc w:val="center"/>
        <w:rPr>
          <w:rFonts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计划开、竣工日期和施工进度网络图</w:t>
      </w:r>
    </w:p>
    <w:p w14:paraId="4E07177A">
      <w:pPr>
        <w:pStyle w:val="19"/>
        <w:rPr>
          <w:color w:val="auto"/>
          <w:highlight w:val="none"/>
        </w:rPr>
      </w:pPr>
    </w:p>
    <w:p w14:paraId="011C8F72">
      <w:pPr>
        <w:spacing w:line="420" w:lineRule="exact"/>
        <w:ind w:right="-2" w:firstLine="480" w:firstLineChars="200"/>
        <w:rPr>
          <w:rFonts w:ascii="宋体" w:hAnsi="宋体" w:cs="宋体"/>
          <w:color w:val="auto"/>
          <w:sz w:val="24"/>
          <w:highlight w:val="none"/>
        </w:rPr>
      </w:pPr>
      <w:r>
        <w:rPr>
          <w:rFonts w:hint="eastAsia" w:ascii="宋体" w:hAnsi="宋体" w:cs="宋体"/>
          <w:color w:val="auto"/>
          <w:sz w:val="24"/>
          <w:highlight w:val="none"/>
        </w:rPr>
        <w:t>1.供应商应提交施工进度网络图，说明按议价文件要求的工期进行施工的各个关键日期，必须清楚地注明关键线路。成交的供应商还应按合同条件有关条款的要求提交详细的施工进度计划。</w:t>
      </w:r>
    </w:p>
    <w:p w14:paraId="3FB7C003">
      <w:pPr>
        <w:spacing w:line="420" w:lineRule="exact"/>
        <w:ind w:right="-2" w:firstLine="480" w:firstLineChars="200"/>
        <w:rPr>
          <w:rFonts w:ascii="宋体" w:hAnsi="宋体" w:cs="宋体"/>
          <w:color w:val="auto"/>
          <w:sz w:val="24"/>
          <w:highlight w:val="none"/>
        </w:rPr>
      </w:pPr>
      <w:r>
        <w:rPr>
          <w:rFonts w:hint="eastAsia" w:ascii="宋体" w:hAnsi="宋体" w:cs="宋体"/>
          <w:color w:val="auto"/>
          <w:sz w:val="24"/>
          <w:highlight w:val="none"/>
        </w:rPr>
        <w:t>2.施工进度表必须采用网络图表示，说明计划开工日期和各分项工程各阶段的完工日期。</w:t>
      </w:r>
    </w:p>
    <w:p w14:paraId="074E0464">
      <w:pPr>
        <w:spacing w:line="300" w:lineRule="auto"/>
        <w:ind w:firstLine="480" w:firstLineChars="200"/>
        <w:rPr>
          <w:rFonts w:ascii="宋体" w:hAnsi="宋体" w:cs="宋体"/>
          <w:b/>
          <w:color w:val="auto"/>
          <w:spacing w:val="20"/>
          <w:kern w:val="0"/>
          <w:sz w:val="24"/>
          <w:highlight w:val="none"/>
        </w:rPr>
      </w:pPr>
      <w:r>
        <w:rPr>
          <w:rFonts w:hint="eastAsia" w:ascii="宋体" w:hAnsi="宋体" w:cs="宋体"/>
          <w:color w:val="auto"/>
          <w:sz w:val="24"/>
          <w:highlight w:val="none"/>
        </w:rPr>
        <w:t>3.施工进度计划应与施工组织设计相适应。</w:t>
      </w:r>
    </w:p>
    <w:p w14:paraId="570B3257">
      <w:pPr>
        <w:snapToGrid w:val="0"/>
        <w:spacing w:line="440" w:lineRule="exact"/>
        <w:ind w:firstLine="420"/>
        <w:jc w:val="left"/>
        <w:rPr>
          <w:rFonts w:ascii="宋体" w:hAnsi="宋体" w:cs="宋体"/>
          <w:color w:val="auto"/>
          <w:sz w:val="24"/>
          <w:highlight w:val="none"/>
        </w:rPr>
      </w:pPr>
    </w:p>
    <w:p w14:paraId="63970E6B">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3510FE68">
      <w:pPr>
        <w:snapToGrid w:val="0"/>
        <w:spacing w:line="440" w:lineRule="exact"/>
        <w:ind w:firstLine="420"/>
        <w:jc w:val="left"/>
        <w:rPr>
          <w:rFonts w:ascii="宋体" w:hAnsi="宋体" w:cs="宋体"/>
          <w:color w:val="auto"/>
          <w:sz w:val="24"/>
          <w:highlight w:val="none"/>
        </w:rPr>
      </w:pPr>
    </w:p>
    <w:p w14:paraId="67FCA5F5">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法定代表人（负责人）签字或盖章：</w:t>
      </w:r>
    </w:p>
    <w:p w14:paraId="6277A176">
      <w:pPr>
        <w:snapToGrid w:val="0"/>
        <w:spacing w:line="440" w:lineRule="exact"/>
        <w:ind w:firstLine="1440" w:firstLineChars="600"/>
        <w:jc w:val="left"/>
        <w:rPr>
          <w:rFonts w:ascii="宋体" w:hAnsi="宋体" w:cs="宋体"/>
          <w:color w:val="auto"/>
          <w:sz w:val="24"/>
          <w:highlight w:val="none"/>
        </w:rPr>
      </w:pPr>
    </w:p>
    <w:p w14:paraId="227A1691">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40C08554">
      <w:pPr>
        <w:pStyle w:val="14"/>
        <w:spacing w:line="440" w:lineRule="exact"/>
        <w:jc w:val="center"/>
        <w:rPr>
          <w:rFonts w:hAnsi="宋体" w:cs="宋体"/>
          <w:b/>
          <w:bCs/>
          <w:color w:val="auto"/>
          <w:sz w:val="24"/>
          <w:szCs w:val="24"/>
          <w:highlight w:val="none"/>
        </w:rPr>
      </w:pPr>
    </w:p>
    <w:p w14:paraId="34C7BA63">
      <w:pPr>
        <w:tabs>
          <w:tab w:val="left" w:pos="1249"/>
        </w:tabs>
        <w:jc w:val="left"/>
        <w:rPr>
          <w:rFonts w:ascii="宋体" w:hAnsi="宋体" w:cs="宋体"/>
          <w:color w:val="auto"/>
          <w:sz w:val="24"/>
          <w:highlight w:val="none"/>
        </w:rPr>
      </w:pPr>
    </w:p>
    <w:p w14:paraId="6D463DC1">
      <w:pPr>
        <w:rPr>
          <w:color w:val="auto"/>
          <w:highlight w:val="none"/>
        </w:rPr>
      </w:pPr>
    </w:p>
    <w:p w14:paraId="3ABC147E">
      <w:pPr>
        <w:pStyle w:val="6"/>
        <w:rPr>
          <w:color w:val="auto"/>
          <w:highlight w:val="none"/>
        </w:rPr>
      </w:pPr>
    </w:p>
    <w:p w14:paraId="5C6AF785">
      <w:pPr>
        <w:rPr>
          <w:color w:val="auto"/>
          <w:highlight w:val="none"/>
        </w:rPr>
      </w:pPr>
    </w:p>
    <w:p w14:paraId="0EA689AD">
      <w:pPr>
        <w:pStyle w:val="12"/>
        <w:ind w:left="1260"/>
        <w:rPr>
          <w:color w:val="auto"/>
          <w:highlight w:val="none"/>
        </w:rPr>
      </w:pPr>
    </w:p>
    <w:p w14:paraId="25FC7BF4">
      <w:pPr>
        <w:rPr>
          <w:color w:val="auto"/>
          <w:highlight w:val="none"/>
        </w:rPr>
      </w:pPr>
    </w:p>
    <w:p w14:paraId="622C0BC4">
      <w:pPr>
        <w:pStyle w:val="12"/>
        <w:ind w:left="1260"/>
        <w:rPr>
          <w:color w:val="auto"/>
          <w:highlight w:val="none"/>
        </w:rPr>
      </w:pPr>
    </w:p>
    <w:p w14:paraId="4ECC4D06">
      <w:pPr>
        <w:rPr>
          <w:color w:val="auto"/>
          <w:highlight w:val="none"/>
        </w:rPr>
      </w:pPr>
    </w:p>
    <w:p w14:paraId="0EB3AB76">
      <w:pPr>
        <w:pStyle w:val="12"/>
        <w:ind w:left="1260"/>
        <w:rPr>
          <w:color w:val="auto"/>
          <w:highlight w:val="none"/>
        </w:rPr>
      </w:pPr>
    </w:p>
    <w:p w14:paraId="1DC57DE6">
      <w:pPr>
        <w:rPr>
          <w:color w:val="auto"/>
          <w:highlight w:val="none"/>
        </w:rPr>
      </w:pPr>
    </w:p>
    <w:p w14:paraId="3C7BA497">
      <w:pPr>
        <w:pStyle w:val="12"/>
        <w:ind w:left="1260"/>
        <w:rPr>
          <w:color w:val="auto"/>
          <w:highlight w:val="none"/>
        </w:rPr>
      </w:pPr>
    </w:p>
    <w:p w14:paraId="6E660BFF">
      <w:pPr>
        <w:rPr>
          <w:color w:val="auto"/>
          <w:highlight w:val="none"/>
        </w:rPr>
      </w:pPr>
    </w:p>
    <w:p w14:paraId="5BE718FE">
      <w:pPr>
        <w:pStyle w:val="12"/>
        <w:ind w:left="1260"/>
        <w:rPr>
          <w:color w:val="auto"/>
          <w:highlight w:val="none"/>
        </w:rPr>
      </w:pPr>
    </w:p>
    <w:p w14:paraId="4BB69CB8">
      <w:pPr>
        <w:rPr>
          <w:color w:val="auto"/>
          <w:highlight w:val="none"/>
        </w:rPr>
      </w:pPr>
    </w:p>
    <w:p w14:paraId="37A70D85">
      <w:pPr>
        <w:pStyle w:val="12"/>
        <w:ind w:left="1260"/>
        <w:rPr>
          <w:color w:val="auto"/>
          <w:highlight w:val="none"/>
        </w:rPr>
      </w:pPr>
    </w:p>
    <w:p w14:paraId="1EBE7685">
      <w:pPr>
        <w:rPr>
          <w:color w:val="auto"/>
          <w:highlight w:val="none"/>
        </w:rPr>
      </w:pPr>
    </w:p>
    <w:p w14:paraId="0BD57F92">
      <w:pPr>
        <w:pStyle w:val="12"/>
        <w:ind w:left="1260"/>
        <w:rPr>
          <w:color w:val="auto"/>
          <w:highlight w:val="none"/>
        </w:rPr>
      </w:pPr>
    </w:p>
    <w:p w14:paraId="188BC0CF">
      <w:pPr>
        <w:rPr>
          <w:color w:val="auto"/>
          <w:highlight w:val="none"/>
        </w:rPr>
      </w:pPr>
    </w:p>
    <w:p w14:paraId="44708497">
      <w:pPr>
        <w:pStyle w:val="12"/>
        <w:ind w:left="1260"/>
        <w:rPr>
          <w:color w:val="auto"/>
          <w:highlight w:val="none"/>
        </w:rPr>
      </w:pPr>
    </w:p>
    <w:p w14:paraId="2B9B61F5">
      <w:pPr>
        <w:rPr>
          <w:color w:val="auto"/>
          <w:highlight w:val="none"/>
        </w:rPr>
      </w:pPr>
    </w:p>
    <w:p w14:paraId="0309CA53">
      <w:pPr>
        <w:pStyle w:val="12"/>
        <w:ind w:left="1260"/>
        <w:rPr>
          <w:color w:val="auto"/>
          <w:highlight w:val="none"/>
        </w:rPr>
      </w:pPr>
    </w:p>
    <w:p w14:paraId="29A38F38">
      <w:pPr>
        <w:rPr>
          <w:color w:val="auto"/>
          <w:highlight w:val="none"/>
        </w:rPr>
      </w:pPr>
    </w:p>
    <w:p w14:paraId="0B6EA391">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FA805F9">
      <w:pPr>
        <w:jc w:val="center"/>
        <w:rPr>
          <w:rFonts w:hint="default" w:ascii="宋体" w:hAnsi="宋体" w:eastAsia="宋体" w:cs="宋体"/>
          <w:color w:val="auto"/>
          <w:sz w:val="28"/>
          <w:szCs w:val="28"/>
          <w:highlight w:val="none"/>
          <w:lang w:val="en-US" w:eastAsia="zh-CN"/>
        </w:rPr>
      </w:pPr>
      <w:r>
        <w:rPr>
          <w:rFonts w:hint="eastAsia" w:ascii="宋体" w:hAnsi="宋体" w:cs="宋体"/>
          <w:b/>
          <w:bCs/>
          <w:color w:val="auto"/>
          <w:sz w:val="28"/>
          <w:szCs w:val="28"/>
          <w:highlight w:val="none"/>
          <w:lang w:val="en-US" w:eastAsia="zh-CN"/>
        </w:rPr>
        <w:t>（十）主材</w:t>
      </w:r>
      <w:r>
        <w:rPr>
          <w:rFonts w:hint="eastAsia" w:ascii="宋体" w:hAnsi="宋体" w:eastAsia="宋体" w:cs="宋体"/>
          <w:b/>
          <w:bCs/>
          <w:color w:val="auto"/>
          <w:sz w:val="28"/>
          <w:szCs w:val="28"/>
          <w:highlight w:val="none"/>
          <w:lang w:val="en-US" w:eastAsia="zh-CN"/>
        </w:rPr>
        <w:t>清单一览表</w:t>
      </w:r>
      <w:r>
        <w:rPr>
          <w:rFonts w:hint="eastAsia" w:ascii="宋体" w:hAnsi="宋体" w:cs="宋体"/>
          <w:b/>
          <w:bCs/>
          <w:color w:val="auto"/>
          <w:sz w:val="28"/>
          <w:szCs w:val="28"/>
          <w:highlight w:val="none"/>
          <w:lang w:val="en-US" w:eastAsia="zh-CN"/>
        </w:rPr>
        <w:t>（必须提供）</w:t>
      </w:r>
    </w:p>
    <w:tbl>
      <w:tblPr>
        <w:tblStyle w:val="22"/>
        <w:tblW w:w="11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288"/>
        <w:gridCol w:w="823"/>
        <w:gridCol w:w="855"/>
        <w:gridCol w:w="1245"/>
        <w:gridCol w:w="1005"/>
        <w:gridCol w:w="1155"/>
        <w:gridCol w:w="1058"/>
        <w:gridCol w:w="1058"/>
      </w:tblGrid>
      <w:tr w14:paraId="22B8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noWrap w:val="0"/>
            <w:vAlign w:val="center"/>
          </w:tcPr>
          <w:p w14:paraId="1B3F98F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288" w:type="dxa"/>
            <w:noWrap w:val="0"/>
            <w:vAlign w:val="center"/>
          </w:tcPr>
          <w:p w14:paraId="6B205A9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项目名称及特征描述</w:t>
            </w:r>
          </w:p>
        </w:tc>
        <w:tc>
          <w:tcPr>
            <w:tcW w:w="823" w:type="dxa"/>
            <w:shd w:val="clear" w:color="auto" w:fill="auto"/>
            <w:noWrap w:val="0"/>
            <w:vAlign w:val="center"/>
          </w:tcPr>
          <w:p w14:paraId="0D61C2B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计量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单位</w:t>
            </w:r>
          </w:p>
        </w:tc>
        <w:tc>
          <w:tcPr>
            <w:tcW w:w="855" w:type="dxa"/>
            <w:noWrap w:val="0"/>
            <w:vAlign w:val="center"/>
          </w:tcPr>
          <w:p w14:paraId="2DB35018">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1245" w:type="dxa"/>
            <w:noWrap w:val="0"/>
            <w:vAlign w:val="center"/>
          </w:tcPr>
          <w:p w14:paraId="680A12A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生产厂家</w:t>
            </w:r>
          </w:p>
        </w:tc>
        <w:tc>
          <w:tcPr>
            <w:tcW w:w="1005" w:type="dxa"/>
            <w:noWrap w:val="0"/>
            <w:vAlign w:val="center"/>
          </w:tcPr>
          <w:p w14:paraId="60B5DFE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品牌</w:t>
            </w:r>
          </w:p>
        </w:tc>
        <w:tc>
          <w:tcPr>
            <w:tcW w:w="1155" w:type="dxa"/>
            <w:noWrap w:val="0"/>
            <w:vAlign w:val="center"/>
          </w:tcPr>
          <w:p w14:paraId="48D7853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1058" w:type="dxa"/>
            <w:noWrap w:val="0"/>
            <w:vAlign w:val="center"/>
          </w:tcPr>
          <w:p w14:paraId="18B9663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单价（元）</w:t>
            </w:r>
          </w:p>
        </w:tc>
        <w:tc>
          <w:tcPr>
            <w:tcW w:w="1058" w:type="dxa"/>
            <w:noWrap w:val="0"/>
            <w:vAlign w:val="center"/>
          </w:tcPr>
          <w:p w14:paraId="20C2742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合计（元）</w:t>
            </w:r>
          </w:p>
        </w:tc>
      </w:tr>
      <w:tr w14:paraId="212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2" w:type="dxa"/>
            <w:noWrap w:val="0"/>
            <w:vAlign w:val="center"/>
          </w:tcPr>
          <w:p w14:paraId="7915B29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288" w:type="dxa"/>
            <w:noWrap w:val="0"/>
            <w:vAlign w:val="top"/>
          </w:tcPr>
          <w:p w14:paraId="218E74D2">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柴油发电机组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1.常用功率400KW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2.发电机、发动机品牌相当于玉柴、潍柴、上柴动力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3.单机试运转要求:符合运行要求</w:t>
            </w:r>
          </w:p>
        </w:tc>
        <w:tc>
          <w:tcPr>
            <w:tcW w:w="823" w:type="dxa"/>
            <w:shd w:val="clear" w:color="auto" w:fill="auto"/>
            <w:noWrap w:val="0"/>
            <w:vAlign w:val="top"/>
          </w:tcPr>
          <w:p w14:paraId="445FC7D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12AC2E0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0B9518D5">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72EE47FC">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60444509">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49C0EAEF">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C8AA1EB">
            <w:pPr>
              <w:jc w:val="center"/>
              <w:rPr>
                <w:rFonts w:hint="eastAsia" w:ascii="宋体" w:hAnsi="宋体" w:eastAsia="宋体" w:cs="宋体"/>
                <w:color w:val="auto"/>
                <w:sz w:val="21"/>
                <w:szCs w:val="21"/>
                <w:highlight w:val="none"/>
                <w:vertAlign w:val="baseline"/>
                <w:lang w:val="en-US" w:eastAsia="zh-CN"/>
              </w:rPr>
            </w:pPr>
          </w:p>
        </w:tc>
      </w:tr>
      <w:tr w14:paraId="096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72" w:type="dxa"/>
            <w:noWrap w:val="0"/>
            <w:vAlign w:val="center"/>
          </w:tcPr>
          <w:p w14:paraId="5B4CD17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3288" w:type="dxa"/>
            <w:noWrap w:val="0"/>
            <w:vAlign w:val="top"/>
          </w:tcPr>
          <w:p w14:paraId="332943D5">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双电源切换柜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二进五出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箱体外壳采用304不锈钢材料，厚度不应小于2mm，尺寸1000*2000*500(mm）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柜内配置详见系统图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安装方式：人民医院北门服务中心专变内</w:t>
            </w:r>
          </w:p>
        </w:tc>
        <w:tc>
          <w:tcPr>
            <w:tcW w:w="823" w:type="dxa"/>
            <w:shd w:val="clear" w:color="auto" w:fill="auto"/>
            <w:noWrap w:val="0"/>
            <w:vAlign w:val="top"/>
          </w:tcPr>
          <w:p w14:paraId="7AD2248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6687BD6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49F5D71E">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3E1DD6A9">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0E7E3114">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16EA2225">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02148DC6">
            <w:pPr>
              <w:jc w:val="center"/>
              <w:rPr>
                <w:rFonts w:hint="eastAsia" w:ascii="宋体" w:hAnsi="宋体" w:eastAsia="宋体" w:cs="宋体"/>
                <w:color w:val="auto"/>
                <w:sz w:val="21"/>
                <w:szCs w:val="21"/>
                <w:highlight w:val="none"/>
                <w:vertAlign w:val="baseline"/>
                <w:lang w:val="en-US" w:eastAsia="zh-CN"/>
              </w:rPr>
            </w:pPr>
          </w:p>
        </w:tc>
      </w:tr>
      <w:tr w14:paraId="5E2F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2" w:type="dxa"/>
            <w:noWrap w:val="0"/>
            <w:vAlign w:val="center"/>
          </w:tcPr>
          <w:p w14:paraId="6071368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3288" w:type="dxa"/>
            <w:noWrap w:val="0"/>
            <w:vAlign w:val="top"/>
          </w:tcPr>
          <w:p w14:paraId="6F766691">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总配电箱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一进八出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箱体外壳采用304不锈钢材料，厚度不应小于2mm，尺寸1600*1000*250(mm）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安装方式：挂墙安装</w:t>
            </w:r>
          </w:p>
        </w:tc>
        <w:tc>
          <w:tcPr>
            <w:tcW w:w="823" w:type="dxa"/>
            <w:shd w:val="clear" w:color="auto" w:fill="auto"/>
            <w:noWrap w:val="0"/>
            <w:vAlign w:val="top"/>
          </w:tcPr>
          <w:p w14:paraId="73A3F2C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2B8D5A0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16B7F3B2">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5CE755D0">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5FF3835D">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6012169C">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61427E97">
            <w:pPr>
              <w:jc w:val="center"/>
              <w:rPr>
                <w:rFonts w:hint="eastAsia" w:ascii="宋体" w:hAnsi="宋体" w:eastAsia="宋体" w:cs="宋体"/>
                <w:color w:val="auto"/>
                <w:sz w:val="21"/>
                <w:szCs w:val="21"/>
                <w:highlight w:val="none"/>
                <w:vertAlign w:val="baseline"/>
                <w:lang w:val="en-US" w:eastAsia="zh-CN"/>
              </w:rPr>
            </w:pPr>
          </w:p>
        </w:tc>
      </w:tr>
      <w:tr w14:paraId="1B3B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2" w:type="dxa"/>
            <w:noWrap w:val="0"/>
            <w:vAlign w:val="center"/>
          </w:tcPr>
          <w:p w14:paraId="5595C90B">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3288" w:type="dxa"/>
            <w:noWrap w:val="0"/>
            <w:vAlign w:val="top"/>
          </w:tcPr>
          <w:p w14:paraId="259AA98F">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CT室配电箱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一进二出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箱体外壳采用304不锈钢材料，厚度不应小于2mm，尺寸500*400*200(mm）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安装方式：挂墙安装</w:t>
            </w:r>
          </w:p>
        </w:tc>
        <w:tc>
          <w:tcPr>
            <w:tcW w:w="823" w:type="dxa"/>
            <w:shd w:val="clear" w:color="auto" w:fill="auto"/>
            <w:noWrap w:val="0"/>
            <w:vAlign w:val="top"/>
          </w:tcPr>
          <w:p w14:paraId="5B7D50B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174FC70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1DA1817D">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1F4E5905">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49DF355D">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76CEBD34">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4CB868F0">
            <w:pPr>
              <w:jc w:val="center"/>
              <w:rPr>
                <w:rFonts w:hint="eastAsia" w:ascii="宋体" w:hAnsi="宋体" w:eastAsia="宋体" w:cs="宋体"/>
                <w:color w:val="auto"/>
                <w:sz w:val="21"/>
                <w:szCs w:val="21"/>
                <w:highlight w:val="none"/>
                <w:vertAlign w:val="baseline"/>
                <w:lang w:val="en-US" w:eastAsia="zh-CN"/>
              </w:rPr>
            </w:pPr>
          </w:p>
        </w:tc>
      </w:tr>
      <w:tr w14:paraId="5DDC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2" w:type="dxa"/>
            <w:noWrap w:val="0"/>
            <w:vAlign w:val="center"/>
          </w:tcPr>
          <w:p w14:paraId="1F5AD35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3288" w:type="dxa"/>
            <w:noWrap w:val="0"/>
            <w:vAlign w:val="top"/>
          </w:tcPr>
          <w:p w14:paraId="3F08B808">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DR室配电箱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一进二出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箱体外壳采用304不锈钢材料，厚度不应小于2mm，尺寸500*400*200(mm）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 xml:space="preserve">箱内配置详见系统图 </w:t>
            </w:r>
            <w:r>
              <w:rPr>
                <w:rFonts w:hint="eastAsia" w:ascii="宋体" w:hAnsi="宋体" w:eastAsia="宋体" w:cs="宋体"/>
                <w:color w:val="auto"/>
                <w:sz w:val="21"/>
                <w:szCs w:val="21"/>
                <w:highlight w:val="none"/>
                <w:vertAlign w:val="baseline"/>
                <w:lang w:val="en-US" w:eastAsia="zh-CN"/>
              </w:rPr>
              <w:br w:type="textWrapping"/>
            </w:r>
            <w:r>
              <w:rPr>
                <w:rFonts w:hint="eastAsia" w:ascii="宋体" w:hAnsi="宋体" w:eastAsia="宋体" w:cs="宋体"/>
                <w:color w:val="auto"/>
                <w:sz w:val="21"/>
                <w:szCs w:val="21"/>
                <w:highlight w:val="none"/>
                <w:vertAlign w:val="baseline"/>
                <w:lang w:val="en-US" w:eastAsia="zh-CN"/>
              </w:rPr>
              <w:t>安装方式：挂墙安装</w:t>
            </w:r>
          </w:p>
        </w:tc>
        <w:tc>
          <w:tcPr>
            <w:tcW w:w="823" w:type="dxa"/>
            <w:shd w:val="clear" w:color="auto" w:fill="auto"/>
            <w:noWrap w:val="0"/>
            <w:vAlign w:val="top"/>
          </w:tcPr>
          <w:p w14:paraId="3FBA343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855" w:type="dxa"/>
            <w:noWrap w:val="0"/>
            <w:vAlign w:val="top"/>
          </w:tcPr>
          <w:p w14:paraId="5775D9D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45" w:type="dxa"/>
            <w:noWrap w:val="0"/>
            <w:vAlign w:val="center"/>
          </w:tcPr>
          <w:p w14:paraId="75927716">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5001812B">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584493F3">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68E25DA">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1B6E11A5">
            <w:pPr>
              <w:jc w:val="center"/>
              <w:rPr>
                <w:rFonts w:hint="eastAsia" w:ascii="宋体" w:hAnsi="宋体" w:eastAsia="宋体" w:cs="宋体"/>
                <w:color w:val="auto"/>
                <w:sz w:val="21"/>
                <w:szCs w:val="21"/>
                <w:highlight w:val="none"/>
                <w:vertAlign w:val="baseline"/>
                <w:lang w:val="en-US" w:eastAsia="zh-CN"/>
              </w:rPr>
            </w:pPr>
          </w:p>
        </w:tc>
      </w:tr>
      <w:tr w14:paraId="2F5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2" w:type="dxa"/>
            <w:noWrap w:val="0"/>
            <w:vAlign w:val="center"/>
          </w:tcPr>
          <w:p w14:paraId="56DDDA1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3288" w:type="dxa"/>
            <w:noWrap w:val="0"/>
            <w:vAlign w:val="center"/>
          </w:tcPr>
          <w:p w14:paraId="69588E0C">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电力电缆普通敷设 WDZA-YJY-0.6/1kV-4*185m㎡</w:t>
            </w:r>
          </w:p>
        </w:tc>
        <w:tc>
          <w:tcPr>
            <w:tcW w:w="823" w:type="dxa"/>
            <w:shd w:val="clear" w:color="auto" w:fill="auto"/>
            <w:noWrap w:val="0"/>
            <w:vAlign w:val="center"/>
          </w:tcPr>
          <w:p w14:paraId="1C812F8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w:t>
            </w:r>
          </w:p>
        </w:tc>
        <w:tc>
          <w:tcPr>
            <w:tcW w:w="855" w:type="dxa"/>
            <w:noWrap w:val="0"/>
            <w:vAlign w:val="center"/>
          </w:tcPr>
          <w:p w14:paraId="7FF0BF0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25.00</w:t>
            </w:r>
          </w:p>
        </w:tc>
        <w:tc>
          <w:tcPr>
            <w:tcW w:w="1245" w:type="dxa"/>
            <w:noWrap w:val="0"/>
            <w:vAlign w:val="center"/>
          </w:tcPr>
          <w:p w14:paraId="5EC86A60">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09820575">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343F5878">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362996D8">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8C69007">
            <w:pPr>
              <w:jc w:val="center"/>
              <w:rPr>
                <w:rFonts w:hint="eastAsia" w:ascii="宋体" w:hAnsi="宋体" w:eastAsia="宋体" w:cs="宋体"/>
                <w:color w:val="auto"/>
                <w:sz w:val="21"/>
                <w:szCs w:val="21"/>
                <w:highlight w:val="none"/>
                <w:vertAlign w:val="baseline"/>
                <w:lang w:val="en-US" w:eastAsia="zh-CN"/>
              </w:rPr>
            </w:pPr>
          </w:p>
        </w:tc>
      </w:tr>
      <w:tr w14:paraId="580E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noWrap w:val="0"/>
            <w:vAlign w:val="center"/>
          </w:tcPr>
          <w:p w14:paraId="4236080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3288" w:type="dxa"/>
            <w:noWrap w:val="0"/>
            <w:vAlign w:val="center"/>
          </w:tcPr>
          <w:p w14:paraId="781A435A">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电力电缆普通敷设 WDZA-YJY-0.6/1kV-4*95+1*50m㎡</w:t>
            </w:r>
          </w:p>
        </w:tc>
        <w:tc>
          <w:tcPr>
            <w:tcW w:w="823" w:type="dxa"/>
            <w:shd w:val="clear" w:color="auto" w:fill="auto"/>
            <w:noWrap w:val="0"/>
            <w:vAlign w:val="center"/>
          </w:tcPr>
          <w:p w14:paraId="5A7C310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m</w:t>
            </w:r>
          </w:p>
        </w:tc>
        <w:tc>
          <w:tcPr>
            <w:tcW w:w="855" w:type="dxa"/>
            <w:noWrap w:val="0"/>
            <w:vAlign w:val="center"/>
          </w:tcPr>
          <w:p w14:paraId="126ADD6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172.00</w:t>
            </w:r>
          </w:p>
        </w:tc>
        <w:tc>
          <w:tcPr>
            <w:tcW w:w="1245" w:type="dxa"/>
            <w:noWrap w:val="0"/>
            <w:vAlign w:val="center"/>
          </w:tcPr>
          <w:p w14:paraId="0B7F1014">
            <w:pPr>
              <w:jc w:val="center"/>
              <w:rPr>
                <w:rFonts w:hint="eastAsia" w:ascii="宋体" w:hAnsi="宋体" w:eastAsia="宋体" w:cs="宋体"/>
                <w:color w:val="auto"/>
                <w:sz w:val="21"/>
                <w:szCs w:val="21"/>
                <w:highlight w:val="none"/>
                <w:vertAlign w:val="baseline"/>
                <w:lang w:val="en-US" w:eastAsia="zh-CN"/>
              </w:rPr>
            </w:pPr>
          </w:p>
        </w:tc>
        <w:tc>
          <w:tcPr>
            <w:tcW w:w="1005" w:type="dxa"/>
            <w:noWrap w:val="0"/>
            <w:vAlign w:val="center"/>
          </w:tcPr>
          <w:p w14:paraId="76779F46">
            <w:pPr>
              <w:jc w:val="center"/>
              <w:rPr>
                <w:rFonts w:hint="eastAsia" w:ascii="宋体" w:hAnsi="宋体" w:eastAsia="宋体" w:cs="宋体"/>
                <w:color w:val="auto"/>
                <w:sz w:val="21"/>
                <w:szCs w:val="21"/>
                <w:highlight w:val="none"/>
                <w:vertAlign w:val="baseline"/>
                <w:lang w:val="en-US" w:eastAsia="zh-CN"/>
              </w:rPr>
            </w:pPr>
          </w:p>
        </w:tc>
        <w:tc>
          <w:tcPr>
            <w:tcW w:w="1155" w:type="dxa"/>
            <w:noWrap w:val="0"/>
            <w:vAlign w:val="center"/>
          </w:tcPr>
          <w:p w14:paraId="1D9AE1FF">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5096A7C1">
            <w:pPr>
              <w:jc w:val="center"/>
              <w:rPr>
                <w:rFonts w:hint="eastAsia" w:ascii="宋体" w:hAnsi="宋体" w:eastAsia="宋体" w:cs="宋体"/>
                <w:color w:val="auto"/>
                <w:sz w:val="21"/>
                <w:szCs w:val="21"/>
                <w:highlight w:val="none"/>
                <w:vertAlign w:val="baseline"/>
                <w:lang w:val="en-US" w:eastAsia="zh-CN"/>
              </w:rPr>
            </w:pPr>
          </w:p>
        </w:tc>
        <w:tc>
          <w:tcPr>
            <w:tcW w:w="1058" w:type="dxa"/>
            <w:noWrap w:val="0"/>
            <w:vAlign w:val="center"/>
          </w:tcPr>
          <w:p w14:paraId="748043AF">
            <w:pPr>
              <w:jc w:val="center"/>
              <w:rPr>
                <w:rFonts w:hint="eastAsia" w:ascii="宋体" w:hAnsi="宋体" w:eastAsia="宋体" w:cs="宋体"/>
                <w:color w:val="auto"/>
                <w:sz w:val="21"/>
                <w:szCs w:val="21"/>
                <w:highlight w:val="none"/>
                <w:vertAlign w:val="baseline"/>
                <w:lang w:val="en-US" w:eastAsia="zh-CN"/>
              </w:rPr>
            </w:pPr>
          </w:p>
        </w:tc>
      </w:tr>
    </w:tbl>
    <w:p w14:paraId="1AB0F5F3">
      <w:pPr>
        <w:spacing w:line="30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注：工程所需材料报价中需注明品牌型号，施工中所涉及的手续由承包方全权负责。</w:t>
      </w:r>
    </w:p>
    <w:p w14:paraId="178B79BE">
      <w:pPr>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br w:type="page"/>
      </w:r>
    </w:p>
    <w:p w14:paraId="02BA329D">
      <w:pPr>
        <w:pStyle w:val="12"/>
        <w:numPr>
          <w:ilvl w:val="255"/>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第五章  工程量清单说明</w:t>
      </w:r>
    </w:p>
    <w:p w14:paraId="664EF2EC">
      <w:pPr>
        <w:spacing w:line="420" w:lineRule="exact"/>
        <w:ind w:right="-2"/>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一、项目概况</w:t>
      </w:r>
    </w:p>
    <w:p w14:paraId="543AF5F2">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1.项目名称：桂林市人民医院北门社区服务中心电力改造及新增发电机组工程</w:t>
      </w:r>
    </w:p>
    <w:p w14:paraId="216F776E">
      <w:pPr>
        <w:pStyle w:val="14"/>
        <w:spacing w:line="400" w:lineRule="exac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2.项目地点：北门社区</w:t>
      </w:r>
      <w:r>
        <w:rPr>
          <w:rFonts w:hint="eastAsia" w:hAnsi="宋体" w:cs="宋体"/>
          <w:color w:val="auto"/>
          <w:kern w:val="2"/>
          <w:sz w:val="24"/>
          <w:szCs w:val="24"/>
          <w:highlight w:val="none"/>
          <w:lang w:val="en-US" w:eastAsia="zh-CN" w:bidi="ar-SA"/>
        </w:rPr>
        <w:t>卫生</w:t>
      </w:r>
      <w:r>
        <w:rPr>
          <w:rFonts w:hint="eastAsia" w:ascii="宋体" w:hAnsi="宋体" w:eastAsia="宋体" w:cs="宋体"/>
          <w:color w:val="auto"/>
          <w:kern w:val="2"/>
          <w:sz w:val="24"/>
          <w:szCs w:val="24"/>
          <w:highlight w:val="none"/>
          <w:lang w:val="en-US" w:eastAsia="zh-CN" w:bidi="ar-SA"/>
        </w:rPr>
        <w:t>服务中心</w:t>
      </w:r>
    </w:p>
    <w:p w14:paraId="1FC6D63C">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3.建设内容：</w:t>
      </w:r>
      <w:r>
        <w:rPr>
          <w:rFonts w:hint="eastAsia" w:ascii="宋体" w:hAnsi="宋体" w:cs="宋体"/>
          <w:color w:val="auto"/>
          <w:sz w:val="24"/>
          <w:highlight w:val="none"/>
          <w:lang w:val="en-US" w:eastAsia="zh-CN"/>
        </w:rPr>
        <w:t>北门社区服务中心电力改造并新增400kW柴油发电机组</w:t>
      </w:r>
    </w:p>
    <w:p w14:paraId="6441FEF1">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4.要求工期：</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0日历天（签订合同之日起</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0日历天内完工）。</w:t>
      </w:r>
    </w:p>
    <w:p w14:paraId="3676FC0F">
      <w:pPr>
        <w:pStyle w:val="14"/>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5.质量要求：达到国家施工验收规范合格标准。</w:t>
      </w:r>
    </w:p>
    <w:p w14:paraId="1616A4C5">
      <w:pPr>
        <w:spacing w:line="420" w:lineRule="exact"/>
        <w:ind w:right="-2"/>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工程量清单编制说明</w:t>
      </w:r>
    </w:p>
    <w:p w14:paraId="46F65C1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1.本项目工程量清单是根据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F34ACA8">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本工程量清单应与</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文件中的合同条款、技术标准和要求及图纸等一起结合使用。</w:t>
      </w:r>
    </w:p>
    <w:p w14:paraId="2EBEAA8D">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工程量清单是</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文件的组成部分，是工程量清单计价的基础，作为编制招标控制价、响应报价、计算或调整工程量、索赔等的依据之一。</w:t>
      </w:r>
    </w:p>
    <w:p w14:paraId="33175AA7">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补充清单项目的特征、计量单位、工程量计算规则及工作内容说明如下：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83CDA6">
      <w:pPr>
        <w:spacing w:line="420" w:lineRule="exact"/>
        <w:ind w:right="-2"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5.本工程暂列金额共</w:t>
      </w:r>
      <w:bookmarkStart w:id="17" w:name="OLE_LINK85"/>
      <w:bookmarkStart w:id="18" w:name="OLE_LINK84"/>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详见工程量清单</w:t>
      </w:r>
      <w:bookmarkEnd w:id="17"/>
      <w:bookmarkEnd w:id="18"/>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元，作为合同签订时尚未确定或者不可预见但施工中可能发生的费用。</w:t>
      </w:r>
    </w:p>
    <w:p w14:paraId="65163DC5">
      <w:pPr>
        <w:spacing w:line="420" w:lineRule="exact"/>
        <w:ind w:right="-2"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6.本工程专业工程暂估价：</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元，安全生产责任保险费详见工程量清单</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元计入暂估价（最终结算金额按实际发生的安全生产责任保险费为准）。</w:t>
      </w:r>
    </w:p>
    <w:p w14:paraId="712B4106">
      <w:pPr>
        <w:spacing w:line="420" w:lineRule="exact"/>
        <w:ind w:right="-2"/>
        <w:rPr>
          <w:rFonts w:hint="eastAsia" w:ascii="宋体" w:hAnsi="宋体" w:cs="宋体"/>
          <w:color w:val="auto"/>
          <w:sz w:val="24"/>
          <w:highlight w:val="none"/>
        </w:rPr>
      </w:pPr>
      <w:r>
        <w:rPr>
          <w:rFonts w:hint="eastAsia" w:ascii="宋体" w:hAnsi="宋体" w:cs="宋体"/>
          <w:color w:val="auto"/>
          <w:sz w:val="24"/>
          <w:highlight w:val="none"/>
          <w:lang w:val="en-US" w:eastAsia="zh-CN"/>
        </w:rPr>
        <w:t>三、投标</w:t>
      </w:r>
      <w:r>
        <w:rPr>
          <w:rFonts w:hint="eastAsia" w:ascii="宋体" w:hAnsi="宋体" w:cs="宋体"/>
          <w:color w:val="auto"/>
          <w:sz w:val="24"/>
          <w:highlight w:val="none"/>
        </w:rPr>
        <w:t>报价说明</w:t>
      </w:r>
    </w:p>
    <w:p w14:paraId="0587117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工程计价及结算参考依据：（1）《建设工程工程量清单计价规范》（GB50500-2013）；（2）《建设工程工程量清单计价规范（GB50500-2013）广西壮族自治区实施细则》；（3）《房屋建筑与装饰工程工程量计算规范》（GB50854-2013）；（4）《通用安装工程工程量计算规范》（GB50856-2013）；（5）《建设工程工程量清单计算规范（GB50854～50862-2013）广西壮族自治区实施细则》；（6）《广西壮族自治区建筑装饰装修工程消耗量定额》（2013）；（7）《广西壮族自治区建筑装饰装修工程人工材料配合比机械台班参考价》（2013）；（8）《广西壮族自治区安装工程消耗量定额》（2015）；（9）《广西壮族自治区建设工程费用定额》（2016）；（10）《自治区住房城乡建设厅关于印发广西壮族自治区房屋建筑和市政基础设施工程安全生产责任保险计价规定的通知》（桂建发〔2023〕6 号）的规定；（11）《自治区住房城乡建设厅关于调整建设工程定额人工费及有关费率的通知》（桂建标〔2023〕7号）的规定；（12）自治区住房城乡建设厅关于调整建设工程计价增值税税率的通知（桂建标〔2019〕12号）的规定；（13）自治区住房城乡建设厅关于建筑业实施营业税改增值税后广西壮族自治区建设工程计价依据调整的通知（桂建标〔2016〕17号）的规定；（14）《桂建标〔2018〕19号关于调整建设工程定额人工费及有关费率的通知》和《关于广西壮族自治区文物保护项目人工费审核原则的说明》、《关于做好建筑业营改增建设工程计价依据调整准备工作的通知》（建办标〔2016〕4号）、《关于全面推开营业税改征增值税试点的通知》（财税〔2016〕36号）、《关于建筑业增值税计价政策调整的通知》（建办标函〔2019〕193号）；（15）材料价格参照桂林市2025年《桂林市建设工程造价信息》第02期公布的信息价，桂林市未公布的信息价参考桂林市信息价及市场询价。材料价格均已包含市场至施工现场的运输费用，以及其他现行的有关文件、工程量清单总说明以及当地市场材料价格和补充资料等。</w:t>
      </w:r>
    </w:p>
    <w:p w14:paraId="25FF551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工程量清单中标价的单价或金额，应包括施工设备（含脚手架）、主要材料、辅助材料、安装（包含所安装设备）、垃圾清运、劳务、管理、维护、保险、利润、税金、政策性文件规定及合同包含的所有风险、责任等各项应有费用。</w:t>
      </w:r>
    </w:p>
    <w:p w14:paraId="63D8B674">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供应商应对</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文件中工程量清单所列的各项内容和要求作实质性响应。</w:t>
      </w:r>
    </w:p>
    <w:p w14:paraId="189FCBB7">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分部分项工程项目和单价措施项目，应根据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文件和招标工程量清单项目中的特征描述确定综合单价计算。如出现招标工程量清单特征描述与设计图纸不符时，供应商应以招标工程量清单的项目特征描述为准，确定响应报价的综合单价。</w:t>
      </w:r>
    </w:p>
    <w:p w14:paraId="7F6AE1DE">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总价措施项目的金额应根据</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文件及响应时拟定的施工组织设计或施工方案，按计价规范的规定自主确定。但安全文明施工费按国家、省级或行业建设主管部门的有关规定执行，作为不竞争费用单列。</w:t>
      </w:r>
    </w:p>
    <w:p w14:paraId="6837158A">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其他项目费应按下列规定报价：</w:t>
      </w:r>
    </w:p>
    <w:p w14:paraId="3453596A">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（1）暂列金额应按工程量清单中列出的金额填写；</w:t>
      </w:r>
    </w:p>
    <w:p w14:paraId="21A7FEA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（2）材料、工程设备暂估价应按工程量清单中列出的单价计入综合单价；</w:t>
      </w:r>
    </w:p>
    <w:p w14:paraId="1AE970FC">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（3）暂估价应按工程量清单中列出的金额填写；</w:t>
      </w:r>
    </w:p>
    <w:p w14:paraId="14EDC7B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（4）计日工应按工程量清单中列出的项目和估算数量，自主确定综合单价并计算计日工总额；计日工单价均不含规费和税金；</w:t>
      </w:r>
    </w:p>
    <w:p w14:paraId="28C8D369">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（5）总承包服务费应根据工程量清单中列出的内容和供应材料、设备情况，按照采购人提出的协调、配合与服务要求和施工现场管理需要自主确定。</w:t>
      </w:r>
    </w:p>
    <w:p w14:paraId="3A5F2618">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规费和增值税应按规定确定，作为不可竞争费用。</w:t>
      </w:r>
    </w:p>
    <w:p w14:paraId="4BE869A5">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F4306D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价应当与分部分项工程费、措施项目费、其他项目费和规费、增值税的合计金额一致。</w:t>
      </w:r>
    </w:p>
    <w:p w14:paraId="669C4340">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供应商应按《</w:t>
      </w:r>
      <w:r>
        <w:rPr>
          <w:rFonts w:hint="eastAsia" w:ascii="宋体" w:hAnsi="宋体" w:cs="宋体"/>
          <w:color w:val="auto"/>
          <w:sz w:val="24"/>
          <w:highlight w:val="none"/>
          <w:lang w:val="en-US" w:eastAsia="zh-CN"/>
        </w:rPr>
        <w:t>工程</w:t>
      </w:r>
      <w:r>
        <w:rPr>
          <w:rFonts w:hint="eastAsia" w:ascii="宋体" w:hAnsi="宋体" w:cs="宋体"/>
          <w:color w:val="auto"/>
          <w:sz w:val="24"/>
          <w:highlight w:val="none"/>
        </w:rPr>
        <w:t>材料和工程设备一览表》的内容填报，不得擅自调整材料和设备名称型号规格、单位、风险系数、基准单价。</w:t>
      </w:r>
    </w:p>
    <w:p w14:paraId="570B75E3">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未尽事宜详见本工程招标工程量清单、</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文件以及现行《计价规范》等有关规定执行，有新规范的以最新规范执行。</w:t>
      </w:r>
    </w:p>
    <w:p w14:paraId="2742607C">
      <w:pPr>
        <w:spacing w:line="420" w:lineRule="exact"/>
        <w:ind w:right="-2"/>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其他说明</w:t>
      </w:r>
    </w:p>
    <w:p w14:paraId="64510E93">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报价采用固定综合单价包干。投标单位所填写的综合单价在合同实施期间不因市场变化因素而变化，中标综合单价即为结算综合单价，在合同实施期间，由于施工方法的修正、变更而引起的费用增加，由施工单位自理，不另追加费用，投标单位在计算报价时可考虑一定的风险系数。本工程供应商应根据施工期间材料可能由于市场价格上涨（或下跌）因素自行考虑由此引起的风险并计入响应报价中。供应商应对自己的报价承担风险。</w:t>
      </w:r>
    </w:p>
    <w:p w14:paraId="5A4E2CF5">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应按招标工程量清单填报价格。项目编码、项目名称、项目特征、计量单位、工程量必须与招标工程量清单一致，供应商不得对招标工程量清单项目进行增减调整。评标时，如项目编码、项目名称、项目特征、计量单位、工程数量等无法一一对应，视为不响应</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文件实质性内容，作无效响应处理。</w:t>
      </w:r>
    </w:p>
    <w:p w14:paraId="46C50CDF">
      <w:pPr>
        <w:spacing w:line="420" w:lineRule="exact"/>
        <w:ind w:right="-2"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3.供应商应依据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招标工程量清单以及《计价规范》、《计算规范》自主报价，自主报价不得违反计价规范强制性条文规定。并采用综合单价进行工程量清单响应报价，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r>
        <w:rPr>
          <w:rFonts w:hint="eastAsia" w:ascii="宋体" w:hAnsi="宋体" w:cs="宋体"/>
          <w:color w:val="auto"/>
          <w:sz w:val="24"/>
          <w:highlight w:val="none"/>
          <w:lang w:eastAsia="zh-CN"/>
        </w:rPr>
        <w:t>。</w:t>
      </w:r>
    </w:p>
    <w:p w14:paraId="337D9E47">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供应商应先到工地踏勘以充分了解工地位置、道路、储存空间、装卸限制及任何其他足以影响承包价的情况，任何因忽视或误解工地情况而导致的索赔或工期延长申请将不获批准。</w:t>
      </w:r>
    </w:p>
    <w:p w14:paraId="1E63FBB6">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综合单价中应包含</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文件中划分的应由供应商承担的风险范围及其费用。</w:t>
      </w:r>
    </w:p>
    <w:p w14:paraId="5C87616D">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供应商报价依据：本工程</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文件、工程量清单、采购人提供的及有关的计价文件、国家行业和地方现行标准、规范和规程。</w:t>
      </w:r>
    </w:p>
    <w:p w14:paraId="2CF215FC">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本工程合同实施期间，因不可预见因素或设计及发包人要求所发生的工程量增减（由变更签证产生），按其实际发生的工程量经发包人代表签证确认，工程量按实际结算，其结算综合单价的确定按单价按相关规定计算，其最终结算价格以第三方审核后的价格为准。</w:t>
      </w:r>
    </w:p>
    <w:p w14:paraId="0624AD91">
      <w:pPr>
        <w:spacing w:line="420" w:lineRule="exact"/>
        <w:ind w:right="-2"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已标价工程量清单</w:t>
      </w:r>
    </w:p>
    <w:p w14:paraId="5E660A90">
      <w:pPr>
        <w:spacing w:line="420" w:lineRule="exact"/>
        <w:ind w:right="-2"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一般计税法建设工程已标价工程量清单表格按《关于建筑业实施营业税改征增值税后广西壮族自治区建设工程计价依据调整的通知》（桂建标〔2016〕17号）附件“增值税一般计税方法工程计价表”要求提供，简易计税法表格按《〈建设工程工程量清单计价规范〉（GB5050-2013）广西壮族自治区实施细则》要求的表格提供，但规费和税费按照《关于建筑业实施营业税改征增值税后广西壮族自治区建设工程计价依据调整的通知》（桂建标〔2016〕17号）调整，各文件有新文件以新文件执行。</w:t>
      </w:r>
      <w:r>
        <w:rPr>
          <w:rFonts w:hint="eastAsia" w:ascii="宋体" w:hAnsi="宋体" w:cs="宋体"/>
          <w:b/>
          <w:bCs/>
          <w:color w:val="auto"/>
          <w:sz w:val="24"/>
          <w:highlight w:val="none"/>
        </w:rPr>
        <w:t>未尽事宜详见本工程招标工程量清单（另册后附）、招标控制价（招标控制价）编制说明以及现行《建设工程工程量清单计价规范》等有关规定执行。</w:t>
      </w:r>
    </w:p>
    <w:p w14:paraId="204230B3">
      <w:pPr>
        <w:pStyle w:val="28"/>
        <w:widowControl/>
        <w:spacing w:line="435" w:lineRule="atLeast"/>
        <w:ind w:left="0" w:leftChars="0" w:firstLine="0" w:firstLineChars="0"/>
        <w:jc w:val="both"/>
        <w:rPr>
          <w:rFonts w:hint="default" w:ascii="宋体" w:hAnsi="宋体" w:eastAsia="宋体" w:cs="宋体"/>
          <w:b/>
          <w:color w:val="auto"/>
          <w:kern w:val="0"/>
          <w:sz w:val="24"/>
          <w:szCs w:val="24"/>
          <w:highlight w:val="none"/>
          <w:lang w:val="en-US" w:eastAsia="zh-CN"/>
        </w:rPr>
      </w:pPr>
      <w:r>
        <w:rPr>
          <w:rFonts w:hint="eastAsia" w:ascii="Times New Roman"/>
          <w:b/>
          <w:bCs/>
          <w:color w:val="auto"/>
          <w:sz w:val="24"/>
          <w:szCs w:val="24"/>
          <w:highlight w:val="none"/>
          <w:lang w:val="en-US" w:eastAsia="zh-CN"/>
        </w:rPr>
        <w:t>五</w:t>
      </w:r>
      <w:r>
        <w:rPr>
          <w:rFonts w:hint="eastAsia" w:ascii="宋体" w:hAnsi="宋体" w:eastAsia="宋体" w:cs="宋体"/>
          <w:b/>
          <w:color w:val="auto"/>
          <w:kern w:val="0"/>
          <w:sz w:val="24"/>
          <w:szCs w:val="24"/>
          <w:highlight w:val="none"/>
          <w:lang w:val="en-US" w:eastAsia="zh-CN"/>
        </w:rPr>
        <w:t>、</w:t>
      </w:r>
      <w:r>
        <w:rPr>
          <w:rFonts w:hint="eastAsia" w:cs="宋体"/>
          <w:b/>
          <w:color w:val="auto"/>
          <w:kern w:val="0"/>
          <w:sz w:val="24"/>
          <w:szCs w:val="24"/>
          <w:highlight w:val="none"/>
          <w:lang w:val="en-US" w:eastAsia="zh-CN"/>
        </w:rPr>
        <w:t>商务要求</w:t>
      </w:r>
    </w:p>
    <w:p w14:paraId="4210F4D7">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1.付款方式</w:t>
      </w:r>
    </w:p>
    <w:p w14:paraId="3A77339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（1）合同签订、签发开工令支付合同造价的20%(扣除暂列金，安全风险金 2%，履约保证金 3%)；</w:t>
      </w:r>
    </w:p>
    <w:p w14:paraId="2B7D04FD">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（2）主要设备进场后采购人支付至合同总额的50%作为工程进度款，用于土建、安装及设备与材料的款项支付；</w:t>
      </w:r>
    </w:p>
    <w:p w14:paraId="1F392C7A">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（3）本工程施工完成、送电验收合格后，支付至合同总额的80%，</w:t>
      </w:r>
    </w:p>
    <w:p w14:paraId="19397334">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（4）中标人提交竣工付款申请单，最终结算以审计部门的审定结果为准。验收合格后，工程款按最终审定的结算造价支付至95％，</w:t>
      </w:r>
    </w:p>
    <w:p w14:paraId="3C1AB77A">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4）余工程审核造价金额的5%作为质保金，质保期自竣工之日起计算三年及以上（防水5年），质保期满如未出现质量缺陷，或虽出现质量缺陷，但中标人已按合同约定条款履行了保修责任，并经采购人验收合格，30个工作日后付清（无息）。</w:t>
      </w:r>
    </w:p>
    <w:p w14:paraId="5712343F">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5）每次付款前，中标人需向采购人提供等额有效税务发票。（各阶段进度款均需先扣除暂列金）；工程款的支付形式为银行转账；中标人应该开具真实、有效的税务发票，一旦查出中标人提供的发票作假，自动解除协议并且采购人有权利不支付该笔发票款项。</w:t>
      </w:r>
    </w:p>
    <w:p w14:paraId="5CCCF1E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2.验收标准</w:t>
      </w:r>
    </w:p>
    <w:p w14:paraId="1FB12A8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rPr>
        <w:t>工程质量合格。</w:t>
      </w:r>
      <w:r>
        <w:rPr>
          <w:rFonts w:hint="eastAsia"/>
          <w:color w:val="auto"/>
          <w:sz w:val="24"/>
          <w:highlight w:val="none"/>
          <w:lang w:eastAsia="zh-CN"/>
        </w:rPr>
        <w:t>中标人</w:t>
      </w:r>
      <w:r>
        <w:rPr>
          <w:rFonts w:hint="eastAsia"/>
          <w:color w:val="auto"/>
          <w:sz w:val="24"/>
          <w:highlight w:val="none"/>
        </w:rPr>
        <w:t>必须严格按照国家现行有关标准、施工规范、设计文件及现行施工验收规范等要求进行施工，工程质量达到国家施工验收规范标准。</w:t>
      </w:r>
      <w:r>
        <w:rPr>
          <w:rFonts w:hint="eastAsia"/>
          <w:color w:val="auto"/>
          <w:sz w:val="24"/>
          <w:highlight w:val="none"/>
          <w:lang w:eastAsia="zh-CN"/>
        </w:rPr>
        <w:t>中标人</w:t>
      </w:r>
      <w:r>
        <w:rPr>
          <w:rFonts w:hint="eastAsia"/>
          <w:color w:val="auto"/>
          <w:sz w:val="24"/>
          <w:highlight w:val="none"/>
        </w:rPr>
        <w:t>应服从监理、</w:t>
      </w:r>
      <w:r>
        <w:rPr>
          <w:rFonts w:hint="eastAsia"/>
          <w:color w:val="auto"/>
          <w:sz w:val="24"/>
          <w:highlight w:val="none"/>
          <w:lang w:eastAsia="zh-CN"/>
        </w:rPr>
        <w:t>采购人</w:t>
      </w:r>
      <w:r>
        <w:rPr>
          <w:rFonts w:hint="eastAsia"/>
          <w:color w:val="auto"/>
          <w:sz w:val="24"/>
          <w:highlight w:val="none"/>
        </w:rPr>
        <w:t>的施工指令，随时接受监理、</w:t>
      </w:r>
      <w:r>
        <w:rPr>
          <w:rFonts w:hint="eastAsia"/>
          <w:color w:val="auto"/>
          <w:sz w:val="24"/>
          <w:highlight w:val="none"/>
          <w:lang w:eastAsia="zh-CN"/>
        </w:rPr>
        <w:t>采购人</w:t>
      </w:r>
      <w:r>
        <w:rPr>
          <w:rFonts w:hint="eastAsia"/>
          <w:color w:val="auto"/>
          <w:sz w:val="24"/>
          <w:highlight w:val="none"/>
        </w:rPr>
        <w:t>及其委派人员的检查检验。</w:t>
      </w:r>
    </w:p>
    <w:p w14:paraId="6814116C">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default"/>
          <w:color w:val="auto"/>
          <w:sz w:val="24"/>
          <w:highlight w:val="none"/>
          <w:lang w:val="en-US" w:eastAsia="zh-CN"/>
        </w:rPr>
        <w:t>1.1</w:t>
      </w:r>
      <w:r>
        <w:rPr>
          <w:rFonts w:hint="eastAsia"/>
          <w:color w:val="auto"/>
          <w:sz w:val="24"/>
          <w:highlight w:val="none"/>
        </w:rPr>
        <w:t>适用法律法规：《中华人民共和国民法典》。</w:t>
      </w:r>
    </w:p>
    <w:p w14:paraId="5AFCF60C">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w:t>
      </w:r>
      <w:r>
        <w:rPr>
          <w:rFonts w:hint="eastAsia"/>
          <w:color w:val="auto"/>
          <w:sz w:val="24"/>
          <w:highlight w:val="none"/>
        </w:rPr>
        <w:t>适用标准、规范：</w:t>
      </w:r>
    </w:p>
    <w:p w14:paraId="1E488381">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1.2.1《普通混凝土配合比设计规定（JGJ55-2011）》</w:t>
      </w:r>
    </w:p>
    <w:p w14:paraId="4714F6EC">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1.2.2《混凝土强度检验评定标准（GB50107-2010）》</w:t>
      </w:r>
    </w:p>
    <w:p w14:paraId="5C673AB2">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1.2.3《混凝土结构工程施工质量验收规范（GB50204-2015）》</w:t>
      </w:r>
    </w:p>
    <w:p w14:paraId="37CA4A81">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1.2.4《钢结构焊接规程（GB50661-2011）》</w:t>
      </w:r>
    </w:p>
    <w:p w14:paraId="18C855AD">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1.2.5《电器装置安装工程 低压电器施工及验收规范（GB50254-2014）》</w:t>
      </w:r>
    </w:p>
    <w:p w14:paraId="08A8917F">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1.2.6《1kV及以下配线工程施工与验收规范（GB 50575-2010）》</w:t>
      </w:r>
    </w:p>
    <w:p w14:paraId="489A1936">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1.2.7《高压绝缘子瓷件技术条件（GB/T 772-2005）》</w:t>
      </w:r>
    </w:p>
    <w:p w14:paraId="1ECFF79E">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1.2.8</w:t>
      </w:r>
      <w:r>
        <w:rPr>
          <w:rFonts w:hint="eastAsia"/>
          <w:color w:val="auto"/>
          <w:sz w:val="24"/>
          <w:highlight w:val="none"/>
        </w:rPr>
        <w:t>《1000kV架空输电线路施工及验收规范（Q/GDW 1153-2012）》</w:t>
      </w:r>
    </w:p>
    <w:p w14:paraId="5C158776">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1.2.9</w:t>
      </w:r>
      <w:r>
        <w:rPr>
          <w:rFonts w:hint="eastAsia"/>
          <w:color w:val="auto"/>
          <w:sz w:val="24"/>
          <w:highlight w:val="none"/>
        </w:rPr>
        <w:t>《电气装置安装工程高压电器施工及验收规范（GB50147-2010）》</w:t>
      </w:r>
    </w:p>
    <w:p w14:paraId="194D262E">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1.2.10</w:t>
      </w:r>
      <w:r>
        <w:rPr>
          <w:rFonts w:hint="eastAsia"/>
          <w:color w:val="auto"/>
          <w:sz w:val="24"/>
          <w:highlight w:val="none"/>
        </w:rPr>
        <w:t>《电气装置安装工程电力变压器、油浸电抗器、互感器施工及验收规范（GB</w:t>
      </w:r>
      <w:r>
        <w:rPr>
          <w:rFonts w:hint="eastAsia"/>
          <w:color w:val="auto"/>
          <w:sz w:val="24"/>
          <w:highlight w:val="none"/>
          <w:lang w:val="en-US" w:eastAsia="zh-CN"/>
        </w:rPr>
        <w:t>5</w:t>
      </w:r>
      <w:r>
        <w:rPr>
          <w:rFonts w:hint="eastAsia"/>
          <w:color w:val="auto"/>
          <w:sz w:val="24"/>
          <w:highlight w:val="none"/>
        </w:rPr>
        <w:t>0148-2010）》</w:t>
      </w:r>
    </w:p>
    <w:p w14:paraId="7409C4CE">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1.2.11《电气装置安装工程盘、柜及二次回路接线施工及验收规范（GB50171-2012）》</w:t>
      </w:r>
    </w:p>
    <w:p w14:paraId="7098BEC9">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1.2.12《1000kV系统电气装置安装工程电气设备交接试验标准（GB/T50832-2013）》</w:t>
      </w:r>
    </w:p>
    <w:p w14:paraId="64756A58">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1.2.13</w:t>
      </w:r>
      <w:r>
        <w:rPr>
          <w:rFonts w:hint="eastAsia"/>
          <w:color w:val="auto"/>
          <w:sz w:val="24"/>
          <w:highlight w:val="none"/>
        </w:rPr>
        <w:t>《电气装置安装工程 电缆线路施工及验收标准</w:t>
      </w:r>
      <w:r>
        <w:rPr>
          <w:rFonts w:hint="eastAsia"/>
          <w:color w:val="auto"/>
          <w:sz w:val="24"/>
          <w:highlight w:val="none"/>
          <w:lang w:val="en-US" w:eastAsia="zh-CN"/>
        </w:rPr>
        <w:t>（</w:t>
      </w:r>
      <w:r>
        <w:rPr>
          <w:rFonts w:hint="eastAsia"/>
          <w:color w:val="auto"/>
          <w:sz w:val="24"/>
          <w:highlight w:val="none"/>
        </w:rPr>
        <w:t>GB 50168-2018</w:t>
      </w:r>
      <w:r>
        <w:rPr>
          <w:rFonts w:hint="eastAsia"/>
          <w:color w:val="auto"/>
          <w:sz w:val="24"/>
          <w:highlight w:val="none"/>
          <w:lang w:val="en-US" w:eastAsia="zh-CN"/>
        </w:rPr>
        <w:t>）</w:t>
      </w:r>
      <w:r>
        <w:rPr>
          <w:rFonts w:hint="eastAsia"/>
          <w:color w:val="auto"/>
          <w:sz w:val="24"/>
          <w:highlight w:val="none"/>
        </w:rPr>
        <w:t>》</w:t>
      </w:r>
    </w:p>
    <w:p w14:paraId="21AAB90F">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1.2.14</w:t>
      </w:r>
      <w:r>
        <w:rPr>
          <w:rFonts w:hint="eastAsia"/>
          <w:color w:val="auto"/>
          <w:sz w:val="24"/>
          <w:highlight w:val="none"/>
        </w:rPr>
        <w:t>《电气装置安装工程接地装置施工及验收规范（GB50169-2016）》</w:t>
      </w:r>
    </w:p>
    <w:p w14:paraId="3985E2D5">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val="en-US" w:eastAsia="zh-CN"/>
        </w:rPr>
        <w:t>1.2.15</w:t>
      </w:r>
      <w:r>
        <w:rPr>
          <w:rFonts w:hint="eastAsia"/>
          <w:color w:val="auto"/>
          <w:sz w:val="24"/>
          <w:highlight w:val="none"/>
        </w:rPr>
        <w:t>《电气装置安装工程质量检验及评定规程（DL/T 5161.17-2018）》</w:t>
      </w:r>
    </w:p>
    <w:p w14:paraId="1F236E34">
      <w:pPr>
        <w:keepNext w:val="0"/>
        <w:keepLines w:val="0"/>
        <w:pageBreakBefore w:val="0"/>
        <w:widowControl w:val="0"/>
        <w:kinsoku/>
        <w:wordWrap/>
        <w:overflowPunct/>
        <w:topLinePunct w:val="0"/>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）中标人</w:t>
      </w:r>
      <w:r>
        <w:rPr>
          <w:rFonts w:hint="eastAsia"/>
          <w:color w:val="auto"/>
          <w:sz w:val="24"/>
          <w:highlight w:val="none"/>
        </w:rPr>
        <w:t>提供的材料必须符合设计文件的规定要求，提供的设备、材料必须是新近出厂的材料，并附有出厂合格证明或材质检测报告及检验合格证书等，经</w:t>
      </w:r>
      <w:r>
        <w:rPr>
          <w:rFonts w:hint="eastAsia"/>
          <w:color w:val="auto"/>
          <w:sz w:val="24"/>
          <w:highlight w:val="none"/>
          <w:lang w:eastAsia="zh-CN"/>
        </w:rPr>
        <w:t>采购人</w:t>
      </w:r>
      <w:r>
        <w:rPr>
          <w:rFonts w:hint="eastAsia"/>
          <w:color w:val="auto"/>
          <w:sz w:val="24"/>
          <w:highlight w:val="none"/>
        </w:rPr>
        <w:t>及监理工程师验收合格后方可进场安装施工，并以此</w:t>
      </w:r>
      <w:r>
        <w:rPr>
          <w:rFonts w:hint="eastAsia"/>
          <w:color w:val="auto"/>
          <w:sz w:val="24"/>
          <w:highlight w:val="none"/>
          <w:lang w:eastAsia="zh-CN"/>
        </w:rPr>
        <w:t>采购人</w:t>
      </w:r>
      <w:r>
        <w:rPr>
          <w:rFonts w:hint="eastAsia"/>
          <w:color w:val="auto"/>
          <w:sz w:val="24"/>
          <w:highlight w:val="none"/>
        </w:rPr>
        <w:t>及监理工程师验收签认的凭证作为该设备、材料价款结算的依据。</w:t>
      </w:r>
    </w:p>
    <w:p w14:paraId="5723851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）中标人</w:t>
      </w:r>
      <w:r>
        <w:rPr>
          <w:rFonts w:hint="eastAsia"/>
          <w:color w:val="auto"/>
          <w:sz w:val="24"/>
          <w:highlight w:val="none"/>
        </w:rPr>
        <w:t>须做好施工原始记录，隐蔽工程记录。隐蔽工程在隐蔽前，应通知</w:t>
      </w:r>
      <w:r>
        <w:rPr>
          <w:rFonts w:hint="eastAsia"/>
          <w:color w:val="auto"/>
          <w:sz w:val="24"/>
          <w:highlight w:val="none"/>
          <w:lang w:eastAsia="zh-CN"/>
        </w:rPr>
        <w:t>采购人</w:t>
      </w:r>
      <w:r>
        <w:rPr>
          <w:rFonts w:hint="eastAsia"/>
          <w:color w:val="auto"/>
          <w:sz w:val="24"/>
          <w:highlight w:val="none"/>
        </w:rPr>
        <w:t>进行验收，验收合格后方可进行隐蔽，如</w:t>
      </w:r>
      <w:r>
        <w:rPr>
          <w:rFonts w:hint="eastAsia"/>
          <w:color w:val="auto"/>
          <w:sz w:val="24"/>
          <w:highlight w:val="none"/>
          <w:lang w:eastAsia="zh-CN"/>
        </w:rPr>
        <w:t>采购人</w:t>
      </w:r>
      <w:r>
        <w:rPr>
          <w:rFonts w:hint="eastAsia"/>
          <w:color w:val="auto"/>
          <w:sz w:val="24"/>
          <w:highlight w:val="none"/>
        </w:rPr>
        <w:t>接到</w:t>
      </w:r>
      <w:r>
        <w:rPr>
          <w:rFonts w:hint="eastAsia"/>
          <w:color w:val="auto"/>
          <w:sz w:val="24"/>
          <w:highlight w:val="none"/>
          <w:lang w:eastAsia="zh-CN"/>
        </w:rPr>
        <w:t>中标人</w:t>
      </w:r>
      <w:r>
        <w:rPr>
          <w:rFonts w:hint="eastAsia"/>
          <w:color w:val="auto"/>
          <w:sz w:val="24"/>
          <w:highlight w:val="none"/>
        </w:rPr>
        <w:t>通知后超过2个工作日未组织检查，则视为验收通过；如果</w:t>
      </w:r>
      <w:r>
        <w:rPr>
          <w:rFonts w:hint="eastAsia"/>
          <w:color w:val="auto"/>
          <w:sz w:val="24"/>
          <w:highlight w:val="none"/>
          <w:lang w:eastAsia="zh-CN"/>
        </w:rPr>
        <w:t>采购人</w:t>
      </w:r>
      <w:r>
        <w:rPr>
          <w:rFonts w:hint="eastAsia"/>
          <w:color w:val="auto"/>
          <w:sz w:val="24"/>
          <w:highlight w:val="none"/>
        </w:rPr>
        <w:t>要求对已隐蔽的内容进行检查／复查，</w:t>
      </w:r>
      <w:r>
        <w:rPr>
          <w:rFonts w:hint="eastAsia"/>
          <w:color w:val="auto"/>
          <w:sz w:val="24"/>
          <w:highlight w:val="none"/>
          <w:lang w:eastAsia="zh-CN"/>
        </w:rPr>
        <w:t>中标人</w:t>
      </w:r>
      <w:r>
        <w:rPr>
          <w:rFonts w:hint="eastAsia"/>
          <w:color w:val="auto"/>
          <w:sz w:val="24"/>
          <w:highlight w:val="none"/>
        </w:rPr>
        <w:t>应积极配合，经检查为合格，费用由</w:t>
      </w:r>
      <w:r>
        <w:rPr>
          <w:rFonts w:hint="eastAsia"/>
          <w:color w:val="auto"/>
          <w:sz w:val="24"/>
          <w:highlight w:val="none"/>
          <w:lang w:eastAsia="zh-CN"/>
        </w:rPr>
        <w:t>采购人</w:t>
      </w:r>
      <w:r>
        <w:rPr>
          <w:rFonts w:hint="eastAsia"/>
          <w:color w:val="auto"/>
          <w:sz w:val="24"/>
          <w:highlight w:val="none"/>
        </w:rPr>
        <w:t>负责；经检查为不合格者，</w:t>
      </w:r>
      <w:r>
        <w:rPr>
          <w:rFonts w:hint="eastAsia"/>
          <w:color w:val="auto"/>
          <w:sz w:val="24"/>
          <w:highlight w:val="none"/>
          <w:lang w:eastAsia="zh-CN"/>
        </w:rPr>
        <w:t>中标人</w:t>
      </w:r>
      <w:r>
        <w:rPr>
          <w:rFonts w:hint="eastAsia"/>
          <w:color w:val="auto"/>
          <w:sz w:val="24"/>
          <w:highlight w:val="none"/>
        </w:rPr>
        <w:t>应返工，费用及工期延误均由</w:t>
      </w:r>
      <w:r>
        <w:rPr>
          <w:rFonts w:hint="eastAsia"/>
          <w:color w:val="auto"/>
          <w:sz w:val="24"/>
          <w:highlight w:val="none"/>
          <w:lang w:eastAsia="zh-CN"/>
        </w:rPr>
        <w:t>中标人</w:t>
      </w:r>
      <w:r>
        <w:rPr>
          <w:rFonts w:hint="eastAsia"/>
          <w:color w:val="auto"/>
          <w:sz w:val="24"/>
          <w:highlight w:val="none"/>
        </w:rPr>
        <w:t>负责。</w:t>
      </w:r>
    </w:p>
    <w:p w14:paraId="728B33C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3</w:t>
      </w:r>
      <w:r>
        <w:rPr>
          <w:rFonts w:hint="eastAsia" w:ascii="Times New Roman"/>
          <w:b w:val="0"/>
          <w:bCs w:val="0"/>
          <w:color w:val="auto"/>
          <w:sz w:val="24"/>
          <w:szCs w:val="24"/>
          <w:highlight w:val="none"/>
          <w:lang w:val="en-US" w:eastAsia="zh-CN"/>
        </w:rPr>
        <w:t>.保修要求</w:t>
      </w:r>
    </w:p>
    <w:p w14:paraId="7EE2426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（1）保修范围：中标人负责对所承建工程的施工范围所出现质量问题予以保修。</w:t>
      </w:r>
    </w:p>
    <w:p w14:paraId="4AFBC234">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（2）保修期限：从工程通过桂林供电部门验收且同时通过采购人竣工验收之日起计算，保修期</w:t>
      </w:r>
      <w:r>
        <w:rPr>
          <w:rStyle w:val="33"/>
          <w:rFonts w:hint="eastAsia" w:cs="宋体"/>
          <w:color w:val="auto"/>
          <w:kern w:val="0"/>
          <w:sz w:val="24"/>
          <w:szCs w:val="24"/>
          <w:highlight w:val="none"/>
          <w:u w:val="single"/>
          <w:lang w:val="en-US" w:eastAsia="zh-CN"/>
        </w:rPr>
        <w:t>三年及以上</w:t>
      </w:r>
      <w:r>
        <w:rPr>
          <w:rFonts w:hint="eastAsia" w:ascii="Times New Roman"/>
          <w:b w:val="0"/>
          <w:bCs w:val="0"/>
          <w:color w:val="auto"/>
          <w:sz w:val="24"/>
          <w:szCs w:val="24"/>
          <w:highlight w:val="none"/>
          <w:lang w:val="en-US" w:eastAsia="zh-CN"/>
        </w:rPr>
        <w:t>。</w:t>
      </w:r>
    </w:p>
    <w:p w14:paraId="61F2374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保修期间，在保修范围和保修期限内发生质量问题的，中标人应当履行保修责任。如因中标人原因造成的质量问题，中标人在接到采购人书面通知之日起，应于24小时内派人维修。否则，采购人可委托其他专业公司维修，维修所发生的费用在应付中标人预留质保金中扣除，不足部分由中标人于采购人书面通知后3日内补足。非中标人原因造成返修的费用由采购人承担。</w:t>
      </w:r>
    </w:p>
    <w:p w14:paraId="26996BF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4</w:t>
      </w:r>
      <w:r>
        <w:rPr>
          <w:rFonts w:hint="eastAsia" w:ascii="Times New Roman"/>
          <w:b w:val="0"/>
          <w:bCs w:val="0"/>
          <w:color w:val="auto"/>
          <w:sz w:val="24"/>
          <w:szCs w:val="24"/>
          <w:highlight w:val="none"/>
          <w:lang w:val="en-US" w:eastAsia="zh-CN"/>
        </w:rPr>
        <w:t>.安全文明施工</w:t>
      </w:r>
    </w:p>
    <w:p w14:paraId="3991DF9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中标人必须按照有关规定实施安全、文明施工。采取可靠安全的防护措施，依法为相关施工人员购置相关保险，加强安全、文明施工教育，确保施工安全，杜绝重大安全事故的发生。若中标人违反相关施工管理规定，给采购人和第三方造成的经济损失，其责任和因此造成的费用支出全部由中标人负责。</w:t>
      </w:r>
    </w:p>
    <w:p w14:paraId="545E2FB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（2）中标人保证施工安全，在施工中由于安全措施不力或中标人自身原因，而造成的一切经济损失及法律责任全部由中标人负责，采购人不承担任何责任。</w:t>
      </w:r>
    </w:p>
    <w:p w14:paraId="1634463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中标人对施工现场已有的成品和半成品负有保护的责任，如因中标人原因造成其损失和损坏，因此而发生的一切经济损失及法律责任，应由中标人承担。在工程竣工未移交采购人前，中标人应负有对现场自身施工的一切设施和工程成品进行保护的责任，并承担相关的费用。</w:t>
      </w:r>
    </w:p>
    <w:p w14:paraId="640A4D98">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b w:val="0"/>
          <w:bCs w:val="0"/>
          <w:color w:val="auto"/>
          <w:sz w:val="24"/>
          <w:szCs w:val="24"/>
          <w:highlight w:val="none"/>
          <w:lang w:val="en-US" w:eastAsia="zh-CN"/>
        </w:rPr>
      </w:pPr>
      <w:r>
        <w:rPr>
          <w:rFonts w:hint="eastAsia"/>
          <w:b w:val="0"/>
          <w:bCs w:val="0"/>
          <w:color w:val="auto"/>
          <w:sz w:val="24"/>
          <w:szCs w:val="24"/>
          <w:highlight w:val="none"/>
          <w:lang w:val="en-US" w:eastAsia="zh-CN"/>
        </w:rPr>
        <w:t>5</w:t>
      </w:r>
      <w:r>
        <w:rPr>
          <w:rFonts w:hint="eastAsia" w:ascii="Times New Roman"/>
          <w:b w:val="0"/>
          <w:bCs w:val="0"/>
          <w:color w:val="auto"/>
          <w:sz w:val="24"/>
          <w:szCs w:val="24"/>
          <w:highlight w:val="none"/>
          <w:lang w:val="en-US" w:eastAsia="zh-CN"/>
        </w:rPr>
        <w:t>.违约责任</w:t>
      </w:r>
    </w:p>
    <w:p w14:paraId="3937957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（1）在施工过程中，如发现施工质量问题，采购人有权责令中标人及时进行返修、整改，并达到合同约定标准，因此引起的费用增加由中标人承担，如导致工期延误，工期不顺延。</w:t>
      </w:r>
    </w:p>
    <w:p w14:paraId="5354EA3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2）中标人必须在合同约定的时间（或采购人要求时间）内分别完成本各期（或组团）变配电土建、安装工程，并经供电部门验收（如需）且采购人验收合格后，及时办理移交采购人手续。如因中标人原因造成工期延误和无法按时通电的，中标人应按2000元/天向采购人给付违约金；工期延误超过15天，采购人有权解除合同，按本合同第六、5条款约定追究中标人相应的违约责任。</w:t>
      </w:r>
    </w:p>
    <w:p w14:paraId="153FB6E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3）中标人在承包范围内的工程施工过程中，应服从采购人的施工进度安排，并在采购人约定的时间内完成。不得以采购人要求赶工、加班等为由拒绝履行合同约定责任或临时起价。一旦发生此类情况则视为违约，中标人同意向采购人支付2000元/次的违约金；如该类情况出现次数累计达到三次的，采购人有权单方解除本合同，并按本合同第六、5条款追究中标人相应的违约责任。</w:t>
      </w:r>
    </w:p>
    <w:p w14:paraId="105BFAD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中标人不得将本工程转包或者分包。如发现转包或分包，采购人有权要求中标人按暂定合同造价的10%给付违约金；且采购人有权选择单方解除本合同，并要求中标人退还全部已付款项，或选择要求中标人终止转包／分包后继续严格履行本合同。</w:t>
      </w:r>
    </w:p>
    <w:p w14:paraId="073ED4C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（5）除本合同另有约定外，如因中标人原因单方面终止合同或因中标人违约致使采购人依约解除合同，中标人须按合同造价的20%向采购人给付违约金。</w:t>
      </w:r>
    </w:p>
    <w:p w14:paraId="6772F15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6）本合同项下任一方违约，除应承担相应的违约责任外，还须赔偿守约方为实现合法权益而产生的诉讼费、律师费等合理费用；如守约方的实际损失（包括但不限于直接经济损失、因向第三方赔付而产生的间接经济损失等）超出违约金数额，违约方须赔付至可弥补守约方的全部实际损失为止。</w:t>
      </w:r>
    </w:p>
    <w:p w14:paraId="41A38E5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（7）由地震、火灾、战争等不可抗力因素影响无法履行或延迟履行其在本合同项下的一部分或全部的，应立即通知另一方，但该方无须承担任何责任，未遭受不可抗力影响的那部分义务仍应继续履行。</w:t>
      </w:r>
    </w:p>
    <w:p w14:paraId="2631168A">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Times New Roman"/>
          <w:b w:val="0"/>
          <w:bCs w:val="0"/>
          <w:color w:val="auto"/>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其他商务要求</w:t>
      </w:r>
    </w:p>
    <w:p w14:paraId="697D227F">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投标人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14:paraId="49F4695C">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投标人应充分考虑供货成本及参数要求，如投标人恶意竞争、且中标后无法按要求提供货物或者所供货物无法满足招标文件及投标文件承诺要求的，采购人有权全部退货，按违约处理，采购人保留因耽误采购人使用时间造成的损失进行赔偿的权利，移送司法机关诉诸法律手段，追究投标人的法律责任，由此引发的一切后果由投标人承担。</w:t>
      </w:r>
    </w:p>
    <w:p w14:paraId="186E1BF5">
      <w:pPr>
        <w:pStyle w:val="28"/>
        <w:keepNext w:val="0"/>
        <w:keepLines w:val="0"/>
        <w:pageBreakBefore w:val="0"/>
        <w:widowControl/>
        <w:kinsoku/>
        <w:wordWrap/>
        <w:overflowPunct/>
        <w:topLinePunct w:val="0"/>
        <w:bidi w:val="0"/>
        <w:adjustRightInd/>
        <w:snapToGrid/>
        <w:spacing w:line="48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（3）投标人在本次招标活动中提供任何虚假材料，按否决投标处理；若供应商中标后，采购人发现供应商提供虚假材料的，供应商须按照《中华人民共和国消费者权益保护法 》第55条规定，且民事赔偿并不免除违法投标人的行政与刑事责任。</w:t>
      </w:r>
    </w:p>
    <w:p w14:paraId="1608C815">
      <w:pPr>
        <w:spacing w:line="420" w:lineRule="exact"/>
        <w:ind w:right="-2" w:firstLine="482" w:firstLineChars="200"/>
        <w:rPr>
          <w:rFonts w:hint="eastAsia" w:ascii="宋体" w:hAnsi="宋体" w:cs="宋体"/>
          <w:b/>
          <w:bCs/>
          <w:color w:val="auto"/>
          <w:sz w:val="24"/>
          <w:highlight w:val="none"/>
        </w:rPr>
      </w:pPr>
    </w:p>
    <w:p w14:paraId="0BB01CBE">
      <w:pPr>
        <w:spacing w:line="420" w:lineRule="exact"/>
        <w:ind w:right="-2" w:firstLine="482" w:firstLineChars="200"/>
        <w:rPr>
          <w:rFonts w:hint="eastAsia" w:ascii="宋体" w:hAnsi="宋体" w:cs="宋体"/>
          <w:b/>
          <w:bCs/>
          <w:color w:val="auto"/>
          <w:sz w:val="24"/>
          <w:highlight w:val="none"/>
        </w:rPr>
      </w:pPr>
    </w:p>
    <w:p w14:paraId="7E4B641C">
      <w:pPr>
        <w:numPr>
          <w:ilvl w:val="255"/>
          <w:numId w:val="0"/>
        </w:numPr>
        <w:rPr>
          <w:color w:val="auto"/>
          <w:highlight w:val="none"/>
        </w:rPr>
      </w:pPr>
    </w:p>
    <w:p w14:paraId="2D4C8421">
      <w:pPr>
        <w:numPr>
          <w:ilvl w:val="255"/>
          <w:numId w:val="0"/>
        </w:numPr>
        <w:rPr>
          <w:color w:val="auto"/>
          <w:highlight w:val="none"/>
        </w:rPr>
      </w:pPr>
    </w:p>
    <w:p w14:paraId="6B75A680">
      <w:pPr>
        <w:numPr>
          <w:ilvl w:val="255"/>
          <w:numId w:val="0"/>
        </w:numPr>
        <w:rPr>
          <w:color w:val="auto"/>
          <w:highlight w:val="none"/>
        </w:rPr>
      </w:pPr>
    </w:p>
    <w:p w14:paraId="1B816567">
      <w:pPr>
        <w:numPr>
          <w:ilvl w:val="255"/>
          <w:numId w:val="0"/>
        </w:numPr>
        <w:rPr>
          <w:color w:val="auto"/>
          <w:highlight w:val="none"/>
        </w:rPr>
      </w:pPr>
    </w:p>
    <w:p w14:paraId="4E1BDF48">
      <w:pPr>
        <w:numPr>
          <w:ilvl w:val="255"/>
          <w:numId w:val="0"/>
        </w:numPr>
        <w:rPr>
          <w:color w:val="auto"/>
          <w:highlight w:val="none"/>
        </w:rPr>
      </w:pPr>
    </w:p>
    <w:p w14:paraId="1E51B635">
      <w:pPr>
        <w:numPr>
          <w:ilvl w:val="255"/>
          <w:numId w:val="0"/>
        </w:numPr>
        <w:rPr>
          <w:color w:val="auto"/>
          <w:highlight w:val="none"/>
        </w:rPr>
      </w:pPr>
    </w:p>
    <w:p w14:paraId="3FC7DC0E">
      <w:pPr>
        <w:numPr>
          <w:ilvl w:val="255"/>
          <w:numId w:val="0"/>
        </w:numPr>
        <w:rPr>
          <w:color w:val="auto"/>
          <w:highlight w:val="none"/>
        </w:rPr>
      </w:pPr>
    </w:p>
    <w:p w14:paraId="7151E5E4">
      <w:pPr>
        <w:numPr>
          <w:ilvl w:val="255"/>
          <w:numId w:val="0"/>
        </w:numPr>
        <w:rPr>
          <w:color w:val="auto"/>
          <w:highlight w:val="none"/>
        </w:rPr>
      </w:pPr>
    </w:p>
    <w:p w14:paraId="6DED4FBD">
      <w:pPr>
        <w:numPr>
          <w:ilvl w:val="255"/>
          <w:numId w:val="0"/>
        </w:numPr>
        <w:rPr>
          <w:color w:val="auto"/>
          <w:highlight w:val="none"/>
        </w:rPr>
      </w:pPr>
    </w:p>
    <w:p w14:paraId="441905DD">
      <w:pPr>
        <w:numPr>
          <w:ilvl w:val="255"/>
          <w:numId w:val="0"/>
        </w:numPr>
        <w:rPr>
          <w:color w:val="auto"/>
          <w:highlight w:val="none"/>
        </w:rPr>
      </w:pPr>
    </w:p>
    <w:p w14:paraId="0F02C109">
      <w:pPr>
        <w:numPr>
          <w:ilvl w:val="255"/>
          <w:numId w:val="0"/>
        </w:numPr>
        <w:rPr>
          <w:color w:val="auto"/>
          <w:highlight w:val="none"/>
        </w:rPr>
      </w:pPr>
    </w:p>
    <w:p w14:paraId="77B43043">
      <w:pPr>
        <w:numPr>
          <w:ilvl w:val="255"/>
          <w:numId w:val="0"/>
        </w:numPr>
        <w:rPr>
          <w:color w:val="auto"/>
          <w:highlight w:val="none"/>
        </w:rPr>
      </w:pPr>
    </w:p>
    <w:p w14:paraId="56AC6ACE">
      <w:pPr>
        <w:numPr>
          <w:ilvl w:val="255"/>
          <w:numId w:val="0"/>
        </w:numPr>
        <w:rPr>
          <w:color w:val="auto"/>
          <w:highlight w:val="none"/>
        </w:rPr>
      </w:pPr>
    </w:p>
    <w:p w14:paraId="2F8A5367">
      <w:pPr>
        <w:numPr>
          <w:ilvl w:val="255"/>
          <w:numId w:val="0"/>
        </w:numPr>
        <w:rPr>
          <w:color w:val="auto"/>
          <w:highlight w:val="none"/>
        </w:rPr>
      </w:pPr>
    </w:p>
    <w:p w14:paraId="68AE65D7">
      <w:pPr>
        <w:numPr>
          <w:ilvl w:val="255"/>
          <w:numId w:val="0"/>
        </w:numPr>
        <w:rPr>
          <w:color w:val="auto"/>
          <w:highlight w:val="none"/>
        </w:rPr>
      </w:pPr>
    </w:p>
    <w:p w14:paraId="0585D7A1">
      <w:pPr>
        <w:numPr>
          <w:ilvl w:val="255"/>
          <w:numId w:val="0"/>
        </w:numPr>
        <w:rPr>
          <w:color w:val="auto"/>
          <w:highlight w:val="none"/>
        </w:rPr>
      </w:pPr>
    </w:p>
    <w:p w14:paraId="7AADEBE4">
      <w:pPr>
        <w:numPr>
          <w:ilvl w:val="255"/>
          <w:numId w:val="0"/>
        </w:numPr>
        <w:rPr>
          <w:color w:val="auto"/>
          <w:highlight w:val="none"/>
        </w:rPr>
      </w:pPr>
    </w:p>
    <w:p w14:paraId="7D3F70B4">
      <w:pPr>
        <w:numPr>
          <w:ilvl w:val="255"/>
          <w:numId w:val="0"/>
        </w:numPr>
        <w:rPr>
          <w:color w:val="auto"/>
          <w:highlight w:val="none"/>
        </w:rPr>
      </w:pPr>
    </w:p>
    <w:p w14:paraId="601F9A01">
      <w:pPr>
        <w:pStyle w:val="17"/>
        <w:rPr>
          <w:color w:val="auto"/>
          <w:highlight w:val="none"/>
        </w:rPr>
      </w:pPr>
    </w:p>
    <w:p w14:paraId="1AD991C4">
      <w:pPr>
        <w:rPr>
          <w:color w:val="auto"/>
          <w:highlight w:val="none"/>
        </w:rPr>
      </w:pPr>
    </w:p>
    <w:p w14:paraId="0BCBBE03">
      <w:pPr>
        <w:pStyle w:val="17"/>
        <w:rPr>
          <w:color w:val="auto"/>
          <w:highlight w:val="none"/>
        </w:rPr>
      </w:pPr>
    </w:p>
    <w:p w14:paraId="62500A11">
      <w:pPr>
        <w:pStyle w:val="4"/>
        <w:spacing w:line="0" w:lineRule="atLeast"/>
        <w:jc w:val="center"/>
        <w:rPr>
          <w:rFonts w:ascii="宋体" w:hAnsi="宋体" w:eastAsia="宋体" w:cs="宋体"/>
          <w:color w:val="auto"/>
          <w:highlight w:val="none"/>
        </w:rPr>
      </w:pPr>
      <w:bookmarkStart w:id="19" w:name="_Toc429488166"/>
      <w:bookmarkStart w:id="20" w:name="_Toc6671"/>
      <w:r>
        <w:rPr>
          <w:rFonts w:hint="eastAsia" w:ascii="宋体" w:hAnsi="宋体" w:eastAsia="宋体" w:cs="宋体"/>
          <w:color w:val="auto"/>
          <w:highlight w:val="none"/>
        </w:rPr>
        <w:t>第六章  图纸（另附）</w:t>
      </w:r>
      <w:bookmarkEnd w:id="19"/>
      <w:bookmarkEnd w:id="20"/>
    </w:p>
    <w:p w14:paraId="339F120E">
      <w:pPr>
        <w:numPr>
          <w:ilvl w:val="255"/>
          <w:numId w:val="0"/>
        </w:numPr>
        <w:rPr>
          <w:color w:val="auto"/>
          <w:highlight w:val="none"/>
        </w:rPr>
      </w:pPr>
    </w:p>
    <w:p w14:paraId="0CF91552">
      <w:pPr>
        <w:rPr>
          <w:color w:val="auto"/>
          <w:highlight w:val="none"/>
        </w:rPr>
      </w:pPr>
      <w:r>
        <w:rPr>
          <w:color w:val="auto"/>
          <w:highlight w:val="none"/>
        </w:rPr>
        <w:br w:type="page"/>
      </w:r>
    </w:p>
    <w:p w14:paraId="16FD936F">
      <w:pPr>
        <w:pStyle w:val="3"/>
        <w:keepNext w:val="0"/>
        <w:keepLines w:val="0"/>
        <w:pageBreakBefore w:val="0"/>
        <w:widowControl w:val="0"/>
        <w:tabs>
          <w:tab w:val="left" w:pos="567"/>
        </w:tabs>
        <w:kinsoku/>
        <w:wordWrap/>
        <w:overflowPunct/>
        <w:topLinePunct w:val="0"/>
        <w:autoSpaceDE/>
        <w:autoSpaceDN/>
        <w:bidi w:val="0"/>
        <w:adjustRightInd/>
        <w:snapToGrid/>
        <w:spacing w:before="0" w:line="500" w:lineRule="exact"/>
        <w:ind w:left="215"/>
        <w:jc w:val="center"/>
        <w:textAlignment w:val="auto"/>
        <w:rPr>
          <w:rFonts w:ascii="宋体" w:hAnsi="宋体" w:cs="宋体"/>
          <w:color w:val="auto"/>
          <w:kern w:val="0"/>
          <w:sz w:val="10"/>
          <w:szCs w:val="10"/>
          <w:highlight w:val="none"/>
        </w:rPr>
      </w:pPr>
      <w:bookmarkStart w:id="21" w:name="_Toc389145997"/>
      <w:bookmarkStart w:id="22" w:name="_Toc29864"/>
      <w:bookmarkStart w:id="23" w:name="_Toc185770522"/>
      <w:bookmarkStart w:id="24" w:name="_Toc267582061"/>
      <w:bookmarkStart w:id="25" w:name="_Toc455670848"/>
      <w:bookmarkStart w:id="26" w:name="_Toc207443031"/>
      <w:r>
        <w:rPr>
          <w:rFonts w:hint="eastAsia" w:ascii="宋体" w:hAnsi="宋体" w:cs="宋体"/>
          <w:bCs w:val="0"/>
          <w:color w:val="auto"/>
          <w:kern w:val="0"/>
          <w:sz w:val="32"/>
          <w:highlight w:val="none"/>
        </w:rPr>
        <w:t>第</w:t>
      </w:r>
      <w:r>
        <w:rPr>
          <w:rFonts w:hint="eastAsia" w:cs="宋体"/>
          <w:bCs w:val="0"/>
          <w:color w:val="auto"/>
          <w:kern w:val="0"/>
          <w:sz w:val="32"/>
          <w:highlight w:val="none"/>
          <w:lang w:val="en-US" w:eastAsia="zh-CN"/>
        </w:rPr>
        <w:t>七</w:t>
      </w:r>
      <w:r>
        <w:rPr>
          <w:rFonts w:hint="eastAsia" w:ascii="宋体" w:hAnsi="宋体" w:cs="宋体"/>
          <w:bCs w:val="0"/>
          <w:color w:val="auto"/>
          <w:kern w:val="0"/>
          <w:sz w:val="32"/>
          <w:highlight w:val="none"/>
        </w:rPr>
        <w:t>章 技术标准</w:t>
      </w:r>
      <w:bookmarkEnd w:id="21"/>
      <w:bookmarkEnd w:id="22"/>
      <w:bookmarkEnd w:id="23"/>
      <w:bookmarkEnd w:id="24"/>
      <w:bookmarkEnd w:id="25"/>
      <w:bookmarkEnd w:id="26"/>
    </w:p>
    <w:p w14:paraId="41A73A06">
      <w:pPr>
        <w:jc w:val="center"/>
        <w:rPr>
          <w:b/>
          <w:color w:val="auto"/>
          <w:sz w:val="28"/>
          <w:szCs w:val="28"/>
          <w:highlight w:val="none"/>
        </w:rPr>
      </w:pPr>
      <w:r>
        <w:rPr>
          <w:b/>
          <w:color w:val="auto"/>
          <w:sz w:val="28"/>
          <w:szCs w:val="28"/>
          <w:highlight w:val="none"/>
        </w:rPr>
        <w:t>（按现行有关的工程建设标准、技术规范执行）</w:t>
      </w:r>
    </w:p>
    <w:p w14:paraId="160B8FE8">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1.本项目采用的的材料、设备、施工须达到现行的国家标准、规范或现行的行业标准、规范。</w:t>
      </w:r>
    </w:p>
    <w:p w14:paraId="5BB6AA65">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2.施工过程不得损坏原有建筑物件，否则由承包人负责按原样进行修复并承担由此产生的全部费用。</w:t>
      </w:r>
    </w:p>
    <w:p w14:paraId="2E8318A1">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3.按项目图纸及工程量清单的内容进行实质性响应。</w:t>
      </w:r>
    </w:p>
    <w:p w14:paraId="276C78C3">
      <w:pPr>
        <w:pStyle w:val="28"/>
        <w:widowControl/>
        <w:spacing w:line="435" w:lineRule="atLeast"/>
        <w:ind w:left="0" w:leftChars="0" w:firstLine="420" w:firstLineChars="200"/>
        <w:jc w:val="both"/>
        <w:rPr>
          <w:rFonts w:hint="eastAsia" w:ascii="Times New Roman"/>
          <w:b w:val="0"/>
          <w:bCs w:val="0"/>
          <w:color w:val="auto"/>
          <w:sz w:val="24"/>
          <w:szCs w:val="24"/>
          <w:highlight w:val="none"/>
          <w:lang w:val="en-US" w:eastAsia="zh-CN"/>
        </w:rPr>
      </w:pPr>
      <w:r>
        <w:rPr>
          <w:rFonts w:hint="eastAsia" w:ascii="宋体" w:hAnsi="宋体" w:eastAsia="宋体" w:cs="宋体"/>
          <w:color w:val="auto"/>
          <w:sz w:val="21"/>
          <w:szCs w:val="21"/>
          <w:highlight w:val="none"/>
        </w:rPr>
        <w:t>★</w:t>
      </w:r>
      <w:r>
        <w:rPr>
          <w:rFonts w:hint="eastAsia" w:ascii="Times New Roman"/>
          <w:b w:val="0"/>
          <w:bCs w:val="0"/>
          <w:color w:val="auto"/>
          <w:sz w:val="24"/>
          <w:szCs w:val="24"/>
          <w:highlight w:val="none"/>
          <w:lang w:val="en-US" w:eastAsia="zh-CN"/>
        </w:rPr>
        <w:t>4.拟投入400kW柴油发电机组参数要求：</w:t>
      </w:r>
    </w:p>
    <w:p w14:paraId="6D770229">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额定功率400kW，备用功率440kW。</w:t>
      </w:r>
    </w:p>
    <w:p w14:paraId="58542E2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4.1柴油发动机：</w:t>
      </w:r>
    </w:p>
    <w:p w14:paraId="557EDC0A">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4.1.1额定功率：441kW，备用功率490kW</w:t>
      </w:r>
    </w:p>
    <w:p w14:paraId="7D6D92C4">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4.1.2缸数/缸径/行程：6缸；缸径/行程：＜145/170</w:t>
      </w:r>
    </w:p>
    <w:p w14:paraId="0F15756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4.1.3排量：≤17L</w:t>
      </w:r>
    </w:p>
    <w:p w14:paraId="095C0EA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4.1.4进气方式：增压中冷；</w:t>
      </w:r>
    </w:p>
    <w:p w14:paraId="3829E77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4.1.5调速方式：电控调速；</w:t>
      </w:r>
    </w:p>
    <w:p w14:paraId="15CA6DF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4.1.6额定转速：1500r/min；</w:t>
      </w:r>
    </w:p>
    <w:p w14:paraId="29A15677">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4.1.7燃油消耗率：＜205g/（kW.h）；机油耗：≤0.3g/kW.h；</w:t>
      </w:r>
    </w:p>
    <w:p w14:paraId="0886A65F">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4.1.8排放水平：满足国标GB20891-2014第三阶段；</w:t>
      </w:r>
    </w:p>
    <w:p w14:paraId="6E7E89C8">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4.1.9冷却方式：封闭式水循环强制风冷；</w:t>
      </w:r>
    </w:p>
    <w:p w14:paraId="7DB5AD1D">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4.2发电机组：</w:t>
      </w:r>
    </w:p>
    <w:p w14:paraId="74FBB2EF">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4.2.1额定功率：400kW，备用功率：440kW；</w:t>
      </w:r>
    </w:p>
    <w:p w14:paraId="15D16F2C">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4.2.2电机类型：无刷三相交流同步发电机；接线方式：三相四线，Y型接法；励磁方式：自励磁；</w:t>
      </w:r>
    </w:p>
    <w:p w14:paraId="1956BC60">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4.2.3额定电压：400V，额定输出电流：720A；调压方式：AVR（自动电压调节）；</w:t>
      </w:r>
    </w:p>
    <w:p w14:paraId="738C0077">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4.2.4温升要求：H°C；绝缘/防护等级：H级/IP23；</w:t>
      </w:r>
    </w:p>
    <w:p w14:paraId="1E4E98CA">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4.2.5过电流能力：3~5Ie≥5s；过载能力：3~5Ie≥5s；</w:t>
      </w:r>
    </w:p>
    <w:p w14:paraId="0409808C">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4.2.6短路能力：3Ie，2s；</w:t>
      </w:r>
    </w:p>
    <w:p w14:paraId="3420994E">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4.2.7发电机效率：≥90%</w:t>
      </w:r>
    </w:p>
    <w:p w14:paraId="1F49BEE9">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4.2.8绕组材质：纯铜；</w:t>
      </w:r>
    </w:p>
    <w:p w14:paraId="7D14859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4.2.9效率：≥90%</w:t>
      </w:r>
    </w:p>
    <w:p w14:paraId="75218508">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4.2.10显示模式：液晶显示；语言类型：支持中、英文；</w:t>
      </w:r>
    </w:p>
    <w:p w14:paraId="6E088817">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4.2.11自动功能：自动检测市电、自动启动、自动停机；</w:t>
      </w:r>
    </w:p>
    <w:p w14:paraId="1FE488A9">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4.3整体机组要求：</w:t>
      </w:r>
    </w:p>
    <w:p w14:paraId="541A5446">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4.3.1重量：≤3500kg；</w:t>
      </w:r>
    </w:p>
    <w:p w14:paraId="04FE0F90">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4.3.2外形尺寸：≤3650*1250*1780</w:t>
      </w:r>
    </w:p>
    <w:p w14:paraId="121856EE">
      <w:pPr>
        <w:pStyle w:val="28"/>
        <w:widowControl/>
        <w:spacing w:line="435" w:lineRule="atLeast"/>
        <w:ind w:left="0" w:leftChars="0" w:firstLine="480" w:firstLineChars="200"/>
        <w:jc w:val="both"/>
        <w:rPr>
          <w:rFonts w:hint="eastAsia"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5.需注明工程所需主要材料品牌型号，施工中所涉及的手续由承包方全权负责。</w:t>
      </w:r>
    </w:p>
    <w:tbl>
      <w:tblPr>
        <w:tblStyle w:val="21"/>
        <w:tblW w:w="9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5895"/>
        <w:gridCol w:w="1320"/>
        <w:gridCol w:w="1065"/>
      </w:tblGrid>
      <w:tr w14:paraId="43A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5982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Times New Roman"/>
                <w:b/>
                <w:bCs/>
                <w:color w:val="auto"/>
                <w:sz w:val="24"/>
                <w:szCs w:val="24"/>
                <w:highlight w:val="none"/>
                <w:lang w:val="en-US" w:eastAsia="zh-CN"/>
              </w:rPr>
              <w:t>主要材料清单</w:t>
            </w:r>
          </w:p>
        </w:tc>
      </w:tr>
      <w:tr w14:paraId="2CEF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5ADB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21B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项目名称及特征描述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5D39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A116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r>
      <w:tr w14:paraId="0A82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868B">
            <w:pPr>
              <w:jc w:val="center"/>
              <w:rPr>
                <w:rFonts w:hint="eastAsia" w:ascii="宋体" w:hAnsi="宋体" w:eastAsia="宋体" w:cs="宋体"/>
                <w:b/>
                <w:bCs/>
                <w:i w:val="0"/>
                <w:iCs w:val="0"/>
                <w:color w:val="auto"/>
                <w:sz w:val="24"/>
                <w:szCs w:val="24"/>
                <w:highlight w:val="none"/>
                <w:u w:val="none"/>
              </w:rPr>
            </w:pPr>
          </w:p>
        </w:tc>
        <w:tc>
          <w:tcPr>
            <w:tcW w:w="5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85E8">
            <w:pPr>
              <w:jc w:val="center"/>
              <w:rPr>
                <w:rFonts w:hint="eastAsia" w:ascii="宋体" w:hAnsi="宋体" w:eastAsia="宋体" w:cs="宋体"/>
                <w:b/>
                <w:bCs/>
                <w:i w:val="0"/>
                <w:iCs w:val="0"/>
                <w:color w:val="auto"/>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1483">
            <w:pPr>
              <w:jc w:val="center"/>
              <w:rPr>
                <w:rFonts w:hint="eastAsia" w:ascii="宋体" w:hAnsi="宋体" w:eastAsia="宋体" w:cs="宋体"/>
                <w:b/>
                <w:bCs/>
                <w:i w:val="0"/>
                <w:iCs w:val="0"/>
                <w:color w:val="auto"/>
                <w:sz w:val="24"/>
                <w:szCs w:val="24"/>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8B15">
            <w:pPr>
              <w:jc w:val="center"/>
              <w:rPr>
                <w:rFonts w:hint="eastAsia" w:ascii="宋体" w:hAnsi="宋体" w:eastAsia="宋体" w:cs="宋体"/>
                <w:b/>
                <w:bCs/>
                <w:i w:val="0"/>
                <w:iCs w:val="0"/>
                <w:color w:val="auto"/>
                <w:sz w:val="24"/>
                <w:szCs w:val="24"/>
                <w:highlight w:val="none"/>
                <w:u w:val="none"/>
              </w:rPr>
            </w:pPr>
          </w:p>
        </w:tc>
      </w:tr>
      <w:tr w14:paraId="1FE4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A80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B55E6C">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柴油发电机组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1.常用功率400KW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2.发电机、发动机品牌相当于玉柴、潍柴、上柴动力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3.单机试运转要求</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符合运行要求</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A4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66D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200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0F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1D546EC2">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双电源切换柜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二进五出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箱体外壳采用304不锈钢材料，厚度不应小于2mm，尺寸1000*2000*500(mm）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柜内配置详见系统图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安装方式：北门服务中心专变内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71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4A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1A72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5D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59C3758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总配电箱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一进八出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箱体外壳采用304不锈钢材料，厚度不应小于2mm，尺寸1600*1000*250(mm）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安装方式：挂墙安装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69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171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6E1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E5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4CC0BAF0">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CT室配电箱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一进二出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箱体外壳采用304不锈钢材料，厚度不应小于2mm，尺寸500*400*200(mm）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安装方式：挂墙安装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DBA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47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50C9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63B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top"/>
          </w:tcPr>
          <w:p w14:paraId="48084D2A">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DR室配电箱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一进二出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箱体外壳采用304不锈钢材料，厚度不应小于2mm，尺寸500*400*200(mm）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箱内配置详见系统图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安装方式：挂墙安装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3F4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45E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5148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1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C6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电力电缆普通敷设 WDZA-YJY-0.6/1kV-4*185m㎡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9F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r>
      <w:tr w14:paraId="38BA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89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64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电力电缆普通敷设 WDZA-YJY-0.6/1kV-4*95+1*50m㎡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1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54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172.00</w:t>
            </w:r>
          </w:p>
        </w:tc>
      </w:tr>
    </w:tbl>
    <w:p w14:paraId="4E166EC0">
      <w:pPr>
        <w:pStyle w:val="28"/>
        <w:widowControl/>
        <w:spacing w:line="435" w:lineRule="atLeast"/>
        <w:ind w:left="0" w:leftChars="0" w:firstLine="480" w:firstLineChars="200"/>
        <w:jc w:val="both"/>
        <w:rPr>
          <w:rFonts w:hint="default" w:ascii="Times New Roman"/>
          <w:b w:val="0"/>
          <w:bCs w:val="0"/>
          <w:color w:val="auto"/>
          <w:sz w:val="24"/>
          <w:szCs w:val="24"/>
          <w:highlight w:val="none"/>
          <w:lang w:val="en-US" w:eastAsia="zh-CN"/>
        </w:rPr>
      </w:pPr>
      <w:r>
        <w:rPr>
          <w:rFonts w:hint="eastAsia" w:ascii="Times New Roman"/>
          <w:b w:val="0"/>
          <w:bCs w:val="0"/>
          <w:color w:val="auto"/>
          <w:sz w:val="24"/>
          <w:szCs w:val="24"/>
          <w:highlight w:val="none"/>
          <w:lang w:val="en-US" w:eastAsia="zh-CN"/>
        </w:rPr>
        <w:t>6.供应商提供的多功能智能电表须保证能与现有的派诺 spm33 电表联网，实现相互传输数据。</w:t>
      </w:r>
    </w:p>
    <w:p w14:paraId="16208518">
      <w:pPr>
        <w:pStyle w:val="28"/>
        <w:widowControl/>
        <w:spacing w:line="435" w:lineRule="atLeast"/>
        <w:ind w:left="0" w:leftChars="0" w:firstLine="480" w:firstLineChars="200"/>
        <w:jc w:val="both"/>
        <w:rPr>
          <w:rFonts w:hint="eastAsia"/>
          <w:color w:val="auto"/>
          <w:highlight w:val="none"/>
          <w:lang w:val="en-US" w:eastAsia="zh-CN"/>
        </w:rPr>
      </w:pPr>
      <w:r>
        <w:rPr>
          <w:rFonts w:hint="eastAsia" w:ascii="Times New Roman"/>
          <w:b w:val="0"/>
          <w:bCs w:val="0"/>
          <w:color w:val="auto"/>
          <w:sz w:val="24"/>
          <w:szCs w:val="24"/>
          <w:highlight w:val="none"/>
          <w:lang w:val="en-US" w:eastAsia="zh-CN"/>
        </w:rPr>
        <w:t>7.供应商提供的所有设备要求原厂原装。</w:t>
      </w:r>
      <w:r>
        <w:rPr>
          <w:rFonts w:hint="eastAsia" w:ascii="Times New Roman"/>
          <w:b/>
          <w:bCs/>
          <w:color w:val="auto"/>
          <w:sz w:val="24"/>
          <w:szCs w:val="24"/>
          <w:highlight w:val="none"/>
          <w:lang w:val="en-US" w:eastAsia="zh-CN"/>
        </w:rPr>
        <w:t xml:space="preserve"> </w:t>
      </w:r>
    </w:p>
    <w:sectPr>
      <w:footerReference r:id="rId5"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A4E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0FC3F">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270FC3F">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5"/>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B8CE3"/>
    <w:multiLevelType w:val="singleLevel"/>
    <w:tmpl w:val="DE0B8CE3"/>
    <w:lvl w:ilvl="0" w:tentative="0">
      <w:start w:val="2"/>
      <w:numFmt w:val="chineseCounting"/>
      <w:suff w:val="space"/>
      <w:lvlText w:val="第%1章"/>
      <w:lvlJc w:val="left"/>
      <w:rPr>
        <w:rFonts w:hint="eastAsia"/>
      </w:rPr>
    </w:lvl>
  </w:abstractNum>
  <w:abstractNum w:abstractNumId="1">
    <w:nsid w:val="0C34960B"/>
    <w:multiLevelType w:val="singleLevel"/>
    <w:tmpl w:val="0C3496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25B133E"/>
    <w:rsid w:val="0712172E"/>
    <w:rsid w:val="076051A4"/>
    <w:rsid w:val="09AF18CC"/>
    <w:rsid w:val="15A47D6E"/>
    <w:rsid w:val="1956703D"/>
    <w:rsid w:val="1A7F4149"/>
    <w:rsid w:val="1C8670CE"/>
    <w:rsid w:val="1D0118C7"/>
    <w:rsid w:val="1D3728BF"/>
    <w:rsid w:val="1F7C2FD2"/>
    <w:rsid w:val="242D4168"/>
    <w:rsid w:val="24384127"/>
    <w:rsid w:val="25F13A01"/>
    <w:rsid w:val="2B161A0E"/>
    <w:rsid w:val="33FB3F20"/>
    <w:rsid w:val="35DA3A24"/>
    <w:rsid w:val="3CB8637D"/>
    <w:rsid w:val="3D763884"/>
    <w:rsid w:val="3F835446"/>
    <w:rsid w:val="408A343A"/>
    <w:rsid w:val="43F31227"/>
    <w:rsid w:val="46EE10DD"/>
    <w:rsid w:val="47653168"/>
    <w:rsid w:val="48FE530B"/>
    <w:rsid w:val="4955379A"/>
    <w:rsid w:val="4C7A5EA4"/>
    <w:rsid w:val="4FDC52AF"/>
    <w:rsid w:val="50687515"/>
    <w:rsid w:val="5268120F"/>
    <w:rsid w:val="52F7756C"/>
    <w:rsid w:val="55186629"/>
    <w:rsid w:val="58B71D09"/>
    <w:rsid w:val="5A022268"/>
    <w:rsid w:val="5F3F0E75"/>
    <w:rsid w:val="64DC3745"/>
    <w:rsid w:val="65B05059"/>
    <w:rsid w:val="66AC3305"/>
    <w:rsid w:val="69DA452D"/>
    <w:rsid w:val="6AFC6350"/>
    <w:rsid w:val="70915979"/>
    <w:rsid w:val="74A72748"/>
    <w:rsid w:val="768D057B"/>
    <w:rsid w:val="78345A42"/>
    <w:rsid w:val="7B194FBD"/>
    <w:rsid w:val="7BDC3850"/>
    <w:rsid w:val="7CFB5D27"/>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2"/>
    <w:basedOn w:val="1"/>
    <w:next w:val="5"/>
    <w:unhideWhenUsed/>
    <w:qFormat/>
    <w:uiPriority w:val="0"/>
    <w:pPr>
      <w:keepNext/>
      <w:keepLines/>
      <w:spacing w:line="413" w:lineRule="auto"/>
      <w:outlineLvl w:val="1"/>
    </w:pPr>
    <w:rPr>
      <w:rFonts w:ascii="Arial" w:hAnsi="Arial" w:eastAsia="黑体"/>
      <w:b/>
      <w:sz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380" w:lineRule="exact"/>
    </w:pPr>
    <w:rPr>
      <w:sz w:val="24"/>
    </w:rPr>
  </w:style>
  <w:style w:type="paragraph" w:styleId="5">
    <w:name w:val="Normal Indent"/>
    <w:basedOn w:val="1"/>
    <w:qFormat/>
    <w:uiPriority w:val="0"/>
    <w:pPr>
      <w:widowControl/>
      <w:ind w:firstLine="420"/>
      <w:jc w:val="left"/>
    </w:pPr>
    <w:rPr>
      <w:kern w:val="0"/>
      <w:sz w:val="20"/>
      <w:szCs w:val="20"/>
    </w:rPr>
  </w:style>
  <w:style w:type="paragraph" w:styleId="7">
    <w:name w:val="index 8"/>
    <w:basedOn w:val="1"/>
    <w:next w:val="1"/>
    <w:unhideWhenUsed/>
    <w:qFormat/>
    <w:uiPriority w:val="0"/>
    <w:pPr>
      <w:ind w:left="294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line="460" w:lineRule="exact"/>
      <w:ind w:firstLine="560"/>
    </w:pPr>
    <w:rPr>
      <w:sz w:val="28"/>
      <w:szCs w:val="20"/>
    </w:rPr>
  </w:style>
  <w:style w:type="paragraph" w:customStyle="1" w:styleId="11">
    <w:name w:val="样式 正文文本缩进 + 首行缩进:  2 字符 行距: 1.5 倍行距"/>
    <w:basedOn w:val="10"/>
    <w:qFormat/>
    <w:uiPriority w:val="0"/>
    <w:rPr>
      <w:rFonts w:cs="宋体"/>
    </w:r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kern w:val="0"/>
      <w:sz w:val="20"/>
      <w:szCs w:val="20"/>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qFormat/>
    <w:uiPriority w:val="0"/>
    <w:pPr>
      <w:spacing w:after="120" w:line="480" w:lineRule="auto"/>
    </w:pPr>
    <w:rPr>
      <w:szCs w:val="20"/>
    </w:rPr>
  </w:style>
  <w:style w:type="paragraph" w:styleId="19">
    <w:name w:val="Body Text First Indent 2"/>
    <w:basedOn w:val="10"/>
    <w:next w:val="20"/>
    <w:qFormat/>
    <w:uiPriority w:val="99"/>
    <w:pPr>
      <w:ind w:firstLine="420"/>
    </w:pPr>
  </w:style>
  <w:style w:type="paragraph" w:customStyle="1" w:styleId="20">
    <w:name w:val="**正文"/>
    <w:basedOn w:val="1"/>
    <w:qFormat/>
    <w:uiPriority w:val="0"/>
    <w:pPr>
      <w:ind w:firstLine="482"/>
    </w:pPr>
    <w:rPr>
      <w:rFonts w:ascii="宋体" w:hAnsi="宋体"/>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0"/>
    <w:rPr>
      <w:color w:val="0000FF"/>
      <w:u w:val="single"/>
    </w:rPr>
  </w:style>
  <w:style w:type="character" w:styleId="25">
    <w:name w:val="annotation reference"/>
    <w:unhideWhenUsed/>
    <w:qFormat/>
    <w:uiPriority w:val="99"/>
    <w:rPr>
      <w:sz w:val="21"/>
      <w:szCs w:val="21"/>
    </w:rPr>
  </w:style>
  <w:style w:type="paragraph" w:customStyle="1" w:styleId="26">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7">
    <w:name w:val="Table Text"/>
    <w:basedOn w:val="1"/>
    <w:semiHidden/>
    <w:qFormat/>
    <w:uiPriority w:val="0"/>
    <w:rPr>
      <w:rFonts w:ascii="宋体" w:hAnsi="宋体" w:cs="宋体"/>
      <w:sz w:val="20"/>
      <w:szCs w:val="20"/>
      <w:lang w:eastAsia="en-US"/>
    </w:rPr>
  </w:style>
  <w:style w:type="paragraph" w:styleId="28">
    <w:name w:val="List Paragraph"/>
    <w:basedOn w:val="1"/>
    <w:qFormat/>
    <w:uiPriority w:val="1"/>
    <w:pPr>
      <w:ind w:left="218" w:firstLine="424"/>
    </w:pPr>
    <w:rPr>
      <w:rFonts w:ascii="宋体" w:hAnsi="宋体" w:cs="宋体"/>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首行缩进"/>
    <w:basedOn w:val="1"/>
    <w:qFormat/>
    <w:uiPriority w:val="0"/>
    <w:pPr>
      <w:ind w:firstLine="480" w:firstLineChars="200"/>
    </w:p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NormalCharacter"/>
    <w:qFormat/>
    <w:uiPriority w:val="0"/>
  </w:style>
  <w:style w:type="paragraph" w:customStyle="1" w:styleId="34">
    <w:name w:val="正文呀2"/>
    <w:basedOn w:val="35"/>
    <w:qFormat/>
    <w:uiPriority w:val="0"/>
    <w:rPr>
      <w:rFonts w:ascii="Times New Roman" w:hAnsi="Times New Roman"/>
    </w:rPr>
  </w:style>
  <w:style w:type="paragraph" w:customStyle="1" w:styleId="35">
    <w:name w:val="正文呀"/>
    <w:basedOn w:val="1"/>
    <w:qFormat/>
    <w:uiPriority w:val="0"/>
    <w:pPr>
      <w:spacing w:line="420" w:lineRule="exact"/>
      <w:ind w:firstLine="420" w:firstLineChars="200"/>
    </w:pPr>
    <w:rPr>
      <w:rFonts w:ascii="宋体" w:hAnsi="宋体"/>
    </w:rPr>
  </w:style>
  <w:style w:type="paragraph" w:customStyle="1" w:styleId="3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18845</Words>
  <Characters>20379</Characters>
  <Lines>0</Lines>
  <Paragraphs>0</Paragraphs>
  <TotalTime>2</TotalTime>
  <ScaleCrop>false</ScaleCrop>
  <LinksUpToDate>false</LinksUpToDate>
  <CharactersWithSpaces>21697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水晶海豚</cp:lastModifiedBy>
  <cp:lastPrinted>2025-06-24T02:56:00Z</cp:lastPrinted>
  <dcterms:modified xsi:type="dcterms:W3CDTF">2025-09-10T08:32:04Z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C6A78C95822F4CC799FC653EC6291809_13</vt:lpwstr>
  </property>
  <property fmtid="{D5CDD505-2E9C-101B-9397-08002B2CF9AE}" pid="4" name="KSOTemplateDocerSaveRecord">
    <vt:lpwstr>eyJoZGlkIjoiMjU4OGYyYzk4NzIyNWIxNDRlYWY3YTgyY2I2YzVmNzgiLCJ1c2VySWQiOiIyNzI4OTA3MjUifQ==</vt:lpwstr>
  </property>
</Properties>
</file>