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D9ECC">
      <w:pPr>
        <w:pStyle w:val="13"/>
        <w:spacing w:line="440" w:lineRule="exact"/>
        <w:jc w:val="center"/>
        <w:rPr>
          <w:rFonts w:ascii="Arial" w:hAnsi="Arial" w:eastAsia="楷体_GB2312" w:cs="Arial"/>
          <w:b/>
          <w:bCs/>
          <w:color w:val="auto"/>
          <w:sz w:val="56"/>
          <w:szCs w:val="72"/>
          <w:highlight w:val="none"/>
        </w:rPr>
      </w:pPr>
    </w:p>
    <w:p w14:paraId="1BC9E3E9">
      <w:pPr>
        <w:pStyle w:val="13"/>
        <w:spacing w:line="600" w:lineRule="exact"/>
        <w:jc w:val="center"/>
        <w:rPr>
          <w:rFonts w:ascii="Arial" w:hAnsi="Arial" w:eastAsia="楷体_GB2312" w:cs="Arial"/>
          <w:b/>
          <w:bCs/>
          <w:color w:val="auto"/>
          <w:sz w:val="56"/>
          <w:szCs w:val="72"/>
          <w:highlight w:val="none"/>
        </w:rPr>
      </w:pPr>
    </w:p>
    <w:p w14:paraId="0A430F55">
      <w:pPr>
        <w:pStyle w:val="13"/>
        <w:spacing w:line="600" w:lineRule="exact"/>
        <w:jc w:val="center"/>
        <w:rPr>
          <w:rFonts w:ascii="Arial" w:hAnsi="Arial" w:eastAsia="楷体_GB2312" w:cs="Arial"/>
          <w:b/>
          <w:bCs/>
          <w:color w:val="auto"/>
          <w:sz w:val="56"/>
          <w:szCs w:val="72"/>
          <w:highlight w:val="none"/>
        </w:rPr>
      </w:pPr>
    </w:p>
    <w:p w14:paraId="37F3A7AF">
      <w:pPr>
        <w:pStyle w:val="13"/>
        <w:spacing w:line="600" w:lineRule="exact"/>
        <w:jc w:val="center"/>
        <w:rPr>
          <w:rFonts w:ascii="Arial" w:hAnsi="Arial" w:eastAsia="楷体_GB2312" w:cs="Arial"/>
          <w:b/>
          <w:bCs/>
          <w:color w:val="auto"/>
          <w:sz w:val="56"/>
          <w:szCs w:val="72"/>
          <w:highlight w:val="none"/>
        </w:rPr>
      </w:pPr>
    </w:p>
    <w:p w14:paraId="0DB38A66">
      <w:pPr>
        <w:pStyle w:val="13"/>
        <w:spacing w:line="640" w:lineRule="exact"/>
        <w:jc w:val="center"/>
        <w:rPr>
          <w:rFonts w:ascii="Arial" w:hAnsi="Arial" w:eastAsia="楷体_GB2312" w:cs="Arial"/>
          <w:b/>
          <w:bCs/>
          <w:color w:val="auto"/>
          <w:sz w:val="56"/>
          <w:szCs w:val="72"/>
          <w:highlight w:val="none"/>
        </w:rPr>
      </w:pPr>
    </w:p>
    <w:p w14:paraId="76A732B9">
      <w:pPr>
        <w:pStyle w:val="13"/>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hAnsi="宋体" w:cs="宋体"/>
          <w:b/>
          <w:bCs/>
          <w:color w:val="auto"/>
          <w:sz w:val="44"/>
          <w:szCs w:val="44"/>
          <w:highlight w:val="none"/>
        </w:rPr>
      </w:pPr>
      <w:r>
        <w:rPr>
          <w:rFonts w:hint="eastAsia" w:hAnsi="宋体" w:cs="宋体"/>
          <w:b/>
          <w:bCs/>
          <w:color w:val="auto"/>
          <w:sz w:val="44"/>
          <w:szCs w:val="44"/>
          <w:highlight w:val="none"/>
        </w:rPr>
        <w:t>桂林市人民医院</w:t>
      </w:r>
    </w:p>
    <w:p w14:paraId="10D22896">
      <w:pPr>
        <w:pStyle w:val="13"/>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Ansi="宋体" w:cs="宋体"/>
          <w:b/>
          <w:bCs/>
          <w:color w:val="auto"/>
          <w:sz w:val="44"/>
          <w:szCs w:val="44"/>
          <w:highlight w:val="none"/>
        </w:rPr>
      </w:pPr>
      <w:r>
        <w:rPr>
          <w:rFonts w:hint="eastAsia" w:hAnsi="宋体" w:cs="宋体"/>
          <w:b/>
          <w:bCs/>
          <w:color w:val="auto"/>
          <w:sz w:val="44"/>
          <w:szCs w:val="44"/>
          <w:highlight w:val="none"/>
          <w:lang w:val="en-US" w:eastAsia="zh-CN"/>
        </w:rPr>
        <w:t>2号专变更换工程</w:t>
      </w:r>
      <w:r>
        <w:rPr>
          <w:rFonts w:hint="eastAsia" w:hAnsi="宋体" w:cs="宋体"/>
          <w:b/>
          <w:bCs/>
          <w:color w:val="auto"/>
          <w:sz w:val="44"/>
          <w:szCs w:val="44"/>
          <w:highlight w:val="none"/>
        </w:rPr>
        <w:t>招标文件</w:t>
      </w:r>
    </w:p>
    <w:p w14:paraId="121F7813">
      <w:pPr>
        <w:pStyle w:val="13"/>
        <w:spacing w:line="440" w:lineRule="exact"/>
        <w:jc w:val="center"/>
        <w:rPr>
          <w:rFonts w:ascii="Arial" w:hAnsi="Arial" w:eastAsia="楷体_GB2312" w:cs="Arial"/>
          <w:b/>
          <w:bCs/>
          <w:color w:val="auto"/>
          <w:sz w:val="24"/>
          <w:szCs w:val="24"/>
          <w:highlight w:val="none"/>
        </w:rPr>
      </w:pPr>
    </w:p>
    <w:p w14:paraId="4538846F">
      <w:pPr>
        <w:pStyle w:val="13"/>
        <w:spacing w:line="440" w:lineRule="exact"/>
        <w:ind w:firstLine="2695"/>
        <w:rPr>
          <w:rFonts w:ascii="Arial" w:hAnsi="Arial" w:cs="Arial"/>
          <w:color w:val="auto"/>
          <w:sz w:val="24"/>
          <w:szCs w:val="24"/>
          <w:highlight w:val="none"/>
        </w:rPr>
      </w:pPr>
    </w:p>
    <w:p w14:paraId="07312CCE">
      <w:pPr>
        <w:pStyle w:val="13"/>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06E48136">
      <w:pPr>
        <w:pStyle w:val="13"/>
        <w:spacing w:line="440" w:lineRule="exact"/>
        <w:ind w:firstLine="2695"/>
        <w:rPr>
          <w:rFonts w:ascii="Arial" w:hAnsi="Arial" w:cs="Arial"/>
          <w:color w:val="auto"/>
          <w:sz w:val="28"/>
          <w:highlight w:val="none"/>
        </w:rPr>
      </w:pPr>
    </w:p>
    <w:p w14:paraId="55FB4253">
      <w:pPr>
        <w:pStyle w:val="13"/>
        <w:spacing w:line="440" w:lineRule="exact"/>
        <w:ind w:firstLine="2695"/>
        <w:rPr>
          <w:rFonts w:ascii="Arial" w:hAnsi="Arial" w:cs="Arial"/>
          <w:color w:val="auto"/>
          <w:sz w:val="28"/>
          <w:highlight w:val="none"/>
        </w:rPr>
      </w:pPr>
    </w:p>
    <w:p w14:paraId="2E78A0C4">
      <w:pPr>
        <w:pStyle w:val="13"/>
        <w:spacing w:line="440" w:lineRule="exact"/>
        <w:ind w:firstLine="2695"/>
        <w:rPr>
          <w:rFonts w:ascii="Arial" w:hAnsi="Arial" w:cs="Arial"/>
          <w:color w:val="auto"/>
          <w:sz w:val="28"/>
          <w:highlight w:val="none"/>
        </w:rPr>
      </w:pPr>
    </w:p>
    <w:p w14:paraId="3296A8D5">
      <w:pPr>
        <w:pStyle w:val="13"/>
        <w:spacing w:line="440" w:lineRule="exact"/>
        <w:ind w:firstLine="2695"/>
        <w:rPr>
          <w:rFonts w:ascii="Arial" w:hAnsi="Arial" w:cs="Arial"/>
          <w:color w:val="auto"/>
          <w:sz w:val="28"/>
          <w:highlight w:val="none"/>
        </w:rPr>
      </w:pPr>
    </w:p>
    <w:p w14:paraId="61E3F2AF">
      <w:pPr>
        <w:pStyle w:val="13"/>
        <w:spacing w:line="440" w:lineRule="exact"/>
        <w:rPr>
          <w:rFonts w:ascii="Arial" w:hAnsi="Arial" w:cs="Arial"/>
          <w:color w:val="auto"/>
          <w:sz w:val="28"/>
          <w:highlight w:val="none"/>
        </w:rPr>
      </w:pPr>
    </w:p>
    <w:p w14:paraId="2BDCD6A8">
      <w:pPr>
        <w:pStyle w:val="13"/>
        <w:spacing w:line="440" w:lineRule="exact"/>
        <w:rPr>
          <w:rFonts w:ascii="Arial" w:hAnsi="Arial" w:cs="Arial"/>
          <w:color w:val="auto"/>
          <w:sz w:val="28"/>
          <w:highlight w:val="none"/>
        </w:rPr>
      </w:pPr>
    </w:p>
    <w:p w14:paraId="6195D8D5">
      <w:pPr>
        <w:pStyle w:val="6"/>
        <w:rPr>
          <w:rFonts w:ascii="Arial" w:hAnsi="Arial" w:cs="Arial"/>
          <w:color w:val="auto"/>
          <w:sz w:val="28"/>
          <w:highlight w:val="none"/>
        </w:rPr>
      </w:pPr>
    </w:p>
    <w:p w14:paraId="17075204">
      <w:pPr>
        <w:rPr>
          <w:rFonts w:ascii="Arial" w:hAnsi="Arial" w:cs="Arial"/>
          <w:color w:val="auto"/>
          <w:sz w:val="28"/>
          <w:highlight w:val="none"/>
        </w:rPr>
      </w:pPr>
    </w:p>
    <w:p w14:paraId="7607C199">
      <w:pPr>
        <w:rPr>
          <w:rFonts w:ascii="Arial" w:hAnsi="Arial" w:cs="Arial"/>
          <w:color w:val="auto"/>
          <w:sz w:val="28"/>
          <w:highlight w:val="none"/>
        </w:rPr>
      </w:pPr>
    </w:p>
    <w:p w14:paraId="58B60FA6">
      <w:pPr>
        <w:rPr>
          <w:color w:val="auto"/>
          <w:highlight w:val="none"/>
        </w:rPr>
      </w:pPr>
    </w:p>
    <w:p w14:paraId="196F5446">
      <w:pPr>
        <w:rPr>
          <w:rFonts w:ascii="Arial" w:hAnsi="Arial" w:cs="Arial"/>
          <w:color w:val="auto"/>
          <w:sz w:val="28"/>
          <w:highlight w:val="none"/>
        </w:rPr>
      </w:pPr>
    </w:p>
    <w:p w14:paraId="6FBF730A">
      <w:pPr>
        <w:pStyle w:val="13"/>
        <w:spacing w:line="440" w:lineRule="exact"/>
        <w:rPr>
          <w:rFonts w:ascii="Arial" w:hAnsi="Arial" w:cs="Arial"/>
          <w:color w:val="auto"/>
          <w:sz w:val="28"/>
          <w:highlight w:val="none"/>
        </w:rPr>
      </w:pPr>
    </w:p>
    <w:p w14:paraId="21CA7F62">
      <w:pPr>
        <w:pStyle w:val="13"/>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9</w:t>
      </w:r>
      <w:r>
        <w:rPr>
          <w:rFonts w:hint="eastAsia" w:hAnsi="宋体" w:cs="宋体"/>
          <w:b/>
          <w:bCs/>
          <w:color w:val="auto"/>
          <w:sz w:val="36"/>
          <w:szCs w:val="36"/>
          <w:highlight w:val="none"/>
        </w:rPr>
        <w:t>月</w:t>
      </w:r>
    </w:p>
    <w:p w14:paraId="7387218B">
      <w:pPr>
        <w:pStyle w:val="13"/>
        <w:spacing w:line="440" w:lineRule="exact"/>
        <w:jc w:val="center"/>
        <w:rPr>
          <w:rFonts w:hAnsi="宋体" w:cs="宋体"/>
          <w:b/>
          <w:bCs/>
          <w:color w:val="auto"/>
          <w:sz w:val="36"/>
          <w:szCs w:val="36"/>
          <w:highlight w:val="none"/>
        </w:rPr>
      </w:pPr>
    </w:p>
    <w:p w14:paraId="643FA183">
      <w:pPr>
        <w:pStyle w:val="13"/>
        <w:spacing w:line="440" w:lineRule="exact"/>
        <w:rPr>
          <w:rFonts w:hAnsi="宋体" w:cs="宋体"/>
          <w:b/>
          <w:bCs/>
          <w:color w:val="auto"/>
          <w:sz w:val="36"/>
          <w:szCs w:val="36"/>
          <w:highlight w:val="none"/>
        </w:rPr>
      </w:pPr>
    </w:p>
    <w:p w14:paraId="6D65E365">
      <w:pPr>
        <w:pStyle w:val="24"/>
        <w:spacing w:before="0" w:line="440" w:lineRule="exact"/>
        <w:ind w:left="0"/>
        <w:jc w:val="center"/>
        <w:rPr>
          <w:rFonts w:ascii="Arial" w:hAnsi="宋体" w:eastAsia="宋体" w:cs="Arial"/>
          <w:b/>
          <w:bCs/>
          <w:color w:val="auto"/>
          <w:sz w:val="44"/>
          <w:szCs w:val="44"/>
          <w:highlight w:val="none"/>
          <w:lang w:val="zh-CN"/>
        </w:rPr>
      </w:pPr>
    </w:p>
    <w:p w14:paraId="56FCC977">
      <w:pPr>
        <w:pStyle w:val="24"/>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2C87C9D0">
      <w:pPr>
        <w:spacing w:line="440" w:lineRule="exact"/>
        <w:rPr>
          <w:color w:val="auto"/>
          <w:highlight w:val="none"/>
        </w:rPr>
      </w:pPr>
    </w:p>
    <w:p w14:paraId="514163C8">
      <w:pPr>
        <w:pStyle w:val="12"/>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1"/>
          <w:rFonts w:ascii="Arial" w:cs="Arial"/>
          <w:color w:val="auto"/>
          <w:sz w:val="24"/>
          <w:highlight w:val="none"/>
        </w:rPr>
        <w:t>第一章</w:t>
      </w:r>
      <w:r>
        <w:rPr>
          <w:rStyle w:val="21"/>
          <w:rFonts w:hint="eastAsia" w:ascii="Arial" w:cs="Arial"/>
          <w:color w:val="auto"/>
          <w:sz w:val="24"/>
          <w:highlight w:val="none"/>
        </w:rPr>
        <w:t xml:space="preserve">  招标</w:t>
      </w:r>
      <w:r>
        <w:rPr>
          <w:rStyle w:val="21"/>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1D485B7">
      <w:pPr>
        <w:pStyle w:val="12"/>
        <w:tabs>
          <w:tab w:val="right" w:leader="dot" w:pos="9628"/>
        </w:tabs>
        <w:spacing w:line="540" w:lineRule="exact"/>
        <w:ind w:left="0" w:leftChars="0"/>
        <w:rPr>
          <w:rFonts w:hint="default"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1"/>
          <w:rFonts w:ascii="Arial" w:cs="Arial"/>
          <w:color w:val="auto"/>
          <w:sz w:val="24"/>
          <w:highlight w:val="none"/>
        </w:rPr>
        <w:t>第</w:t>
      </w:r>
      <w:r>
        <w:rPr>
          <w:rStyle w:val="21"/>
          <w:rFonts w:hint="eastAsia" w:ascii="Arial" w:cs="Arial"/>
          <w:color w:val="auto"/>
          <w:sz w:val="24"/>
          <w:highlight w:val="none"/>
        </w:rPr>
        <w:t>二</w:t>
      </w:r>
      <w:r>
        <w:rPr>
          <w:rStyle w:val="21"/>
          <w:rFonts w:ascii="Arial" w:cs="Arial"/>
          <w:color w:val="auto"/>
          <w:sz w:val="24"/>
          <w:highlight w:val="none"/>
        </w:rPr>
        <w:t>章</w:t>
      </w:r>
      <w:r>
        <w:rPr>
          <w:rStyle w:val="21"/>
          <w:rFonts w:hint="eastAsia" w:ascii="Arial" w:cs="Arial"/>
          <w:color w:val="auto"/>
          <w:sz w:val="24"/>
          <w:highlight w:val="none"/>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11</w:t>
      </w:r>
    </w:p>
    <w:p w14:paraId="288DF70C">
      <w:pPr>
        <w:pStyle w:val="12"/>
        <w:tabs>
          <w:tab w:val="right" w:leader="dot" w:pos="9628"/>
        </w:tabs>
        <w:spacing w:line="540" w:lineRule="exact"/>
        <w:ind w:left="0" w:leftChars="0"/>
        <w:rPr>
          <w:rStyle w:val="21"/>
          <w:rFonts w:hint="default" w:asci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1"/>
          <w:rFonts w:ascii="Arial" w:cs="Arial"/>
          <w:color w:val="auto"/>
          <w:sz w:val="24"/>
          <w:highlight w:val="none"/>
        </w:rPr>
        <w:t>第</w:t>
      </w:r>
      <w:r>
        <w:rPr>
          <w:rStyle w:val="21"/>
          <w:rFonts w:hint="eastAsia" w:ascii="Arial" w:cs="Arial"/>
          <w:color w:val="auto"/>
          <w:sz w:val="24"/>
          <w:highlight w:val="none"/>
        </w:rPr>
        <w:t>三</w:t>
      </w:r>
      <w:r>
        <w:rPr>
          <w:rStyle w:val="21"/>
          <w:rFonts w:ascii="Arial" w:cs="Arial"/>
          <w:color w:val="auto"/>
          <w:sz w:val="24"/>
          <w:highlight w:val="none"/>
        </w:rPr>
        <w:t>章</w:t>
      </w:r>
      <w:r>
        <w:rPr>
          <w:rStyle w:val="21"/>
          <w:rFonts w:hint="eastAsia" w:ascii="Arial" w:cs="Arial"/>
          <w:color w:val="auto"/>
          <w:sz w:val="24"/>
          <w:highlight w:val="none"/>
        </w:rPr>
        <w:t xml:space="preserve">  合同条款</w:t>
      </w:r>
      <w:r>
        <w:rPr>
          <w:rFonts w:ascii="Arial" w:hAnsi="Arial" w:cs="Arial"/>
          <w:color w:val="auto"/>
          <w:sz w:val="24"/>
          <w:highlight w:val="none"/>
        </w:rPr>
        <w:tab/>
      </w:r>
      <w:r>
        <w:rPr>
          <w:rFonts w:hint="eastAsia" w:ascii="Arial" w:hAnsi="Arial" w:cs="Arial"/>
          <w:color w:val="auto"/>
          <w:sz w:val="24"/>
          <w:highlight w:val="none"/>
          <w:lang w:val="en-US" w:eastAsia="zh-CN"/>
        </w:rPr>
        <w:t>14</w:t>
      </w:r>
    </w:p>
    <w:p w14:paraId="5DF67A8D">
      <w:pPr>
        <w:pStyle w:val="12"/>
        <w:tabs>
          <w:tab w:val="right" w:leader="dot" w:pos="9628"/>
        </w:tabs>
        <w:spacing w:line="540" w:lineRule="exact"/>
        <w:ind w:left="0" w:leftChars="0"/>
        <w:rPr>
          <w:rFonts w:hint="default" w:eastAsia="宋体"/>
          <w:color w:val="auto"/>
          <w:highlight w:val="none"/>
          <w:lang w:val="en-US" w:eastAsia="zh-CN"/>
        </w:rPr>
      </w:pPr>
      <w:r>
        <w:rPr>
          <w:rFonts w:hint="eastAsia" w:ascii="Arial" w:hAnsi="Arial" w:cs="Arial"/>
          <w:color w:val="auto"/>
          <w:sz w:val="24"/>
          <w:highlight w:val="none"/>
        </w:rPr>
        <w:t xml:space="preserve">第四章  </w:t>
      </w:r>
      <w:r>
        <w:rPr>
          <w:rFonts w:hint="eastAsia" w:ascii="Arial" w:hAnsi="Arial" w:cs="Arial"/>
          <w:color w:val="auto"/>
          <w:sz w:val="24"/>
          <w:highlight w:val="none"/>
          <w:lang w:val="en-US" w:eastAsia="zh-CN"/>
        </w:rPr>
        <w:t>响应</w:t>
      </w:r>
      <w:r>
        <w:rPr>
          <w:rFonts w:hint="eastAsia" w:ascii="Arial" w:hAnsi="Arial" w:cs="Arial"/>
          <w:color w:val="auto"/>
          <w:sz w:val="24"/>
          <w:highlight w:val="none"/>
        </w:rPr>
        <w:t>文件格式</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lang w:val="en-US" w:eastAsia="zh-CN"/>
        </w:rPr>
        <w:t>21</w:t>
      </w:r>
    </w:p>
    <w:p w14:paraId="0EF237A6">
      <w:pPr>
        <w:pStyle w:val="12"/>
        <w:tabs>
          <w:tab w:val="right" w:leader="dot" w:pos="9628"/>
        </w:tabs>
        <w:spacing w:line="540" w:lineRule="exact"/>
        <w:ind w:left="0" w:leftChars="0"/>
        <w:rPr>
          <w:rFonts w:hint="default" w:ascii="Arial" w:hAnsi="Arial" w:eastAsia="宋体" w:cs="Arial"/>
          <w:color w:val="auto"/>
          <w:sz w:val="24"/>
          <w:highlight w:val="none"/>
          <w:lang w:val="en-US" w:eastAsia="zh-CN"/>
        </w:rPr>
      </w:pPr>
      <w:r>
        <w:rPr>
          <w:rFonts w:hint="eastAsia" w:ascii="Arial" w:hAnsi="Arial" w:cs="Arial"/>
          <w:color w:val="auto"/>
          <w:sz w:val="24"/>
          <w:highlight w:val="none"/>
        </w:rPr>
        <w:t>第五章  工程量清单</w:t>
      </w:r>
      <w:r>
        <w:rPr>
          <w:rFonts w:hint="eastAsia" w:ascii="Arial" w:hAnsi="Arial" w:cs="Arial"/>
          <w:color w:val="auto"/>
          <w:sz w:val="24"/>
          <w:highlight w:val="none"/>
          <w:lang w:eastAsia="zh-CN"/>
        </w:rPr>
        <w:t>、</w:t>
      </w:r>
      <w:r>
        <w:rPr>
          <w:rFonts w:hint="eastAsia"/>
          <w:color w:val="auto"/>
          <w:highlight w:val="none"/>
        </w:rPr>
        <w:t>图纸</w:t>
      </w:r>
      <w:r>
        <w:rPr>
          <w:rFonts w:hint="eastAsia" w:ascii="Arial" w:hAnsi="Arial" w:cs="Arial"/>
          <w:color w:val="auto"/>
          <w:sz w:val="24"/>
          <w:highlight w:val="none"/>
          <w:lang w:eastAsia="zh-CN"/>
        </w:rPr>
        <w:t>（</w:t>
      </w:r>
      <w:r>
        <w:rPr>
          <w:rFonts w:hint="eastAsia" w:ascii="Arial" w:hAnsi="Arial" w:cs="Arial"/>
          <w:color w:val="auto"/>
          <w:sz w:val="24"/>
          <w:highlight w:val="none"/>
          <w:lang w:val="en-US" w:eastAsia="zh-CN"/>
        </w:rPr>
        <w:t>另附）</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37</w:t>
      </w:r>
    </w:p>
    <w:p w14:paraId="10A9CBE7">
      <w:pPr>
        <w:rPr>
          <w:color w:val="auto"/>
          <w:highlight w:val="none"/>
        </w:rPr>
      </w:pPr>
    </w:p>
    <w:p w14:paraId="790D0C8A">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03EDD08D">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39A4EF65">
      <w:pPr>
        <w:pStyle w:val="2"/>
        <w:jc w:val="center"/>
        <w:rPr>
          <w:color w:val="auto"/>
          <w:highlight w:val="none"/>
        </w:rPr>
      </w:pPr>
      <w:r>
        <w:rPr>
          <w:rFonts w:hint="eastAsia"/>
          <w:color w:val="auto"/>
          <w:sz w:val="32"/>
          <w:szCs w:val="32"/>
          <w:highlight w:val="none"/>
        </w:rPr>
        <w:t>第一章  招标公告</w:t>
      </w:r>
    </w:p>
    <w:p w14:paraId="0F94A99E">
      <w:pPr>
        <w:pStyle w:val="25"/>
        <w:spacing w:line="480" w:lineRule="exact"/>
        <w:rPr>
          <w:color w:val="auto"/>
          <w:sz w:val="24"/>
          <w:szCs w:val="24"/>
          <w:highlight w:val="none"/>
        </w:rPr>
      </w:pPr>
    </w:p>
    <w:p w14:paraId="3E5C0EE4">
      <w:pPr>
        <w:pStyle w:val="25"/>
        <w:pageBreakBefore w:val="0"/>
        <w:tabs>
          <w:tab w:val="left" w:pos="8960"/>
        </w:tabs>
        <w:kinsoku/>
        <w:wordWrap/>
        <w:overflowPunct/>
        <w:topLinePunct w:val="0"/>
        <w:autoSpaceDE/>
        <w:autoSpaceDN/>
        <w:bidi w:val="0"/>
        <w:adjustRightInd/>
        <w:spacing w:line="440" w:lineRule="exact"/>
        <w:ind w:firstLine="512" w:firstLineChars="200"/>
        <w:jc w:val="left"/>
        <w:textAlignment w:val="auto"/>
        <w:rPr>
          <w:color w:val="auto"/>
          <w:sz w:val="24"/>
          <w:szCs w:val="24"/>
          <w:highlight w:val="none"/>
        </w:rPr>
      </w:pPr>
      <w:r>
        <w:rPr>
          <w:rFonts w:hint="eastAsia"/>
          <w:color w:val="auto"/>
          <w:spacing w:val="8"/>
          <w:sz w:val="24"/>
          <w:szCs w:val="24"/>
          <w:highlight w:val="none"/>
          <w:lang w:eastAsia="zh-CN"/>
        </w:rPr>
        <w:t>桂林市人民医院拟对</w:t>
      </w:r>
      <w:r>
        <w:rPr>
          <w:rFonts w:hint="eastAsia"/>
          <w:color w:val="auto"/>
          <w:spacing w:val="-6"/>
          <w:sz w:val="24"/>
          <w:szCs w:val="24"/>
          <w:highlight w:val="none"/>
          <w:lang w:eastAsia="zh-CN"/>
        </w:rPr>
        <w:t>自筹资金</w:t>
      </w:r>
      <w:r>
        <w:rPr>
          <w:rFonts w:hint="eastAsia" w:asciiTheme="minorEastAsia" w:hAnsiTheme="minorEastAsia" w:cstheme="minorEastAsia"/>
          <w:color w:val="auto"/>
          <w:sz w:val="24"/>
          <w:szCs w:val="24"/>
          <w:highlight w:val="none"/>
          <w:u w:val="single"/>
          <w:lang w:val="en-US" w:eastAsia="zh-CN"/>
        </w:rPr>
        <w:t>2号专变更换工程</w:t>
      </w:r>
      <w:r>
        <w:rPr>
          <w:rFonts w:hint="eastAsia"/>
          <w:color w:val="auto"/>
          <w:sz w:val="24"/>
          <w:szCs w:val="24"/>
          <w:highlight w:val="none"/>
          <w:lang w:eastAsia="zh-CN"/>
        </w:rPr>
        <w:t>进行院内公开招标</w:t>
      </w:r>
      <w:r>
        <w:rPr>
          <w:rFonts w:hint="eastAsia"/>
          <w:color w:val="auto"/>
          <w:spacing w:val="8"/>
          <w:sz w:val="24"/>
          <w:szCs w:val="24"/>
          <w:highlight w:val="none"/>
        </w:rPr>
        <w:t>，</w:t>
      </w:r>
      <w:r>
        <w:rPr>
          <w:rFonts w:hint="eastAsia"/>
          <w:color w:val="auto"/>
          <w:spacing w:val="7"/>
          <w:sz w:val="24"/>
          <w:szCs w:val="24"/>
          <w:highlight w:val="none"/>
        </w:rPr>
        <w:t>现将有关事项公告如下：</w:t>
      </w:r>
    </w:p>
    <w:p w14:paraId="616CC182">
      <w:pPr>
        <w:pStyle w:val="3"/>
        <w:pageBreakBefore w:val="0"/>
        <w:kinsoku/>
        <w:wordWrap/>
        <w:overflowPunct/>
        <w:topLinePunct w:val="0"/>
        <w:autoSpaceDE/>
        <w:autoSpaceDN/>
        <w:bidi w:val="0"/>
        <w:adjustRightInd/>
        <w:spacing w:line="440" w:lineRule="exact"/>
        <w:textAlignment w:val="auto"/>
        <w:rPr>
          <w:rFonts w:ascii="宋体" w:hAnsi="宋体" w:eastAsia="宋体" w:cs="宋体"/>
          <w:bCs/>
          <w:color w:val="auto"/>
          <w:sz w:val="24"/>
          <w:highlight w:val="none"/>
        </w:rPr>
      </w:pPr>
      <w:r>
        <w:rPr>
          <w:rFonts w:ascii="宋体" w:hAnsi="宋体" w:cs="宋体"/>
          <w:bCs/>
          <w:color w:val="auto"/>
          <w:sz w:val="24"/>
          <w:highlight w:val="none"/>
        </w:rPr>
        <w:t xml:space="preserve"> </w:t>
      </w:r>
      <w:r>
        <w:rPr>
          <w:rFonts w:hint="eastAsia" w:ascii="宋体" w:hAnsi="宋体" w:eastAsia="宋体" w:cs="宋体"/>
          <w:bCs/>
          <w:color w:val="auto"/>
          <w:sz w:val="24"/>
          <w:highlight w:val="none"/>
        </w:rPr>
        <w:t xml:space="preserve">  </w:t>
      </w:r>
      <w:bookmarkStart w:id="0" w:name="_Toc20773"/>
      <w:r>
        <w:rPr>
          <w:rFonts w:hint="eastAsia" w:ascii="宋体" w:hAnsi="宋体" w:eastAsia="宋体" w:cs="宋体"/>
          <w:bCs/>
          <w:color w:val="auto"/>
          <w:sz w:val="24"/>
          <w:highlight w:val="none"/>
        </w:rPr>
        <w:t>一、项目基本情况</w:t>
      </w:r>
      <w:bookmarkEnd w:id="0"/>
    </w:p>
    <w:p w14:paraId="159876F5">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1.项目名称：</w:t>
      </w:r>
      <w:r>
        <w:rPr>
          <w:rFonts w:hint="eastAsia"/>
          <w:b w:val="0"/>
          <w:bCs w:val="0"/>
          <w:color w:val="auto"/>
          <w:sz w:val="24"/>
          <w:szCs w:val="24"/>
          <w:highlight w:val="none"/>
          <w:lang w:val="en-US" w:eastAsia="zh-CN"/>
        </w:rPr>
        <w:t>桂林市人民医院2号专变更换工程</w:t>
      </w:r>
    </w:p>
    <w:p w14:paraId="6D7D0449">
      <w:pPr>
        <w:pageBreakBefore w:val="0"/>
        <w:kinsoku/>
        <w:wordWrap/>
        <w:overflowPunct/>
        <w:topLinePunct w:val="0"/>
        <w:autoSpaceDE/>
        <w:autoSpaceDN/>
        <w:bidi w:val="0"/>
        <w:adjustRightInd/>
        <w:spacing w:line="440" w:lineRule="exact"/>
        <w:ind w:firstLine="480" w:firstLineChars="200"/>
        <w:textAlignment w:val="auto"/>
        <w:rPr>
          <w:rFonts w:hint="default" w:eastAsia="宋体" w:asciiTheme="minorEastAsia" w:hAnsiTheme="minorEastAsia" w:cstheme="minorEastAsia"/>
          <w:color w:val="auto"/>
          <w:sz w:val="24"/>
          <w:szCs w:val="24"/>
          <w:highlight w:val="none"/>
          <w:u w:val="none"/>
          <w:lang w:val="en-US" w:eastAsia="zh-CN"/>
        </w:rPr>
      </w:pPr>
      <w:r>
        <w:rPr>
          <w:rFonts w:hint="eastAsia" w:ascii="宋体" w:hAnsi="宋体" w:cs="宋体"/>
          <w:color w:val="auto"/>
          <w:sz w:val="24"/>
          <w:highlight w:val="none"/>
        </w:rPr>
        <w:t>2.项目编号：</w:t>
      </w:r>
      <w:r>
        <w:rPr>
          <w:rFonts w:hint="eastAsia" w:ascii="宋体" w:hAnsi="宋体" w:cs="宋体"/>
          <w:color w:val="auto"/>
          <w:sz w:val="24"/>
          <w:highlight w:val="none"/>
          <w:lang w:val="en-US" w:eastAsia="zh-CN"/>
        </w:rPr>
        <w:t>BZK</w:t>
      </w:r>
      <w:r>
        <w:rPr>
          <w:rFonts w:hint="eastAsia" w:ascii="宋体" w:hAnsi="宋体" w:cs="宋体"/>
          <w:color w:val="auto"/>
          <w:sz w:val="24"/>
          <w:highlight w:val="none"/>
        </w:rPr>
        <w:t>-2025-0</w:t>
      </w:r>
      <w:r>
        <w:rPr>
          <w:rFonts w:hint="eastAsia" w:ascii="宋体" w:hAnsi="宋体" w:cs="宋体"/>
          <w:color w:val="auto"/>
          <w:sz w:val="24"/>
          <w:highlight w:val="none"/>
          <w:lang w:val="en-US" w:eastAsia="zh-CN"/>
        </w:rPr>
        <w:t>25</w:t>
      </w:r>
    </w:p>
    <w:p w14:paraId="09328FC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3.招标方式：</w:t>
      </w:r>
      <w:r>
        <w:rPr>
          <w:rFonts w:hint="eastAsia" w:ascii="宋体" w:hAnsi="宋体" w:cs="宋体"/>
          <w:color w:val="auto"/>
          <w:sz w:val="24"/>
          <w:highlight w:val="none"/>
          <w:lang w:val="en-US" w:eastAsia="zh-CN"/>
        </w:rPr>
        <w:t>院内</w:t>
      </w:r>
      <w:r>
        <w:rPr>
          <w:rFonts w:hint="eastAsia" w:ascii="宋体" w:hAnsi="宋体" w:cs="宋体"/>
          <w:color w:val="auto"/>
          <w:sz w:val="24"/>
          <w:highlight w:val="none"/>
        </w:rPr>
        <w:t>公开招标</w:t>
      </w:r>
    </w:p>
    <w:p w14:paraId="6852744F">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cs="宋体"/>
          <w:color w:val="auto"/>
          <w:sz w:val="24"/>
          <w:highlight w:val="none"/>
        </w:rPr>
        <w:t>4.</w:t>
      </w:r>
      <w:r>
        <w:rPr>
          <w:rFonts w:hint="eastAsia" w:asciiTheme="minorEastAsia" w:hAnsiTheme="minorEastAsia" w:eastAsiaTheme="minorEastAsia" w:cstheme="minorEastAsia"/>
          <w:color w:val="auto"/>
          <w:sz w:val="24"/>
          <w:szCs w:val="24"/>
          <w:highlight w:val="none"/>
          <w:lang w:val="en-US" w:eastAsia="zh-CN"/>
        </w:rPr>
        <w:t>招标控制价：</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b w:val="0"/>
          <w:bCs w:val="0"/>
          <w:color w:val="auto"/>
          <w:sz w:val="24"/>
          <w:szCs w:val="24"/>
          <w:highlight w:val="none"/>
          <w:u w:val="single"/>
          <w:lang w:val="en-US" w:eastAsia="zh-CN"/>
        </w:rPr>
        <w:t>228668.87元</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rPr>
        <w:t>暂列金：</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b w:val="0"/>
          <w:bCs w:val="0"/>
          <w:color w:val="auto"/>
          <w:sz w:val="24"/>
          <w:szCs w:val="24"/>
          <w:highlight w:val="none"/>
          <w:u w:val="single"/>
          <w:lang w:val="en-US" w:eastAsia="zh-CN"/>
        </w:rPr>
        <w:t>21534.04元</w:t>
      </w:r>
      <w:r>
        <w:rPr>
          <w:rFonts w:hint="eastAsia"/>
          <w:b w:val="0"/>
          <w:bCs w:val="0"/>
          <w:color w:val="auto"/>
          <w:sz w:val="24"/>
          <w:szCs w:val="24"/>
          <w:highlight w:val="none"/>
          <w:u w:val="none"/>
          <w:lang w:val="en-US" w:eastAsia="zh-CN"/>
        </w:rPr>
        <w:t>。</w:t>
      </w:r>
    </w:p>
    <w:p w14:paraId="77E4DCBD">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hint="default" w:ascii="宋体" w:hAnsi="宋体" w:eastAsia="宋体" w:cs="宋体"/>
          <w:color w:val="auto"/>
          <w:kern w:val="0"/>
          <w:sz w:val="24"/>
          <w:highlight w:val="none"/>
          <w:shd w:val="clear" w:color="auto" w:fill="FFFFFF"/>
          <w:lang w:val="en-US" w:eastAsia="zh-CN"/>
        </w:rPr>
      </w:pPr>
      <w:r>
        <w:rPr>
          <w:rFonts w:hint="eastAsia" w:ascii="宋体" w:hAnsi="宋体" w:cs="宋体"/>
          <w:color w:val="auto"/>
          <w:sz w:val="24"/>
          <w:highlight w:val="none"/>
        </w:rPr>
        <w:t>5.招标范围：</w:t>
      </w:r>
      <w:r>
        <w:rPr>
          <w:rFonts w:hint="eastAsia" w:ascii="宋体" w:hAnsi="宋体" w:cs="宋体"/>
          <w:color w:val="auto"/>
          <w:sz w:val="24"/>
          <w:highlight w:val="none"/>
          <w:lang w:val="en-US" w:eastAsia="zh-CN"/>
        </w:rPr>
        <w:t>更换1250KVA变压器及配套设施，具体详见工程量清单及图纸。</w:t>
      </w:r>
    </w:p>
    <w:p w14:paraId="546B275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6.要求工期：签订合同之日起</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个日历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完工</w:t>
      </w:r>
    </w:p>
    <w:p w14:paraId="67D94C84">
      <w:pPr>
        <w:pageBreakBefore w:val="0"/>
        <w:kinsoku/>
        <w:wordWrap/>
        <w:overflowPunct/>
        <w:topLinePunct w:val="0"/>
        <w:autoSpaceDE/>
        <w:autoSpaceDN/>
        <w:bidi w:val="0"/>
        <w:adjustRightInd/>
        <w:spacing w:line="440" w:lineRule="exact"/>
        <w:ind w:firstLine="484" w:firstLineChars="202"/>
        <w:jc w:val="left"/>
        <w:textAlignment w:val="auto"/>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质量要求：</w:t>
      </w:r>
      <w:r>
        <w:rPr>
          <w:rFonts w:hint="eastAsia" w:ascii="宋体" w:hAnsi="宋体" w:eastAsia="宋体" w:cs="宋体"/>
          <w:color w:val="auto"/>
          <w:sz w:val="24"/>
          <w:highlight w:val="none"/>
          <w:lang w:val="en-US" w:eastAsia="zh-CN"/>
        </w:rPr>
        <w:t>达到国家施工验收规范合格标准。</w:t>
      </w:r>
    </w:p>
    <w:p w14:paraId="7F759D64">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kern w:val="0"/>
          <w:sz w:val="24"/>
          <w:highlight w:val="none"/>
          <w:u w:val="none"/>
          <w:lang w:val="en-US" w:eastAsia="zh-CN"/>
        </w:rPr>
      </w:pPr>
      <w:r>
        <w:rPr>
          <w:rFonts w:hint="eastAsia" w:ascii="宋体" w:hAnsi="宋体" w:cs="宋体"/>
          <w:color w:val="auto"/>
          <w:sz w:val="24"/>
          <w:highlight w:val="none"/>
        </w:rPr>
        <w:t>8.</w:t>
      </w:r>
      <w:r>
        <w:rPr>
          <w:rFonts w:hint="eastAsia" w:ascii="宋体" w:hAnsi="宋体" w:cs="宋体"/>
          <w:color w:val="auto"/>
          <w:kern w:val="0"/>
          <w:sz w:val="24"/>
          <w:highlight w:val="none"/>
        </w:rPr>
        <w:t>标段划分：</w:t>
      </w:r>
      <w:r>
        <w:rPr>
          <w:rFonts w:hint="eastAsia" w:ascii="宋体" w:hAnsi="宋体" w:cs="宋体"/>
          <w:color w:val="auto"/>
          <w:kern w:val="0"/>
          <w:sz w:val="24"/>
          <w:highlight w:val="none"/>
          <w:u w:val="single"/>
        </w:rPr>
        <w:t>本工程为1个标段</w:t>
      </w:r>
    </w:p>
    <w:p w14:paraId="4A53E33C">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6DCE07C4">
      <w:pPr>
        <w:pStyle w:val="26"/>
        <w:pageBreakBefore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color w:val="auto"/>
          <w:sz w:val="24"/>
          <w:highlight w:val="none"/>
        </w:rPr>
      </w:pPr>
      <w:r>
        <w:rPr>
          <w:rFonts w:hint="eastAsia"/>
          <w:color w:val="auto"/>
          <w:sz w:val="24"/>
          <w:highlight w:val="none"/>
        </w:rPr>
        <w:t>1.国内注册【依法在市场监督管理部门（或行政审批部门）登记注册】的，具备合法资格的供应商；</w:t>
      </w:r>
    </w:p>
    <w:p w14:paraId="7DA7821A">
      <w:pPr>
        <w:pStyle w:val="26"/>
        <w:widowControl/>
        <w:spacing w:line="435" w:lineRule="atLeast"/>
        <w:ind w:left="0" w:leftChars="0" w:firstLine="480" w:firstLineChars="200"/>
        <w:jc w:val="both"/>
        <w:rPr>
          <w:rFonts w:hint="eastAsia" w:cs="宋体"/>
          <w:b w:val="0"/>
          <w:bCs/>
          <w:color w:val="auto"/>
          <w:kern w:val="0"/>
          <w:sz w:val="24"/>
          <w:szCs w:val="24"/>
          <w:highlight w:val="none"/>
          <w:lang w:val="en-US" w:eastAsia="zh-CN"/>
        </w:rPr>
      </w:pPr>
      <w:r>
        <w:rPr>
          <w:rFonts w:hint="eastAsia" w:ascii="宋体" w:hAnsi="宋体" w:cs="宋体"/>
          <w:color w:val="auto"/>
          <w:sz w:val="24"/>
          <w:highlight w:val="none"/>
        </w:rPr>
        <w:t>2.</w:t>
      </w:r>
      <w:r>
        <w:rPr>
          <w:rFonts w:hint="eastAsia" w:ascii="宋体" w:hAnsi="宋体" w:cs="宋体"/>
          <w:b/>
          <w:bCs/>
          <w:color w:val="auto"/>
          <w:sz w:val="24"/>
          <w:highlight w:val="none"/>
        </w:rPr>
        <w:t>本项目的特定资格要求</w:t>
      </w:r>
      <w:r>
        <w:rPr>
          <w:rFonts w:hint="eastAsia" w:ascii="宋体" w:hAnsi="宋体" w:cs="宋体"/>
          <w:color w:val="auto"/>
          <w:sz w:val="24"/>
          <w:highlight w:val="none"/>
        </w:rPr>
        <w:t>：</w:t>
      </w:r>
      <w:r>
        <w:rPr>
          <w:rFonts w:hint="eastAsia" w:cs="宋体"/>
          <w:b w:val="0"/>
          <w:bCs/>
          <w:color w:val="auto"/>
          <w:kern w:val="0"/>
          <w:sz w:val="24"/>
          <w:szCs w:val="24"/>
          <w:highlight w:val="none"/>
          <w:lang w:val="en-US" w:eastAsia="zh-CN"/>
        </w:rPr>
        <w:t>投标人具须具备电力工程施工总承包三级以上（含三级）资质或输变电工程专业承包三级以上（含三级）资质；同时具有相应有效的《承装（修、试）电力设施许可证》承装类、承修类、承试类五级以上（含五级）资质，同时具备有效的安全生产许可证，并在人员、设备、资金等方面具有相应的履约能力。</w:t>
      </w:r>
    </w:p>
    <w:p w14:paraId="6F9C9AC2">
      <w:pPr>
        <w:pStyle w:val="26"/>
        <w:widowControl/>
        <w:spacing w:line="435" w:lineRule="atLeast"/>
        <w:ind w:left="0" w:leftChars="0" w:firstLine="480" w:firstLineChars="200"/>
        <w:jc w:val="both"/>
        <w:rPr>
          <w:rFonts w:hint="eastAsia" w:cs="宋体"/>
          <w:b w:val="0"/>
          <w:bCs/>
          <w:color w:val="auto"/>
          <w:kern w:val="0"/>
          <w:sz w:val="24"/>
          <w:szCs w:val="24"/>
          <w:highlight w:val="none"/>
          <w:lang w:val="en-US" w:eastAsia="zh-CN"/>
        </w:rPr>
      </w:pPr>
      <w:r>
        <w:rPr>
          <w:rFonts w:hint="eastAsia" w:cs="宋体"/>
          <w:b w:val="0"/>
          <w:bCs/>
          <w:color w:val="auto"/>
          <w:kern w:val="0"/>
          <w:sz w:val="24"/>
          <w:szCs w:val="24"/>
          <w:highlight w:val="none"/>
          <w:lang w:val="en-US" w:eastAsia="zh-CN"/>
        </w:rPr>
        <w:t>投标人拟派驻本工程的项目经理必须具有机电工程专业贰级以上（含贰级）注册建造师资格并获得有效的安全生产考核合格证（B证），且未拟派其他在建、已中标（或成交）未开工或已列为其他项目中标（或成交）候选人第一名的建造师作为项目经理。专职安全生产管理人员（配备1人）：专职安全生产管理人员必须具有专职安全员安全生产考核合格证书（C类）。</w:t>
      </w:r>
    </w:p>
    <w:p w14:paraId="2F3293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3.本项目不接受在“信用中国”网站(www.creditchina.gov.cn)被列入失信被执行人、重大税收违法失信主体、严重违法失信行为记录名单的供应商参与报价。</w:t>
      </w:r>
    </w:p>
    <w:p w14:paraId="65B458D9">
      <w:pPr>
        <w:pStyle w:val="3"/>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b w:val="0"/>
          <w:bCs/>
          <w:color w:val="auto"/>
          <w:sz w:val="24"/>
          <w:highlight w:val="none"/>
        </w:rPr>
      </w:pPr>
      <w:bookmarkStart w:id="1" w:name="_Toc5023"/>
      <w:r>
        <w:rPr>
          <w:rFonts w:hint="eastAsia" w:ascii="宋体" w:hAnsi="宋体" w:eastAsia="宋体" w:cs="宋体"/>
          <w:color w:val="auto"/>
          <w:sz w:val="24"/>
          <w:highlight w:val="none"/>
        </w:rPr>
        <w:t>4.参加投标采购活动前三年内，在经营活动中没有重大违法记录：</w:t>
      </w:r>
      <w:r>
        <w:rPr>
          <w:rFonts w:hint="eastAsia" w:ascii="宋体" w:hAnsi="宋体" w:eastAsia="宋体" w:cs="宋体"/>
          <w:b w:val="0"/>
          <w:bCs/>
          <w:color w:val="auto"/>
          <w:sz w:val="24"/>
          <w:highlight w:val="none"/>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5675E7A5">
      <w:pPr>
        <w:pStyle w:val="26"/>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rFonts w:hint="default" w:eastAsia="宋体"/>
          <w:b/>
          <w:bCs/>
          <w:color w:val="auto"/>
          <w:sz w:val="24"/>
          <w:highlight w:val="none"/>
          <w:lang w:val="en-US" w:eastAsia="zh-CN"/>
        </w:rPr>
      </w:pPr>
      <w:r>
        <w:rPr>
          <w:rFonts w:hint="eastAsia"/>
          <w:color w:val="auto"/>
          <w:sz w:val="24"/>
          <w:highlight w:val="none"/>
        </w:rPr>
        <w:t>5.本项目不接受联合体参与</w:t>
      </w:r>
      <w:r>
        <w:rPr>
          <w:rFonts w:hint="eastAsia"/>
          <w:color w:val="auto"/>
          <w:sz w:val="24"/>
          <w:highlight w:val="none"/>
          <w:lang w:val="en-US" w:eastAsia="zh-CN"/>
        </w:rPr>
        <w:t>投标。</w:t>
      </w:r>
    </w:p>
    <w:p w14:paraId="6AD25D14">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特别说明：</w:t>
      </w:r>
    </w:p>
    <w:p w14:paraId="53527F5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（1）与招标人存在利害关系可能影响招标公正性的法人、其他组织或者个人，不得参加投标。</w:t>
      </w:r>
    </w:p>
    <w:p w14:paraId="03A2CE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（2）单位负责人为同一人或者存在控股、管理关系的不同单位，不得参加同一招标项目投标。</w:t>
      </w:r>
    </w:p>
    <w:p w14:paraId="3434523B">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如投标人有违反上述规定的，相关投标按无效投标处理。</w:t>
      </w:r>
    </w:p>
    <w:p w14:paraId="295BAAEE">
      <w:pPr>
        <w:pageBreakBefore w:val="0"/>
        <w:kinsoku/>
        <w:wordWrap/>
        <w:overflowPunct/>
        <w:topLinePunct w:val="0"/>
        <w:autoSpaceDE/>
        <w:autoSpaceDN/>
        <w:bidi w:val="0"/>
        <w:adjustRightInd/>
        <w:spacing w:line="440" w:lineRule="exact"/>
        <w:ind w:firstLine="482" w:firstLineChars="200"/>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★三、技术要求</w:t>
      </w:r>
    </w:p>
    <w:p w14:paraId="6F1FAB92">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1.本项目采用的的材料、设备、施工须达到现行的国家标准、规范或现行的行业标准、规范。</w:t>
      </w:r>
    </w:p>
    <w:p w14:paraId="07D420AA">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2.施工过程不得损坏原有建筑物件，否则由承包人负责按原样进行修复并承担由此产生的全部费用。</w:t>
      </w:r>
    </w:p>
    <w:p w14:paraId="0E8663F5">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3.按项目图纸及工程量清单的内容进行实质性响应。</w:t>
      </w:r>
    </w:p>
    <w:p w14:paraId="03DB6388">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4.拟投入干式变压器参数要求：</w:t>
      </w:r>
    </w:p>
    <w:p w14:paraId="00A13D1A">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4.1变压器型号：SCB14；</w:t>
      </w:r>
    </w:p>
    <w:p w14:paraId="18BF8155">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4.2空载损耗：≤1.05kW；负载损耗：≤10.0kW；短路阻抗：标准值6%，误差±1%内；</w:t>
      </w:r>
    </w:p>
    <w:p w14:paraId="5DF48B70">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4.3绝缘等级：H级；允许最大温升≤100K；</w:t>
      </w:r>
    </w:p>
    <w:p w14:paraId="7FB43074">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4.4外壳防护等级：IP20；</w:t>
      </w:r>
    </w:p>
    <w:p w14:paraId="1B7C9BE8">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4.5冷却方式：AN/AF，环境温度＞40°C时可选AF风冷。</w:t>
      </w:r>
    </w:p>
    <w:p w14:paraId="7EAE73CA">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4.6联结组标号：Dyn11；</w:t>
      </w:r>
    </w:p>
    <w:p w14:paraId="3621FE8B">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4.7额定频率：50Hz；</w:t>
      </w:r>
    </w:p>
    <w:p w14:paraId="00D454CA">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4.8噪音：≤55dB，（距离设备1m处测量，空载）；</w:t>
      </w:r>
    </w:p>
    <w:p w14:paraId="1454358E">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4.9绕组材质：采用纯度≥99.9%无氧铜箔绕制，导电率58MS/m；局部放电量：≤10pC；</w:t>
      </w:r>
    </w:p>
    <w:p w14:paraId="4CDA6769">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4.10抗短路能力：达 25 倍额定电流。</w:t>
      </w:r>
    </w:p>
    <w:p w14:paraId="29D228AA">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4.11绝缘耐压：工频耐压 42kV，雷电冲击 75kV。</w:t>
      </w:r>
    </w:p>
    <w:p w14:paraId="59CD3C32">
      <w:pPr>
        <w:pStyle w:val="26"/>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4.12温度保护：内置 PT100 温度传感器，60℃自动启动风冷，130℃触发跳闸保护，响应时间＜500ms；</w:t>
      </w:r>
    </w:p>
    <w:p w14:paraId="40852684">
      <w:pPr>
        <w:pStyle w:val="26"/>
        <w:widowControl/>
        <w:numPr>
          <w:ilvl w:val="0"/>
          <w:numId w:val="1"/>
        </w:numPr>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需注明工程所需主要材料品牌型号，施工中所涉及的手续由承包方全权负责。</w:t>
      </w:r>
    </w:p>
    <w:p w14:paraId="151E2079">
      <w:pPr>
        <w:pStyle w:val="26"/>
        <w:widowControl/>
        <w:numPr>
          <w:ilvl w:val="0"/>
          <w:numId w:val="0"/>
        </w:numPr>
        <w:spacing w:line="435" w:lineRule="atLeast"/>
        <w:jc w:val="both"/>
        <w:rPr>
          <w:rFonts w:hint="eastAsia" w:ascii="Times New Roman"/>
          <w:b w:val="0"/>
          <w:bCs w:val="0"/>
          <w:color w:val="auto"/>
          <w:sz w:val="24"/>
          <w:szCs w:val="24"/>
          <w:highlight w:val="none"/>
          <w:lang w:val="en-US" w:eastAsia="zh-CN"/>
        </w:rPr>
      </w:pPr>
    </w:p>
    <w:p w14:paraId="1063B204">
      <w:pPr>
        <w:pStyle w:val="26"/>
        <w:widowControl/>
        <w:numPr>
          <w:ilvl w:val="0"/>
          <w:numId w:val="0"/>
        </w:numPr>
        <w:spacing w:line="435" w:lineRule="atLeast"/>
        <w:jc w:val="both"/>
        <w:rPr>
          <w:rFonts w:hint="eastAsia" w:ascii="Times New Roman"/>
          <w:b w:val="0"/>
          <w:bCs w:val="0"/>
          <w:color w:val="auto"/>
          <w:sz w:val="24"/>
          <w:szCs w:val="24"/>
          <w:highlight w:val="none"/>
          <w:lang w:val="en-US" w:eastAsia="zh-CN"/>
        </w:rPr>
      </w:pPr>
    </w:p>
    <w:tbl>
      <w:tblPr>
        <w:tblStyle w:val="18"/>
        <w:tblW w:w="9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4335"/>
        <w:gridCol w:w="2430"/>
        <w:gridCol w:w="1845"/>
      </w:tblGrid>
      <w:tr w14:paraId="2B04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16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主要材料清单</w:t>
            </w:r>
          </w:p>
        </w:tc>
      </w:tr>
      <w:tr w14:paraId="363B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84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序号</w:t>
            </w:r>
          </w:p>
        </w:tc>
        <w:tc>
          <w:tcPr>
            <w:tcW w:w="4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20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项目名称及特征描述</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0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计量单位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75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工程量</w:t>
            </w:r>
          </w:p>
        </w:tc>
      </w:tr>
      <w:tr w14:paraId="148E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E61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宋体" w:eastAsia="宋体" w:cs="宋体"/>
                <w:b w:val="0"/>
                <w:bCs w:val="0"/>
                <w:color w:val="auto"/>
                <w:kern w:val="2"/>
                <w:sz w:val="24"/>
                <w:szCs w:val="24"/>
                <w:highlight w:val="none"/>
                <w:lang w:val="en-US" w:eastAsia="zh-CN" w:bidi="ar-SA"/>
              </w:rPr>
            </w:pP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77E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宋体" w:eastAsia="宋体" w:cs="宋体"/>
                <w:b w:val="0"/>
                <w:bCs w:val="0"/>
                <w:color w:val="auto"/>
                <w:kern w:val="2"/>
                <w:sz w:val="24"/>
                <w:szCs w:val="24"/>
                <w:highlight w:val="none"/>
                <w:lang w:val="en-US" w:eastAsia="zh-CN" w:bidi="ar-SA"/>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A71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宋体" w:eastAsia="宋体" w:cs="宋体"/>
                <w:b w:val="0"/>
                <w:bCs w:val="0"/>
                <w:color w:val="auto"/>
                <w:kern w:val="2"/>
                <w:sz w:val="24"/>
                <w:szCs w:val="24"/>
                <w:highlight w:val="none"/>
                <w:lang w:val="en-US" w:eastAsia="zh-CN" w:bidi="ar-SA"/>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F9B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宋体" w:eastAsia="宋体" w:cs="宋体"/>
                <w:b w:val="0"/>
                <w:bCs w:val="0"/>
                <w:color w:val="auto"/>
                <w:kern w:val="2"/>
                <w:sz w:val="24"/>
                <w:szCs w:val="24"/>
                <w:highlight w:val="none"/>
                <w:lang w:val="en-US" w:eastAsia="zh-CN" w:bidi="ar-SA"/>
              </w:rPr>
            </w:pPr>
          </w:p>
        </w:tc>
      </w:tr>
      <w:tr w14:paraId="5627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1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0C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 xml:space="preserve">干式变压器 </w:t>
            </w:r>
            <w:r>
              <w:rPr>
                <w:rFonts w:hint="eastAsia" w:ascii="Times New Roman" w:hAnsi="宋体" w:eastAsia="宋体" w:cs="宋体"/>
                <w:b w:val="0"/>
                <w:bCs w:val="0"/>
                <w:color w:val="auto"/>
                <w:kern w:val="2"/>
                <w:sz w:val="24"/>
                <w:szCs w:val="24"/>
                <w:highlight w:val="none"/>
                <w:lang w:val="en-US" w:eastAsia="zh-CN" w:bidi="ar-SA"/>
              </w:rPr>
              <w:br w:type="textWrapping"/>
            </w:r>
            <w:r>
              <w:rPr>
                <w:rFonts w:hint="eastAsia" w:ascii="Times New Roman" w:hAnsi="宋体" w:eastAsia="宋体" w:cs="宋体"/>
                <w:b w:val="0"/>
                <w:bCs w:val="0"/>
                <w:color w:val="auto"/>
                <w:kern w:val="2"/>
                <w:sz w:val="24"/>
                <w:szCs w:val="24"/>
                <w:highlight w:val="none"/>
                <w:lang w:val="en-US" w:eastAsia="zh-CN" w:bidi="ar-SA"/>
              </w:rPr>
              <w:t>1.型号:SCB14-1250KVA</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1</w:t>
            </w:r>
          </w:p>
        </w:tc>
      </w:tr>
      <w:tr w14:paraId="3ED4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A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电力电缆普通敷设 YJV-1kV-1×240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0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m</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D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宋体" w:eastAsia="宋体" w:cs="宋体"/>
                <w:b w:val="0"/>
                <w:bCs w:val="0"/>
                <w:color w:val="auto"/>
                <w:kern w:val="2"/>
                <w:sz w:val="24"/>
                <w:szCs w:val="24"/>
                <w:highlight w:val="none"/>
                <w:lang w:val="en-US" w:eastAsia="zh-CN" w:bidi="ar-SA"/>
              </w:rPr>
            </w:pPr>
            <w:r>
              <w:rPr>
                <w:rFonts w:hint="eastAsia" w:ascii="Times New Roman" w:hAnsi="宋体" w:eastAsia="宋体" w:cs="宋体"/>
                <w:b w:val="0"/>
                <w:bCs w:val="0"/>
                <w:color w:val="auto"/>
                <w:kern w:val="2"/>
                <w:sz w:val="24"/>
                <w:szCs w:val="24"/>
                <w:highlight w:val="none"/>
                <w:lang w:val="en-US" w:eastAsia="zh-CN" w:bidi="ar-SA"/>
              </w:rPr>
              <w:t>5.00</w:t>
            </w:r>
          </w:p>
        </w:tc>
      </w:tr>
    </w:tbl>
    <w:p w14:paraId="42F309EA">
      <w:pPr>
        <w:pStyle w:val="26"/>
        <w:widowControl/>
        <w:spacing w:line="435" w:lineRule="atLeast"/>
        <w:ind w:left="0" w:leftChars="0" w:firstLine="480" w:firstLineChars="200"/>
        <w:jc w:val="both"/>
        <w:rPr>
          <w:rFonts w:hint="eastAsia" w:ascii="Times New Roman"/>
          <w:b/>
          <w:bCs/>
          <w:color w:val="auto"/>
          <w:sz w:val="24"/>
          <w:szCs w:val="24"/>
          <w:highlight w:val="none"/>
          <w:lang w:val="en-US" w:eastAsia="zh-CN"/>
        </w:rPr>
      </w:pPr>
      <w:r>
        <w:rPr>
          <w:rFonts w:hint="eastAsia" w:ascii="Times New Roman"/>
          <w:b w:val="0"/>
          <w:bCs w:val="0"/>
          <w:color w:val="auto"/>
          <w:sz w:val="24"/>
          <w:szCs w:val="24"/>
          <w:highlight w:val="none"/>
          <w:lang w:val="en-US" w:eastAsia="zh-CN"/>
        </w:rPr>
        <w:t>6.供应商提供的所有设备要求原厂原装。</w:t>
      </w:r>
      <w:r>
        <w:rPr>
          <w:rFonts w:hint="eastAsia" w:ascii="Times New Roman"/>
          <w:b/>
          <w:bCs/>
          <w:color w:val="auto"/>
          <w:sz w:val="24"/>
          <w:szCs w:val="24"/>
          <w:highlight w:val="none"/>
          <w:lang w:val="en-US" w:eastAsia="zh-CN"/>
        </w:rPr>
        <w:t xml:space="preserve"> </w:t>
      </w:r>
    </w:p>
    <w:p w14:paraId="7FBAC34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7.转供电时，所需材料均由承包方提供。</w:t>
      </w:r>
    </w:p>
    <w:p w14:paraId="361B770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四、付款方式</w:t>
      </w:r>
    </w:p>
    <w:p w14:paraId="3D2033C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（1）合同签订、签发开工令支付合同造价的20%(扣除暂列金，安全风险金 2%，履约保证金 3%)；</w:t>
      </w:r>
    </w:p>
    <w:p w14:paraId="3B04DEB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（2）主要设备进场后采购人支付至合同总额的50%作为工程进度款，用于土建、安装及设备与材料的款项支付；</w:t>
      </w:r>
    </w:p>
    <w:p w14:paraId="1F392C7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（3）本工程施工完成、送电验收合格后，支付至合同总额的80%，</w:t>
      </w:r>
    </w:p>
    <w:p w14:paraId="1939733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（4）中标人提交竣工付款申请单，最终结算以审计部门的审定结果为准。验收合格后，工程款按最终审定的结算造价支付至95％，</w:t>
      </w:r>
    </w:p>
    <w:p w14:paraId="5FA08CD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余工程审核造价金额的5%作为质保金，质保期自竣工之日起计算三年及以上（防水5年），质保期满如未出现质量缺陷，或虽出现质量缺陷，但中标人已按合同约定条款履行了保修责任，并经采购人验收合格，30个工作日后付清（无息）。</w:t>
      </w:r>
    </w:p>
    <w:p w14:paraId="4E8E7F77">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5）每次付款前，中标人需向采购人提供等额有效税务发票。（各阶段进度款均需先扣除暂列金）；工程款的支付形式为银行转账；中标人应该开具真实、有效的税务发票，一旦查出中标人提供的发票作假，自动解除协议并且采购人有权利不支付该笔发票款项。</w:t>
      </w:r>
    </w:p>
    <w:p w14:paraId="679396E5">
      <w:pPr>
        <w:pageBreakBefore w:val="0"/>
        <w:kinsoku/>
        <w:wordWrap/>
        <w:overflowPunct/>
        <w:topLinePunct w:val="0"/>
        <w:autoSpaceDE/>
        <w:autoSpaceDN/>
        <w:bidi w:val="0"/>
        <w:adjustRightInd/>
        <w:spacing w:line="440" w:lineRule="exact"/>
        <w:ind w:firstLine="482" w:firstLineChars="200"/>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五、验收标准</w:t>
      </w:r>
    </w:p>
    <w:p w14:paraId="35A9C53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工程质量合格。中标人必须严格按照国家现行有关标准、施工规范、设计文件及现行施工验收规范等要求进行施工，工程质量达到国家施工验收规范标准。中标人应服从监理、采购人的施工指令，随时接受监理、采购人及其委派人员的检查检验。</w:t>
      </w:r>
    </w:p>
    <w:p w14:paraId="67D4B6D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default"/>
          <w:color w:val="auto"/>
          <w:sz w:val="24"/>
          <w:highlight w:val="none"/>
          <w:lang w:val="en-US" w:eastAsia="zh-CN"/>
        </w:rPr>
        <w:t>1.1</w:t>
      </w:r>
      <w:r>
        <w:rPr>
          <w:rFonts w:hint="eastAsia"/>
          <w:color w:val="auto"/>
          <w:sz w:val="24"/>
          <w:highlight w:val="none"/>
          <w:lang w:eastAsia="zh-CN"/>
        </w:rPr>
        <w:t>适用法律法规：《中华人民共和国民法典》。</w:t>
      </w:r>
    </w:p>
    <w:p w14:paraId="62A97C5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w:t>
      </w:r>
      <w:r>
        <w:rPr>
          <w:rFonts w:hint="eastAsia"/>
          <w:color w:val="auto"/>
          <w:sz w:val="24"/>
          <w:highlight w:val="none"/>
          <w:lang w:eastAsia="zh-CN"/>
        </w:rPr>
        <w:t>适用标准、规范：</w:t>
      </w:r>
    </w:p>
    <w:p w14:paraId="41F65BE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1.2.1《普通混凝土配合比设计规定（JGJ55-2011）》</w:t>
      </w:r>
    </w:p>
    <w:p w14:paraId="1077419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1.2.2《混凝土强度检验评定标准（GB50107-2010）》</w:t>
      </w:r>
    </w:p>
    <w:p w14:paraId="10078DD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1.2.3《混凝土结构工程施工质量验收规范（GB50204-2015）》</w:t>
      </w:r>
    </w:p>
    <w:p w14:paraId="665BDE6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1.2.4《钢结构焊接规程（GB50661-2011）》</w:t>
      </w:r>
    </w:p>
    <w:p w14:paraId="21CF045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1.2.5《电器装置安装工程 低压电器施工及验收规范（GB50254-2014）》</w:t>
      </w:r>
    </w:p>
    <w:p w14:paraId="1F3BEDF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1.2.6《1kV及以下配线工程施工与验收规范（GB 50575-2010）》</w:t>
      </w:r>
    </w:p>
    <w:p w14:paraId="7257729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1.2.7《高压绝缘子瓷件技术条件（GB/T 772-2005）》</w:t>
      </w:r>
    </w:p>
    <w:p w14:paraId="026F6FB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1.2.8</w:t>
      </w:r>
      <w:r>
        <w:rPr>
          <w:rFonts w:hint="eastAsia"/>
          <w:color w:val="auto"/>
          <w:sz w:val="24"/>
          <w:highlight w:val="none"/>
          <w:lang w:eastAsia="zh-CN"/>
        </w:rPr>
        <w:t>《1000kV架空输电线路施工及验收规范（Q/GDW 1153-2012）》</w:t>
      </w:r>
    </w:p>
    <w:p w14:paraId="17B48BD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1.2.9</w:t>
      </w:r>
      <w:r>
        <w:rPr>
          <w:rFonts w:hint="eastAsia"/>
          <w:color w:val="auto"/>
          <w:sz w:val="24"/>
          <w:highlight w:val="none"/>
          <w:lang w:eastAsia="zh-CN"/>
        </w:rPr>
        <w:t>《电气装置安装工程高压电器施工及验收规范（GB50147-2010）》</w:t>
      </w:r>
    </w:p>
    <w:p w14:paraId="3C08B5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1.2.10</w:t>
      </w:r>
      <w:r>
        <w:rPr>
          <w:rFonts w:hint="eastAsia"/>
          <w:color w:val="auto"/>
          <w:sz w:val="24"/>
          <w:highlight w:val="none"/>
          <w:lang w:eastAsia="zh-CN"/>
        </w:rPr>
        <w:t>《电气装置安装工程电力变压器、油浸电抗器、互感器施工及验收规范（GB</w:t>
      </w:r>
      <w:r>
        <w:rPr>
          <w:rFonts w:hint="eastAsia"/>
          <w:color w:val="auto"/>
          <w:sz w:val="24"/>
          <w:highlight w:val="none"/>
          <w:lang w:val="en-US" w:eastAsia="zh-CN"/>
        </w:rPr>
        <w:t>5</w:t>
      </w:r>
      <w:r>
        <w:rPr>
          <w:rFonts w:hint="eastAsia"/>
          <w:color w:val="auto"/>
          <w:sz w:val="24"/>
          <w:highlight w:val="none"/>
          <w:lang w:eastAsia="zh-CN"/>
        </w:rPr>
        <w:t>0148-2010）》</w:t>
      </w:r>
    </w:p>
    <w:p w14:paraId="05AEE1F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1.2.11《电气装置安装工程盘、柜及二次回路接线施工及验收规范（GB50171-2012）》</w:t>
      </w:r>
    </w:p>
    <w:p w14:paraId="696560D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1.2.12《1000kV系统电气装置安装工程电气设备交接试验标准（GB/T50832-2013）》</w:t>
      </w:r>
    </w:p>
    <w:p w14:paraId="290AD37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1.2.13</w:t>
      </w:r>
      <w:r>
        <w:rPr>
          <w:rFonts w:hint="eastAsia"/>
          <w:color w:val="auto"/>
          <w:sz w:val="24"/>
          <w:highlight w:val="none"/>
          <w:lang w:eastAsia="zh-CN"/>
        </w:rPr>
        <w:t>《电气装置安装工程 电缆线路施工及验收标准</w:t>
      </w:r>
      <w:r>
        <w:rPr>
          <w:rFonts w:hint="eastAsia"/>
          <w:color w:val="auto"/>
          <w:sz w:val="24"/>
          <w:highlight w:val="none"/>
          <w:lang w:val="en-US" w:eastAsia="zh-CN"/>
        </w:rPr>
        <w:t>（</w:t>
      </w:r>
      <w:r>
        <w:rPr>
          <w:rFonts w:hint="eastAsia"/>
          <w:color w:val="auto"/>
          <w:sz w:val="24"/>
          <w:highlight w:val="none"/>
          <w:lang w:eastAsia="zh-CN"/>
        </w:rPr>
        <w:t>GB 50168-2018</w:t>
      </w:r>
      <w:r>
        <w:rPr>
          <w:rFonts w:hint="eastAsia"/>
          <w:color w:val="auto"/>
          <w:sz w:val="24"/>
          <w:highlight w:val="none"/>
          <w:lang w:val="en-US" w:eastAsia="zh-CN"/>
        </w:rPr>
        <w:t>）</w:t>
      </w:r>
      <w:r>
        <w:rPr>
          <w:rFonts w:hint="eastAsia"/>
          <w:color w:val="auto"/>
          <w:sz w:val="24"/>
          <w:highlight w:val="none"/>
          <w:lang w:eastAsia="zh-CN"/>
        </w:rPr>
        <w:t>》</w:t>
      </w:r>
    </w:p>
    <w:p w14:paraId="7A8FC52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1.2.14</w:t>
      </w:r>
      <w:r>
        <w:rPr>
          <w:rFonts w:hint="eastAsia"/>
          <w:color w:val="auto"/>
          <w:sz w:val="24"/>
          <w:highlight w:val="none"/>
          <w:lang w:eastAsia="zh-CN"/>
        </w:rPr>
        <w:t>《电气装置安装工程接地装置施工及验收规范（GB50169-2016）》</w:t>
      </w:r>
    </w:p>
    <w:p w14:paraId="31B4B22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1.2.15</w:t>
      </w:r>
      <w:r>
        <w:rPr>
          <w:rFonts w:hint="eastAsia"/>
          <w:color w:val="auto"/>
          <w:sz w:val="24"/>
          <w:highlight w:val="none"/>
          <w:lang w:eastAsia="zh-CN"/>
        </w:rPr>
        <w:t>《电气装置安装工程质量检验及评定规程（DL/T 5161.17-2018）》</w:t>
      </w:r>
    </w:p>
    <w:p w14:paraId="219BCC7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中标人提供的材料必须符合设计文件的规定要求，提供的设备、材料必须是新近出厂的材料，并附有出厂合格证明或材质检测报告及检验合格证书等，经采购人及监理工程师验收合格后方可进场安装施工，并以此采购人及监理工程师验收签认的凭证作为该设备、材料价款结算的依据。</w:t>
      </w:r>
    </w:p>
    <w:p w14:paraId="571A759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中标人须做好施工原始记录，隐蔽工程记录。隐蔽工程在隐蔽前，应通知采购人进行验收，验收合格后方可进行隐蔽，如采购人接到中标人通知后超过2个工作日未组织检查，则视为验收通过；如果采购人要求对已隐蔽的内容进行检查／复查，中标人应积极配合，经检查为合格，费用由采购人负责；经检查为不合格者，中标人应返工，费用及工期延误均由中标人负责。</w:t>
      </w:r>
    </w:p>
    <w:p w14:paraId="25CFFE2C">
      <w:pPr>
        <w:pageBreakBefore w:val="0"/>
        <w:kinsoku/>
        <w:wordWrap/>
        <w:overflowPunct/>
        <w:topLinePunct w:val="0"/>
        <w:autoSpaceDE/>
        <w:autoSpaceDN/>
        <w:bidi w:val="0"/>
        <w:adjustRightInd/>
        <w:spacing w:line="4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六、保修要求</w:t>
      </w:r>
    </w:p>
    <w:p w14:paraId="7EE2426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（1）保修范围：中标人负责对所承建工程的施工范围所出现质量问题予以保修。</w:t>
      </w:r>
    </w:p>
    <w:p w14:paraId="4AFBC23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（2）保修期限：从工程通过桂林供电部门验收且同时通过采购人竣工验收之日起计算，保修期</w:t>
      </w:r>
      <w:r>
        <w:rPr>
          <w:rStyle w:val="31"/>
          <w:rFonts w:hint="eastAsia" w:cs="宋体"/>
          <w:color w:val="auto"/>
          <w:kern w:val="0"/>
          <w:sz w:val="24"/>
          <w:szCs w:val="24"/>
          <w:highlight w:val="none"/>
          <w:u w:val="single"/>
          <w:lang w:val="en-US" w:eastAsia="zh-CN"/>
        </w:rPr>
        <w:t>三年及以上</w:t>
      </w:r>
      <w:r>
        <w:rPr>
          <w:rFonts w:hint="eastAsia" w:ascii="Times New Roman"/>
          <w:b w:val="0"/>
          <w:bCs w:val="0"/>
          <w:color w:val="auto"/>
          <w:sz w:val="24"/>
          <w:szCs w:val="24"/>
          <w:highlight w:val="none"/>
          <w:lang w:val="en-US" w:eastAsia="zh-CN"/>
        </w:rPr>
        <w:t>。</w:t>
      </w:r>
    </w:p>
    <w:p w14:paraId="61F2374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保修期间，在保修范围和保修期限内发生质量问题的，中标人应当履行保修责任。如因中标人原因造成的质量问题，中标人在接到采购人书面通知之日起，应于24小时内派人维修。否则，采购人可委托其他专业公司维修，维修所发生的费用在应付中标人预留质保金中扣除，不足部分由中标人于采购人书面通知后3日内补足。非中标人原因造成返修的费用由采购人承担。</w:t>
      </w:r>
    </w:p>
    <w:p w14:paraId="551C56FD">
      <w:pPr>
        <w:pageBreakBefore w:val="0"/>
        <w:kinsoku/>
        <w:wordWrap/>
        <w:overflowPunct/>
        <w:topLinePunct w:val="0"/>
        <w:autoSpaceDE/>
        <w:autoSpaceDN/>
        <w:bidi w:val="0"/>
        <w:adjustRightInd/>
        <w:spacing w:line="4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七、安全文明施工</w:t>
      </w:r>
    </w:p>
    <w:p w14:paraId="3EFB66F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中标人必须按照有关规定实施安全、文明施工。采取可靠安全的防护措施，依法为相关施工人员购置相关保险，加强安全、文明施工教育，确保施工安全，杜绝重大安全事故的发生。若中标人违反相关施工管理规定，给采购人和第三方造成的经济损失，其责任和因此造成的费用支出全部由中标人负责。</w:t>
      </w:r>
    </w:p>
    <w:p w14:paraId="7183FCD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（2）中标人保证施工安全，在施工中由于安全措施不力或中标人自身原因，而造成的一切经济损失及法律责任全部由中标人负责，采购人不承担任何责任。</w:t>
      </w:r>
    </w:p>
    <w:p w14:paraId="0AD5EF7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对施工现场已有的成品和半成品负有保护的责任，如因中标人原因造成其损失和损坏，因此而发生的一切经济损失及法律责任，应由中标人承担。在工程竣工未移交采购人前，中标人应负有对现场自身施工的一切设施和工程成品进行保护的责任，并承担相关的费用。</w:t>
      </w:r>
    </w:p>
    <w:p w14:paraId="40DD31C4">
      <w:pPr>
        <w:pageBreakBefore w:val="0"/>
        <w:kinsoku/>
        <w:wordWrap/>
        <w:overflowPunct/>
        <w:topLinePunct w:val="0"/>
        <w:autoSpaceDE/>
        <w:autoSpaceDN/>
        <w:bidi w:val="0"/>
        <w:adjustRightInd/>
        <w:spacing w:line="4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八、违约责任</w:t>
      </w:r>
    </w:p>
    <w:p w14:paraId="7DBF0FE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（1）在施工过程中，如发现施工质量问题，采购人有权责令中标人及时进行返修、整改，并达到合同约定标准，因此引起的费用增加由中标人承担，如导致工期延误，工期不顺延。</w:t>
      </w:r>
    </w:p>
    <w:p w14:paraId="5E5F347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必须在合同约定的时间（或采购人要求时间）内分别完成本各期（或组团）变配电土建、安装工程，并经供电部门验收（如需）且采购人验收合格后，及时办理移交采购人手续。如因中标人原因造成工期延误和无法按时通电的，中标人应按2000元/天向采购人给付违约金；工期延误超过15天，采购人有权解除合同，按本合同第六、5条款约定追究中标人相应的违约责任。</w:t>
      </w:r>
    </w:p>
    <w:p w14:paraId="749E13D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在承包范围内的工程施工过程中，应服从采购人的施工进度安排，并在采购人约定的时间内完成。不得以采购人要求赶工、加班等为由拒绝履行合同约定责任或临时起价。一旦发生此类情况则视为违约，中标人同意向采购人支付2000元/次的违约金；如该类情况出现次数累计达到三次的，采购人有权单方解除本合同，并按本合同第六、5条款追究中标人相应的违约责任。</w:t>
      </w:r>
    </w:p>
    <w:p w14:paraId="60E5DE6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中标人不得将本工程转包或者分包。如发现转包或分包，采购人有权要求中标人按暂定合同造价的10%给付违约金；且采购人有权选择单方解除本合同，并要求中标人退还全部已付款项，或选择要求中标人终止转包／分包后继续严格履行本合同。</w:t>
      </w:r>
    </w:p>
    <w:p w14:paraId="703514C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（5）除本合同另有约定外，如因中标人原因单方面终止合同或因中标人违约致使采购人依约解除合同，中标人须按合同造价的20%向采购人给付违约金。</w:t>
      </w:r>
    </w:p>
    <w:p w14:paraId="2607E12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6）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4412EC5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（7）由地震、火灾、战争等不可抗力因素影响无法履行或延迟履行其在本合同项下的一部分或全部的，应立即通知另一方，但该方无须承担任何责任，未遭受不可抗力影响的那部分义务仍应继续履行。</w:t>
      </w:r>
    </w:p>
    <w:p w14:paraId="5EDF3353">
      <w:pPr>
        <w:pageBreakBefore w:val="0"/>
        <w:kinsoku/>
        <w:wordWrap/>
        <w:overflowPunct/>
        <w:topLinePunct w:val="0"/>
        <w:autoSpaceDE/>
        <w:autoSpaceDN/>
        <w:bidi w:val="0"/>
        <w:adjustRightInd/>
        <w:spacing w:line="440" w:lineRule="exact"/>
        <w:ind w:firstLine="482" w:firstLineChars="200"/>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九、其他商务要求</w:t>
      </w:r>
    </w:p>
    <w:p w14:paraId="3612B2E0">
      <w:pPr>
        <w:pStyle w:val="26"/>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06004AA8">
      <w:pPr>
        <w:pStyle w:val="26"/>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投标人应充分考虑供货成本及参数要求，如投标人恶意竞争、且中标后无法按要求提供货物或者所供货物无法满足招标文件及投标文件承诺要求的，采购人有权全部退货，按违约处理，采购人保留因耽误采购人使用时间造成的损失进行赔偿的权利，移送司法机关诉诸法律手段，追究投标人的法律责任，由此引发的一切后果由投标人承担。</w:t>
      </w:r>
    </w:p>
    <w:p w14:paraId="400E482F">
      <w:pPr>
        <w:pStyle w:val="26"/>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（3）投标人在本次招标活动中提供任何虚假材料，按否决投标处理；若供应商中标后，采购人发现供应商提供虚假材料的，供应商须按照《中华人民共和国消费者权益保护法 》第55条规定，且民事赔偿并不免除违法投标人的行政与刑事责任。</w:t>
      </w:r>
    </w:p>
    <w:p w14:paraId="0AE7D789">
      <w:pPr>
        <w:pageBreakBefore w:val="0"/>
        <w:kinsoku/>
        <w:wordWrap/>
        <w:overflowPunct/>
        <w:topLinePunct w:val="0"/>
        <w:autoSpaceDE/>
        <w:autoSpaceDN/>
        <w:bidi w:val="0"/>
        <w:adjustRightInd/>
        <w:spacing w:line="440" w:lineRule="exact"/>
        <w:ind w:firstLine="482" w:firstLineChars="200"/>
        <w:jc w:val="left"/>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、报名时间、方式及获取招标文件方式</w:t>
      </w:r>
    </w:p>
    <w:p w14:paraId="4C440823">
      <w:pPr>
        <w:pStyle w:val="7"/>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报名时间：2025年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 xml:space="preserve"> 日17:00时止（北京时间），逾期报名无效。</w:t>
      </w:r>
    </w:p>
    <w:p w14:paraId="6A768A8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）即完成报名，否则将视为报名不成功。《报名表》要求WORD版，其他材料加盖公章后上传扫描件。</w:t>
      </w:r>
    </w:p>
    <w:p w14:paraId="236A00F1">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获取招标文件方式：桂林市人民医院官网（www.glrmyy.com）</w:t>
      </w:r>
    </w:p>
    <w:p w14:paraId="16D571C0">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十一</w:t>
      </w:r>
      <w:r>
        <w:rPr>
          <w:rFonts w:hint="eastAsia" w:ascii="宋体" w:hAnsi="宋体" w:cs="宋体"/>
          <w:b/>
          <w:bCs/>
          <w:color w:val="auto"/>
          <w:sz w:val="24"/>
          <w:highlight w:val="none"/>
        </w:rPr>
        <w:t>、采购活动要求</w:t>
      </w:r>
    </w:p>
    <w:p w14:paraId="1370C0F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1.开标时间：具体时间另行通知（开标通告将会通过（</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Style w:val="21"/>
          <w:rFonts w:hint="eastAsia" w:ascii="宋体" w:hAnsi="宋体" w:cs="宋体"/>
          <w:color w:val="auto"/>
          <w:sz w:val="24"/>
          <w:highlight w:val="none"/>
        </w:rPr>
        <w:t>glsrmyyzbb@163.com</w:t>
      </w:r>
      <w:r>
        <w:rPr>
          <w:rStyle w:val="21"/>
          <w:rFonts w:hint="eastAsia" w:ascii="宋体" w:hAnsi="宋体" w:cs="宋体"/>
          <w:color w:val="auto"/>
          <w:sz w:val="24"/>
          <w:highlight w:val="none"/>
        </w:rPr>
        <w:fldChar w:fldCharType="end"/>
      </w:r>
      <w:r>
        <w:rPr>
          <w:rFonts w:hint="eastAsia" w:ascii="宋体" w:hAnsi="宋体" w:cs="宋体"/>
          <w:color w:val="auto"/>
          <w:sz w:val="24"/>
          <w:highlight w:val="none"/>
        </w:rPr>
        <w:t>）发至报名邮箱，报名后请及时关注查收），请报名后根据所获取的招标文件要求及时准备正式的投标文件。</w:t>
      </w:r>
    </w:p>
    <w:p w14:paraId="513E5F6A">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2.开标地点：桂林市人民医院招标办公室（广西桂林市象山区文明路29号）</w:t>
      </w:r>
    </w:p>
    <w:p w14:paraId="763F4E9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3.投标文件组成</w:t>
      </w:r>
      <w:r>
        <w:rPr>
          <w:rFonts w:hint="eastAsia" w:ascii="宋体" w:hAnsi="宋体" w:cs="宋体"/>
          <w:color w:val="auto"/>
          <w:sz w:val="24"/>
          <w:highlight w:val="none"/>
          <w:lang w:eastAsia="zh-CN"/>
        </w:rPr>
        <w:t>，</w:t>
      </w:r>
      <w:r>
        <w:rPr>
          <w:rFonts w:hint="eastAsia" w:ascii="宋体" w:hAnsi="宋体" w:cs="宋体"/>
          <w:color w:val="auto"/>
          <w:sz w:val="24"/>
          <w:highlight w:val="none"/>
        </w:rPr>
        <w:t>必须含有但不限于</w:t>
      </w:r>
      <w:r>
        <w:rPr>
          <w:rFonts w:hint="eastAsia" w:ascii="宋体" w:hAnsi="宋体" w:cs="宋体"/>
          <w:color w:val="auto"/>
          <w:sz w:val="24"/>
          <w:highlight w:val="none"/>
          <w:lang w:eastAsia="zh-CN"/>
        </w:rPr>
        <w:t>：</w:t>
      </w:r>
    </w:p>
    <w:p w14:paraId="702C7A1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color w:val="auto"/>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ascii="宋体" w:hAnsi="宋体" w:eastAsia="宋体" w:cs="宋体"/>
          <w:b/>
          <w:bCs/>
          <w:color w:val="auto"/>
          <w:sz w:val="24"/>
          <w:szCs w:val="24"/>
          <w:highlight w:val="none"/>
        </w:rPr>
        <w:t>资格性响应证明材料</w:t>
      </w:r>
    </w:p>
    <w:p w14:paraId="654A705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①供应商有效的营业执照副本复印件</w:t>
      </w:r>
    </w:p>
    <w:p w14:paraId="4B29DE3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②法定代表人（负责人）身份证复印件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法定代表人授权委托书原件、委托代理人身份证正反面复印件</w:t>
      </w:r>
    </w:p>
    <w:p w14:paraId="73FA928C">
      <w:pPr>
        <w:pStyle w:val="26"/>
        <w:widowControl/>
        <w:spacing w:line="435" w:lineRule="atLeast"/>
        <w:ind w:left="0" w:leftChars="0" w:firstLine="480" w:firstLine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③供应商有效的资质证书、</w:t>
      </w:r>
      <w:r>
        <w:rPr>
          <w:rFonts w:hint="eastAsia" w:cs="宋体"/>
          <w:b w:val="0"/>
          <w:bCs/>
          <w:color w:val="auto"/>
          <w:kern w:val="0"/>
          <w:sz w:val="24"/>
          <w:szCs w:val="24"/>
          <w:highlight w:val="none"/>
          <w:lang w:val="en-US" w:eastAsia="zh-CN"/>
        </w:rPr>
        <w:t>电力工程</w:t>
      </w:r>
      <w:r>
        <w:rPr>
          <w:rFonts w:hint="eastAsia" w:ascii="宋体" w:hAnsi="宋体" w:cs="宋体"/>
          <w:color w:val="auto"/>
          <w:sz w:val="24"/>
          <w:highlight w:val="none"/>
        </w:rPr>
        <w:t>企业安全生产许可证书复印件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项目经理有效的</w:t>
      </w:r>
      <w:r>
        <w:rPr>
          <w:rFonts w:hint="eastAsia" w:cs="宋体"/>
          <w:b w:val="0"/>
          <w:bCs/>
          <w:color w:val="auto"/>
          <w:kern w:val="0"/>
          <w:sz w:val="24"/>
          <w:szCs w:val="24"/>
          <w:highlight w:val="none"/>
          <w:lang w:val="en-US" w:eastAsia="zh-CN"/>
        </w:rPr>
        <w:t>注册建造师资格证书、安全生产考核合格证</w:t>
      </w:r>
      <w:r>
        <w:rPr>
          <w:rFonts w:hint="eastAsia" w:ascii="宋体" w:hAnsi="宋体" w:cs="宋体"/>
          <w:color w:val="auto"/>
          <w:sz w:val="24"/>
          <w:highlight w:val="none"/>
        </w:rPr>
        <w:t>(B类)复印件</w:t>
      </w:r>
      <w:r>
        <w:rPr>
          <w:rFonts w:hint="eastAsia" w:ascii="宋体" w:hAnsi="宋体" w:cs="宋体"/>
          <w:color w:val="auto"/>
          <w:sz w:val="24"/>
          <w:highlight w:val="none"/>
          <w:lang w:eastAsia="zh-CN"/>
        </w:rPr>
        <w:t>，</w:t>
      </w:r>
      <w:r>
        <w:rPr>
          <w:rFonts w:hint="eastAsia" w:cs="宋体"/>
          <w:b w:val="0"/>
          <w:bCs/>
          <w:color w:val="auto"/>
          <w:kern w:val="0"/>
          <w:sz w:val="24"/>
          <w:szCs w:val="24"/>
          <w:highlight w:val="none"/>
          <w:lang w:val="en-US" w:eastAsia="zh-CN"/>
        </w:rPr>
        <w:t>专职安全生产管理人员安全生产考核合格证（C类）</w:t>
      </w:r>
      <w:r>
        <w:rPr>
          <w:rFonts w:hint="eastAsia" w:ascii="宋体" w:hAnsi="宋体" w:cs="宋体"/>
          <w:color w:val="auto"/>
          <w:sz w:val="24"/>
          <w:highlight w:val="none"/>
        </w:rPr>
        <w:t>复印件</w:t>
      </w:r>
      <w:r>
        <w:rPr>
          <w:rFonts w:hint="eastAsia" w:cs="宋体"/>
          <w:b w:val="0"/>
          <w:bCs/>
          <w:color w:val="auto"/>
          <w:kern w:val="0"/>
          <w:sz w:val="24"/>
          <w:szCs w:val="24"/>
          <w:highlight w:val="none"/>
          <w:lang w:val="en-US" w:eastAsia="zh-CN"/>
        </w:rPr>
        <w:t>。</w:t>
      </w:r>
    </w:p>
    <w:p w14:paraId="7A25F2E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③供应商参加政府采购活动前3年内在经营活动中没有重大违法记录及有关信用信息的书面声明</w:t>
      </w:r>
    </w:p>
    <w:p w14:paraId="082151C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投标人</w:t>
      </w:r>
      <w:r>
        <w:rPr>
          <w:rFonts w:hint="eastAsia" w:ascii="宋体" w:hAnsi="宋体" w:cs="宋体"/>
          <w:color w:val="auto"/>
          <w:sz w:val="24"/>
          <w:highlight w:val="none"/>
          <w:lang w:val="en-US" w:eastAsia="zh-CN"/>
        </w:rPr>
        <w:t>关于政府采购活动中信用信息记录的书面声明、信用中国(www.creditchina.gov.cn)</w:t>
      </w:r>
      <w:r>
        <w:rPr>
          <w:rFonts w:hint="eastAsia" w:ascii="宋体" w:hAnsi="宋体" w:cs="宋体"/>
          <w:color w:val="auto"/>
          <w:sz w:val="24"/>
          <w:highlight w:val="none"/>
        </w:rPr>
        <w:t>以及中国政府采购网(www.ccgp.gov.cn)”上打印的信用查询记录相关信息</w:t>
      </w:r>
    </w:p>
    <w:p w14:paraId="530B4A3D">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商务、技术性响应证明材料</w:t>
      </w:r>
    </w:p>
    <w:p w14:paraId="4987673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①报价汇总表</w:t>
      </w:r>
    </w:p>
    <w:p w14:paraId="1870BE1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w:t>
      </w:r>
      <w:r>
        <w:rPr>
          <w:rFonts w:hint="eastAsia" w:ascii="宋体" w:hAnsi="宋体" w:eastAsia="宋体" w:cs="宋体"/>
          <w:b w:val="0"/>
          <w:bCs/>
          <w:color w:val="auto"/>
          <w:sz w:val="24"/>
          <w:szCs w:val="24"/>
          <w:highlight w:val="none"/>
          <w:lang w:val="en-US" w:eastAsia="zh-CN"/>
        </w:rPr>
        <w:t>项目采购需求</w:t>
      </w:r>
      <w:r>
        <w:rPr>
          <w:rFonts w:hint="eastAsia" w:ascii="宋体" w:hAnsi="宋体" w:eastAsia="宋体" w:cs="宋体"/>
          <w:b w:val="0"/>
          <w:bCs/>
          <w:color w:val="auto"/>
          <w:sz w:val="24"/>
          <w:szCs w:val="24"/>
          <w:highlight w:val="none"/>
          <w:lang w:eastAsia="zh-CN"/>
        </w:rPr>
        <w:t>响应表</w:t>
      </w:r>
    </w:p>
    <w:p w14:paraId="6587D8E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③已标价工程量清单</w:t>
      </w:r>
    </w:p>
    <w:p w14:paraId="070BD3D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④安全防护、文明施工措施方案的承诺书</w:t>
      </w:r>
    </w:p>
    <w:p w14:paraId="2ADD165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⑤诚信声明</w:t>
      </w:r>
    </w:p>
    <w:p w14:paraId="4CB2E1C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⑥施工组织设计</w:t>
      </w:r>
      <w:r>
        <w:rPr>
          <w:rFonts w:hint="eastAsia" w:ascii="宋体" w:hAnsi="宋体" w:eastAsia="宋体" w:cs="宋体"/>
          <w:color w:val="auto"/>
          <w:sz w:val="24"/>
          <w:highlight w:val="none"/>
          <w:lang w:val="en-US" w:eastAsia="zh-CN"/>
        </w:rPr>
        <w:t>方案</w:t>
      </w:r>
    </w:p>
    <w:p w14:paraId="636B672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⑦</w:t>
      </w:r>
      <w:r>
        <w:rPr>
          <w:rFonts w:hint="eastAsia" w:ascii="宋体" w:hAnsi="宋体" w:eastAsia="宋体" w:cs="宋体"/>
          <w:color w:val="auto"/>
          <w:sz w:val="24"/>
          <w:highlight w:val="none"/>
          <w:lang w:val="en-US" w:eastAsia="zh-CN"/>
        </w:rPr>
        <w:t>主材清单一览表</w:t>
      </w:r>
    </w:p>
    <w:p w14:paraId="4616FEF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⑧</w:t>
      </w:r>
      <w:r>
        <w:rPr>
          <w:rFonts w:hint="eastAsia" w:ascii="宋体" w:hAnsi="宋体" w:eastAsia="宋体" w:cs="宋体"/>
          <w:color w:val="auto"/>
          <w:sz w:val="24"/>
          <w:highlight w:val="none"/>
          <w:lang w:val="en-US" w:eastAsia="zh-CN"/>
        </w:rPr>
        <w:t>其他响应证明材料【</w:t>
      </w:r>
      <w:r>
        <w:rPr>
          <w:rFonts w:hint="eastAsia" w:ascii="宋体" w:hAnsi="宋体" w:eastAsia="宋体" w:cs="宋体"/>
          <w:color w:val="auto"/>
          <w:sz w:val="24"/>
          <w:highlight w:val="none"/>
        </w:rPr>
        <w:t>拟投入劳动力计划表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拟投入的主要施工机械设备表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拟配备的试验和检测仪器设备表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计划开、竣工日期和施工进度网络图</w:t>
      </w:r>
      <w:r>
        <w:rPr>
          <w:rFonts w:hint="eastAsia" w:ascii="宋体" w:hAnsi="宋体" w:eastAsia="宋体" w:cs="宋体"/>
          <w:color w:val="auto"/>
          <w:sz w:val="24"/>
          <w:highlight w:val="none"/>
          <w:lang w:eastAsia="zh-CN"/>
        </w:rPr>
        <w:t>】</w:t>
      </w:r>
    </w:p>
    <w:p w14:paraId="6DF38FD4">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rPr>
        <w:t>其他有效证明材料</w:t>
      </w:r>
    </w:p>
    <w:p w14:paraId="19C78345">
      <w:pPr>
        <w:keepNext w:val="0"/>
        <w:keepLines w:val="0"/>
        <w:pageBreakBefore w:val="0"/>
        <w:widowControl w:val="0"/>
        <w:kinsoku/>
        <w:wordWrap/>
        <w:overflowPunct/>
        <w:topLinePunct w:val="0"/>
        <w:autoSpaceDE/>
        <w:autoSpaceDN/>
        <w:bidi w:val="0"/>
        <w:adjustRightInd/>
        <w:snapToGrid/>
        <w:spacing w:line="440" w:lineRule="atLeast"/>
        <w:ind w:right="105" w:firstLine="5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供应商可结合本项目的评审办法视自身情况自行提交其它相关证明材料(如有，请</w:t>
      </w:r>
      <w:r>
        <w:rPr>
          <w:rFonts w:hint="eastAsia" w:ascii="宋体" w:hAnsi="宋体" w:eastAsia="宋体" w:cs="宋体"/>
          <w:color w:val="auto"/>
          <w:spacing w:val="18"/>
          <w:sz w:val="24"/>
          <w:szCs w:val="24"/>
          <w:highlight w:val="none"/>
        </w:rPr>
        <w:t>提供)。</w:t>
      </w:r>
    </w:p>
    <w:p w14:paraId="3CFD127A">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说明：</w:t>
      </w:r>
    </w:p>
    <w:p w14:paraId="31640930">
      <w:pPr>
        <w:keepNext w:val="0"/>
        <w:keepLines w:val="0"/>
        <w:pageBreakBefore w:val="0"/>
        <w:widowControl w:val="0"/>
        <w:kinsoku/>
        <w:wordWrap/>
        <w:overflowPunct/>
        <w:topLinePunct w:val="0"/>
        <w:autoSpaceDE/>
        <w:autoSpaceDN/>
        <w:bidi w:val="0"/>
        <w:adjustRightInd/>
        <w:snapToGrid/>
        <w:spacing w:line="440" w:lineRule="atLeast"/>
        <w:ind w:firstLine="476" w:firstLineChars="200"/>
        <w:textAlignment w:val="auto"/>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lang w:val="en-US" w:eastAsia="zh-CN"/>
        </w:rPr>
        <w:t>①</w:t>
      </w:r>
      <w:r>
        <w:rPr>
          <w:rFonts w:hint="eastAsia" w:ascii="宋体" w:hAnsi="宋体" w:eastAsia="宋体" w:cs="宋体"/>
          <w:b w:val="0"/>
          <w:bCs w:val="0"/>
          <w:color w:val="auto"/>
          <w:spacing w:val="-1"/>
          <w:sz w:val="24"/>
          <w:szCs w:val="24"/>
          <w:highlight w:val="none"/>
        </w:rPr>
        <w:t>供应商提供的以上相关证明材料应加盖公章</w:t>
      </w:r>
      <w:r>
        <w:rPr>
          <w:rFonts w:hint="eastAsia" w:ascii="宋体" w:hAnsi="宋体" w:eastAsia="宋体" w:cs="宋体"/>
          <w:b w:val="0"/>
          <w:bCs w:val="0"/>
          <w:color w:val="auto"/>
          <w:spacing w:val="4"/>
          <w:sz w:val="24"/>
          <w:szCs w:val="24"/>
          <w:highlight w:val="none"/>
        </w:rPr>
        <w:t>，否则响应无</w:t>
      </w:r>
      <w:r>
        <w:rPr>
          <w:rFonts w:hint="eastAsia" w:ascii="宋体" w:hAnsi="宋体" w:eastAsia="宋体" w:cs="宋体"/>
          <w:b w:val="0"/>
          <w:bCs w:val="0"/>
          <w:color w:val="auto"/>
          <w:spacing w:val="3"/>
          <w:sz w:val="24"/>
          <w:szCs w:val="24"/>
          <w:highlight w:val="none"/>
        </w:rPr>
        <w:t>效。</w:t>
      </w:r>
    </w:p>
    <w:p w14:paraId="04A9EB95">
      <w:pPr>
        <w:keepNext w:val="0"/>
        <w:keepLines w:val="0"/>
        <w:pageBreakBefore w:val="0"/>
        <w:widowControl w:val="0"/>
        <w:kinsoku/>
        <w:wordWrap/>
        <w:overflowPunct/>
        <w:topLinePunct w:val="0"/>
        <w:autoSpaceDE/>
        <w:autoSpaceDN/>
        <w:bidi w:val="0"/>
        <w:adjustRightInd/>
        <w:snapToGrid/>
        <w:spacing w:line="440" w:lineRule="atLeast"/>
        <w:ind w:firstLine="504"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6"/>
          <w:sz w:val="24"/>
          <w:szCs w:val="24"/>
          <w:highlight w:val="none"/>
        </w:rPr>
        <w:t>②供应商应按</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6"/>
          <w:sz w:val="24"/>
          <w:szCs w:val="24"/>
          <w:highlight w:val="none"/>
        </w:rPr>
        <w:t>文件第</w:t>
      </w:r>
      <w:r>
        <w:rPr>
          <w:rFonts w:hint="eastAsia" w:ascii="宋体" w:hAnsi="宋体" w:eastAsia="宋体" w:cs="宋体"/>
          <w:color w:val="auto"/>
          <w:spacing w:val="6"/>
          <w:sz w:val="24"/>
          <w:szCs w:val="24"/>
          <w:highlight w:val="none"/>
          <w:lang w:val="en-US" w:eastAsia="zh-CN"/>
        </w:rPr>
        <w:t>四</w:t>
      </w:r>
      <w:r>
        <w:rPr>
          <w:rFonts w:hint="eastAsia" w:ascii="宋体" w:hAnsi="宋体" w:eastAsia="宋体" w:cs="宋体"/>
          <w:color w:val="auto"/>
          <w:spacing w:val="6"/>
          <w:sz w:val="24"/>
          <w:szCs w:val="24"/>
          <w:highlight w:val="none"/>
        </w:rPr>
        <w:t>章“</w:t>
      </w:r>
      <w:r>
        <w:rPr>
          <w:rFonts w:hint="eastAsia" w:ascii="宋体" w:hAnsi="宋体" w:eastAsia="宋体" w:cs="宋体"/>
          <w:color w:val="auto"/>
          <w:spacing w:val="6"/>
          <w:sz w:val="24"/>
          <w:szCs w:val="24"/>
          <w:highlight w:val="none"/>
          <w:lang w:val="en-US" w:eastAsia="zh-CN"/>
        </w:rPr>
        <w:t>投标文件</w:t>
      </w:r>
      <w:r>
        <w:rPr>
          <w:rFonts w:hint="eastAsia" w:ascii="宋体" w:hAnsi="宋体" w:eastAsia="宋体" w:cs="宋体"/>
          <w:color w:val="auto"/>
          <w:spacing w:val="6"/>
          <w:sz w:val="24"/>
          <w:szCs w:val="24"/>
          <w:highlight w:val="none"/>
        </w:rPr>
        <w:t>(格式)”编制响应</w:t>
      </w:r>
      <w:r>
        <w:rPr>
          <w:rFonts w:hint="eastAsia" w:ascii="宋体" w:hAnsi="宋体" w:eastAsia="宋体" w:cs="宋体"/>
          <w:color w:val="auto"/>
          <w:spacing w:val="5"/>
          <w:sz w:val="24"/>
          <w:szCs w:val="24"/>
          <w:highlight w:val="none"/>
        </w:rPr>
        <w:t>文件。</w:t>
      </w:r>
    </w:p>
    <w:p w14:paraId="1C86A33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rPr>
        <w:t>③投标人应完整准备上述投标文件的材料，否则由此引起的不利后果由投标人承担。</w:t>
      </w:r>
    </w:p>
    <w:p w14:paraId="477B5FAB">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投标文件所提供的证照及相关证明材料必须真实有效，一经发现造假，将取消本次投标资格并追究相关法律责任！</w:t>
      </w:r>
    </w:p>
    <w:p w14:paraId="57866787">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)投标文件份数：正本一份，副本六份。</w:t>
      </w:r>
    </w:p>
    <w:p w14:paraId="26459ED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0D7011AE">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5.凡报名合格并获取了招标文件的投标人，视同响应承诺参与本次投标活动。若因故不能按期参加的，请至少于开标截止时间前两天以书面邮件形式（发送邮箱地址：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）告知我院招标办公室，否则，将被视为不诚信供应商，列入我院供应商黑名单，至少一年内不接受其参与我院院内的任何招标活动。</w:t>
      </w:r>
    </w:p>
    <w:p w14:paraId="0B459179">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十二</w:t>
      </w:r>
      <w:r>
        <w:rPr>
          <w:rFonts w:hint="eastAsia" w:ascii="宋体" w:hAnsi="宋体" w:cs="宋体"/>
          <w:b/>
          <w:bCs/>
          <w:color w:val="auto"/>
          <w:sz w:val="24"/>
          <w:highlight w:val="none"/>
        </w:rPr>
        <w:t>、信息公告发布媒体</w:t>
      </w:r>
    </w:p>
    <w:p w14:paraId="5799B84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本次招标公告在桂林市人民医院官网（www.glrmyy.com）发布，对其他网站转发本公告可能引起的信息误导、造成投标人的经济或其他损失的，招标人不负任何责任。</w:t>
      </w:r>
    </w:p>
    <w:p w14:paraId="2B943B6A">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十三</w:t>
      </w:r>
      <w:r>
        <w:rPr>
          <w:rFonts w:hint="eastAsia" w:ascii="宋体" w:hAnsi="宋体" w:cs="宋体"/>
          <w:b/>
          <w:bCs/>
          <w:color w:val="auto"/>
          <w:sz w:val="24"/>
          <w:highlight w:val="none"/>
        </w:rPr>
        <w:t>、联系方式</w:t>
      </w:r>
    </w:p>
    <w:p w14:paraId="50942D2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1.联系人：罗老师、戴老师</w:t>
      </w:r>
    </w:p>
    <w:p w14:paraId="3B52A94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2.联系电话：0773-2803316</w:t>
      </w:r>
    </w:p>
    <w:p w14:paraId="6F0D3983">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桂林市人民医院</w:t>
      </w:r>
    </w:p>
    <w:p w14:paraId="4D824A53">
      <w:pPr>
        <w:pageBreakBefore w:val="0"/>
        <w:tabs>
          <w:tab w:val="left" w:pos="5623"/>
        </w:tabs>
        <w:kinsoku/>
        <w:wordWrap/>
        <w:overflowPunct/>
        <w:topLinePunct w:val="0"/>
        <w:autoSpaceDE/>
        <w:autoSpaceDN/>
        <w:bidi w:val="0"/>
        <w:adjustRightInd/>
        <w:spacing w:line="440" w:lineRule="exact"/>
        <w:jc w:val="center"/>
        <w:textAlignment w:val="auto"/>
        <w:rPr>
          <w:rFonts w:ascii="宋体" w:hAnsi="宋体" w:cs="宋体"/>
          <w:b/>
          <w:bCs/>
          <w:color w:val="auto"/>
          <w:w w:val="95"/>
          <w:sz w:val="28"/>
          <w:szCs w:val="28"/>
          <w:highlight w:val="none"/>
        </w:rPr>
      </w:pP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 xml:space="preserve"> </w:t>
      </w:r>
      <w:bookmarkStart w:id="13" w:name="_GoBack"/>
      <w:bookmarkEnd w:id="13"/>
      <w:r>
        <w:rPr>
          <w:rFonts w:hint="eastAsia" w:ascii="宋体" w:hAnsi="宋体" w:cs="宋体"/>
          <w:color w:val="auto"/>
          <w:sz w:val="24"/>
          <w:highlight w:val="none"/>
        </w:rPr>
        <w:t>日</w:t>
      </w:r>
    </w:p>
    <w:p w14:paraId="0B7D1491">
      <w:pPr>
        <w:spacing w:line="440" w:lineRule="exact"/>
        <w:rPr>
          <w:rFonts w:ascii="宋体" w:hAnsi="宋体" w:cs="宋体"/>
          <w:color w:val="auto"/>
          <w:sz w:val="28"/>
          <w:szCs w:val="28"/>
          <w:highlight w:val="none"/>
        </w:rPr>
      </w:pPr>
      <w:r>
        <w:rPr>
          <w:rFonts w:hint="eastAsia" w:ascii="宋体" w:hAnsi="宋体" w:cs="宋体"/>
          <w:b/>
          <w:bCs/>
          <w:color w:val="auto"/>
          <w:w w:val="95"/>
          <w:sz w:val="28"/>
          <w:szCs w:val="28"/>
          <w:highlight w:val="none"/>
        </w:rPr>
        <w:br w:type="page"/>
      </w:r>
    </w:p>
    <w:p w14:paraId="24F54CDB">
      <w:pPr>
        <w:pStyle w:val="2"/>
        <w:numPr>
          <w:ilvl w:val="0"/>
          <w:numId w:val="2"/>
        </w:numPr>
        <w:jc w:val="center"/>
        <w:rPr>
          <w:rFonts w:hint="eastAsia"/>
          <w:color w:val="auto"/>
          <w:kern w:val="0"/>
          <w:sz w:val="32"/>
          <w:szCs w:val="32"/>
          <w:highlight w:val="none"/>
        </w:rPr>
      </w:pPr>
      <w:r>
        <w:rPr>
          <w:rFonts w:hint="eastAsia"/>
          <w:color w:val="auto"/>
          <w:kern w:val="0"/>
          <w:sz w:val="32"/>
          <w:szCs w:val="32"/>
          <w:highlight w:val="none"/>
        </w:rPr>
        <w:t xml:space="preserve"> 评分标准</w:t>
      </w:r>
    </w:p>
    <w:p w14:paraId="0F3971F6">
      <w:pPr>
        <w:rPr>
          <w:rFonts w:hint="eastAsia"/>
          <w:color w:val="auto"/>
          <w:highlight w:val="none"/>
        </w:rPr>
      </w:pPr>
    </w:p>
    <w:p w14:paraId="6D45267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p w14:paraId="2FFB54A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(一)本次评标采用综合评分法。评审组首先对投标供应商提交的响应文件进行资格性审查和符合性审查，只有通过了资格性审查和符合性审查才能进入详评。</w:t>
      </w:r>
    </w:p>
    <w:p w14:paraId="05C25EB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(二)计分办法</w:t>
      </w:r>
    </w:p>
    <w:tbl>
      <w:tblPr>
        <w:tblStyle w:val="18"/>
        <w:tblpPr w:leftFromText="180" w:rightFromText="180" w:vertAnchor="text" w:horzAnchor="margin" w:tblpY="364"/>
        <w:tblW w:w="96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850"/>
        <w:gridCol w:w="993"/>
        <w:gridCol w:w="1420"/>
        <w:gridCol w:w="5549"/>
      </w:tblGrid>
      <w:tr w14:paraId="1558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tcBorders>
              <w:top w:val="single" w:color="000000" w:sz="4" w:space="0"/>
              <w:left w:val="single" w:color="000000" w:sz="4" w:space="0"/>
              <w:right w:val="single" w:color="000000" w:sz="4" w:space="0"/>
            </w:tcBorders>
            <w:noWrap w:val="0"/>
            <w:vAlign w:val="center"/>
          </w:tcPr>
          <w:p w14:paraId="4F27B9AC">
            <w:pPr>
              <w:widowControl/>
              <w:spacing w:line="360" w:lineRule="exact"/>
              <w:ind w:left="0" w:leftChars="0" w:right="0" w:rightChars="0"/>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263" w:type="dxa"/>
            <w:gridSpan w:val="3"/>
            <w:tcBorders>
              <w:top w:val="single" w:color="000000" w:sz="4" w:space="0"/>
              <w:left w:val="single" w:color="000000" w:sz="4" w:space="0"/>
              <w:right w:val="single" w:color="000000" w:sz="4" w:space="0"/>
            </w:tcBorders>
            <w:noWrap w:val="0"/>
            <w:vAlign w:val="top"/>
          </w:tcPr>
          <w:p w14:paraId="09CBD1E3">
            <w:pPr>
              <w:widowControl/>
              <w:spacing w:line="360" w:lineRule="exact"/>
              <w:ind w:left="0" w:leftChars="0" w:right="0" w:rightChars="0"/>
              <w:jc w:val="center"/>
              <w:rPr>
                <w:rFonts w:ascii="宋体" w:hAnsi="宋体"/>
                <w:b/>
                <w:color w:val="auto"/>
                <w:kern w:val="0"/>
                <w:szCs w:val="21"/>
                <w:highlight w:val="none"/>
              </w:rPr>
            </w:pPr>
            <w:r>
              <w:rPr>
                <w:rFonts w:hint="eastAsia" w:ascii="宋体" w:hAnsi="宋体"/>
                <w:b/>
                <w:color w:val="auto"/>
                <w:kern w:val="0"/>
                <w:szCs w:val="21"/>
                <w:highlight w:val="none"/>
              </w:rPr>
              <w:t>评审因素</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46BEF416">
            <w:pPr>
              <w:spacing w:line="360" w:lineRule="exact"/>
              <w:ind w:left="0" w:leftChars="0" w:right="0" w:rightChars="0"/>
              <w:jc w:val="center"/>
              <w:rPr>
                <w:rFonts w:ascii="宋体" w:hAnsi="宋体"/>
                <w:b/>
                <w:color w:val="auto"/>
                <w:szCs w:val="21"/>
                <w:highlight w:val="none"/>
              </w:rPr>
            </w:pPr>
            <w:r>
              <w:rPr>
                <w:rFonts w:hint="eastAsia" w:ascii="宋体" w:hAnsi="宋体"/>
                <w:b/>
                <w:color w:val="auto"/>
                <w:szCs w:val="21"/>
                <w:highlight w:val="none"/>
              </w:rPr>
              <w:t>评审标准</w:t>
            </w:r>
          </w:p>
        </w:tc>
      </w:tr>
      <w:tr w14:paraId="21D5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50" w:type="dxa"/>
            <w:vMerge w:val="restart"/>
            <w:tcBorders>
              <w:top w:val="single" w:color="000000" w:sz="4" w:space="0"/>
              <w:left w:val="single" w:color="000000" w:sz="4" w:space="0"/>
              <w:right w:val="single" w:color="000000" w:sz="4" w:space="0"/>
            </w:tcBorders>
            <w:noWrap w:val="0"/>
            <w:vAlign w:val="center"/>
          </w:tcPr>
          <w:p w14:paraId="72A0DB72">
            <w:pPr>
              <w:widowControl/>
              <w:spacing w:line="360" w:lineRule="exact"/>
              <w:ind w:left="0" w:leftChars="0" w:right="0" w:rightChars="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843" w:type="dxa"/>
            <w:gridSpan w:val="2"/>
            <w:tcBorders>
              <w:top w:val="single" w:color="000000" w:sz="4" w:space="0"/>
              <w:left w:val="single" w:color="000000" w:sz="4" w:space="0"/>
              <w:right w:val="single" w:color="000000" w:sz="4" w:space="0"/>
            </w:tcBorders>
            <w:noWrap w:val="0"/>
            <w:vAlign w:val="center"/>
          </w:tcPr>
          <w:p w14:paraId="0874A096">
            <w:pPr>
              <w:widowControl/>
              <w:spacing w:line="360" w:lineRule="exact"/>
              <w:ind w:left="0" w:leftChars="0" w:right="0" w:rightChars="0"/>
              <w:jc w:val="center"/>
              <w:rPr>
                <w:rFonts w:ascii="宋体" w:hAnsi="宋体"/>
                <w:b/>
                <w:color w:val="auto"/>
                <w:kern w:val="0"/>
                <w:szCs w:val="21"/>
                <w:highlight w:val="none"/>
              </w:rPr>
            </w:pPr>
            <w:r>
              <w:rPr>
                <w:rFonts w:hint="eastAsia" w:ascii="宋体" w:hAnsi="宋体"/>
                <w:b/>
                <w:color w:val="auto"/>
                <w:kern w:val="0"/>
                <w:szCs w:val="21"/>
                <w:highlight w:val="none"/>
              </w:rPr>
              <w:t>商务评审（</w:t>
            </w:r>
            <w:r>
              <w:rPr>
                <w:rFonts w:hint="eastAsia"/>
                <w:b/>
                <w:color w:val="auto"/>
                <w:kern w:val="0"/>
                <w:szCs w:val="21"/>
                <w:highlight w:val="none"/>
                <w:lang w:val="en-US" w:eastAsia="zh-CN"/>
              </w:rPr>
              <w:t>45</w:t>
            </w:r>
            <w:r>
              <w:rPr>
                <w:rFonts w:hint="eastAsia" w:ascii="宋体" w:hAnsi="宋体"/>
                <w:b/>
                <w:color w:val="auto"/>
                <w:kern w:val="0"/>
                <w:szCs w:val="21"/>
                <w:highlight w:val="none"/>
              </w:rPr>
              <w:t>分）</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037A612">
            <w:pPr>
              <w:widowControl/>
              <w:spacing w:line="360" w:lineRule="exact"/>
              <w:jc w:val="center"/>
              <w:rPr>
                <w:rFonts w:ascii="宋体" w:hAnsi="宋体"/>
                <w:b/>
                <w:color w:val="auto"/>
                <w:kern w:val="0"/>
                <w:szCs w:val="21"/>
                <w:highlight w:val="none"/>
              </w:rPr>
            </w:pPr>
            <w:r>
              <w:rPr>
                <w:rFonts w:hint="eastAsia" w:ascii="宋体" w:hAnsi="宋体"/>
                <w:b/>
                <w:color w:val="auto"/>
                <w:kern w:val="0"/>
                <w:szCs w:val="21"/>
                <w:highlight w:val="none"/>
              </w:rPr>
              <w:t>价格分</w:t>
            </w:r>
          </w:p>
          <w:p w14:paraId="3BAAFC16">
            <w:pPr>
              <w:widowControl/>
              <w:spacing w:line="360" w:lineRule="exact"/>
              <w:ind w:left="0" w:leftChars="0" w:right="0" w:rightChars="0"/>
              <w:jc w:val="center"/>
              <w:rPr>
                <w:rFonts w:ascii="宋体" w:hAnsi="宋体"/>
                <w:b/>
                <w:color w:val="auto"/>
                <w:kern w:val="0"/>
                <w:szCs w:val="21"/>
                <w:highlight w:val="none"/>
              </w:rPr>
            </w:pPr>
            <w:r>
              <w:rPr>
                <w:rFonts w:hint="eastAsia" w:ascii="宋体" w:hAnsi="宋体"/>
                <w:b/>
                <w:color w:val="auto"/>
                <w:kern w:val="0"/>
                <w:szCs w:val="21"/>
                <w:highlight w:val="none"/>
              </w:rPr>
              <w:t>（</w:t>
            </w:r>
            <w:r>
              <w:rPr>
                <w:rFonts w:hint="eastAsia"/>
                <w:b/>
                <w:color w:val="auto"/>
                <w:kern w:val="0"/>
                <w:szCs w:val="21"/>
                <w:highlight w:val="none"/>
                <w:lang w:val="en-US" w:eastAsia="zh-CN"/>
              </w:rPr>
              <w:t>45</w:t>
            </w:r>
            <w:r>
              <w:rPr>
                <w:rFonts w:hint="eastAsia" w:ascii="宋体" w:hAnsi="宋体"/>
                <w:b/>
                <w:color w:val="auto"/>
                <w:kern w:val="0"/>
                <w:szCs w:val="21"/>
                <w:highlight w:val="none"/>
              </w:rPr>
              <w:t>分）</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4C49E5BF">
            <w:pPr>
              <w:spacing w:line="440" w:lineRule="exact"/>
              <w:rPr>
                <w:rFonts w:ascii="宋体" w:hAnsi="宋体"/>
                <w:bCs/>
                <w:color w:val="auto"/>
                <w:kern w:val="0"/>
                <w:highlight w:val="none"/>
              </w:rPr>
            </w:pPr>
            <w:r>
              <w:rPr>
                <w:rFonts w:hint="eastAsia" w:ascii="宋体" w:hAnsi="Courier New"/>
                <w:color w:val="auto"/>
                <w:kern w:val="0"/>
                <w:highlight w:val="none"/>
              </w:rPr>
              <w:t>（1）以进入详评的</w:t>
            </w:r>
            <w:r>
              <w:rPr>
                <w:rFonts w:hint="eastAsia" w:ascii="宋体" w:hAnsi="Courier New"/>
                <w:color w:val="auto"/>
                <w:kern w:val="0"/>
                <w:highlight w:val="none"/>
                <w:lang w:val="en-US" w:eastAsia="zh-CN"/>
              </w:rPr>
              <w:t>投标人</w:t>
            </w:r>
            <w:r>
              <w:rPr>
                <w:rFonts w:hint="eastAsia" w:ascii="宋体" w:hAnsi="Courier New"/>
                <w:color w:val="auto"/>
                <w:kern w:val="0"/>
                <w:highlight w:val="none"/>
              </w:rPr>
              <w:t>最低</w:t>
            </w:r>
            <w:r>
              <w:rPr>
                <w:rFonts w:hint="eastAsia" w:ascii="宋体" w:hAnsi="Courier New"/>
                <w:color w:val="auto"/>
                <w:kern w:val="0"/>
                <w:highlight w:val="none"/>
                <w:lang w:val="en-US" w:eastAsia="zh-CN"/>
              </w:rPr>
              <w:t>报价</w:t>
            </w:r>
            <w:r>
              <w:rPr>
                <w:rFonts w:hint="eastAsia" w:ascii="宋体" w:hAnsi="Courier New"/>
                <w:color w:val="auto"/>
                <w:kern w:val="0"/>
                <w:highlight w:val="none"/>
              </w:rPr>
              <w:t>为</w:t>
            </w:r>
            <w:r>
              <w:rPr>
                <w:rFonts w:hint="eastAsia" w:ascii="宋体" w:hAnsi="Courier New"/>
                <w:color w:val="auto"/>
                <w:kern w:val="0"/>
                <w:highlight w:val="none"/>
                <w:lang w:val="en-US" w:eastAsia="zh-CN"/>
              </w:rPr>
              <w:t>评标</w:t>
            </w:r>
            <w:r>
              <w:rPr>
                <w:rFonts w:hint="eastAsia" w:ascii="宋体" w:hAnsi="Courier New"/>
                <w:color w:val="auto"/>
                <w:kern w:val="0"/>
                <w:highlight w:val="none"/>
              </w:rPr>
              <w:t>基准价，其价格分为</w:t>
            </w:r>
            <w:r>
              <w:rPr>
                <w:rFonts w:hint="eastAsia" w:ascii="宋体" w:hAnsi="Courier New"/>
                <w:color w:val="auto"/>
                <w:kern w:val="0"/>
                <w:highlight w:val="none"/>
                <w:lang w:val="en-US" w:eastAsia="zh-CN"/>
              </w:rPr>
              <w:t>45</w:t>
            </w:r>
            <w:r>
              <w:rPr>
                <w:rFonts w:hint="eastAsia" w:ascii="宋体" w:hAnsi="Courier New"/>
                <w:color w:val="auto"/>
                <w:kern w:val="0"/>
                <w:highlight w:val="none"/>
              </w:rPr>
              <w:t>分。</w:t>
            </w:r>
          </w:p>
          <w:p w14:paraId="40FC6EBE">
            <w:pPr>
              <w:spacing w:line="400" w:lineRule="exact"/>
              <w:ind w:left="0" w:leftChars="0" w:right="0" w:rightChars="0"/>
              <w:rPr>
                <w:rFonts w:ascii="宋体" w:hAnsi="宋体"/>
                <w:bCs/>
                <w:color w:val="auto"/>
                <w:kern w:val="0"/>
                <w:szCs w:val="21"/>
                <w:highlight w:val="none"/>
              </w:rPr>
            </w:pPr>
            <w:r>
              <w:rPr>
                <w:rFonts w:hint="eastAsia" w:ascii="宋体" w:hAnsi="Courier New"/>
                <w:color w:val="auto"/>
                <w:kern w:val="0"/>
                <w:highlight w:val="none"/>
              </w:rPr>
              <w:t>（2）供应商报价得分</w:t>
            </w:r>
            <w:r>
              <w:rPr>
                <w:rFonts w:ascii="宋体" w:hAnsi="Courier New"/>
                <w:color w:val="auto"/>
                <w:kern w:val="0"/>
                <w:highlight w:val="none"/>
              </w:rPr>
              <w:t>=</w:t>
            </w:r>
            <w:r>
              <w:rPr>
                <w:rFonts w:hint="eastAsia" w:ascii="宋体" w:hAnsi="Courier New"/>
                <w:color w:val="auto"/>
                <w:kern w:val="0"/>
                <w:highlight w:val="none"/>
              </w:rPr>
              <w:t>（</w:t>
            </w:r>
            <w:r>
              <w:rPr>
                <w:rFonts w:hint="eastAsia" w:ascii="宋体" w:hAnsi="Courier New"/>
                <w:color w:val="auto"/>
                <w:kern w:val="0"/>
                <w:highlight w:val="none"/>
                <w:lang w:val="en-US" w:eastAsia="zh-CN"/>
              </w:rPr>
              <w:t>评标</w:t>
            </w:r>
            <w:r>
              <w:rPr>
                <w:rFonts w:hint="eastAsia" w:ascii="宋体" w:hAnsi="Courier New"/>
                <w:color w:val="auto"/>
                <w:kern w:val="0"/>
                <w:highlight w:val="none"/>
              </w:rPr>
              <w:t>基准价</w:t>
            </w:r>
            <w:r>
              <w:rPr>
                <w:rFonts w:ascii="宋体" w:hAnsi="Courier New"/>
                <w:color w:val="auto"/>
                <w:kern w:val="0"/>
                <w:highlight w:val="none"/>
              </w:rPr>
              <w:t>/</w:t>
            </w:r>
            <w:r>
              <w:rPr>
                <w:rFonts w:hint="eastAsia" w:ascii="宋体" w:hAnsi="Courier New"/>
                <w:color w:val="auto"/>
                <w:kern w:val="0"/>
                <w:highlight w:val="none"/>
                <w:lang w:val="en-US" w:eastAsia="zh-CN"/>
              </w:rPr>
              <w:t>投标</w:t>
            </w:r>
            <w:r>
              <w:rPr>
                <w:rFonts w:hint="eastAsia" w:ascii="宋体" w:hAnsi="Courier New"/>
                <w:color w:val="auto"/>
                <w:kern w:val="0"/>
                <w:highlight w:val="none"/>
              </w:rPr>
              <w:t>报价）×</w:t>
            </w:r>
            <w:r>
              <w:rPr>
                <w:rFonts w:hint="eastAsia" w:ascii="宋体" w:hAnsi="Courier New"/>
                <w:color w:val="auto"/>
                <w:kern w:val="0"/>
                <w:highlight w:val="none"/>
                <w:lang w:val="en-US" w:eastAsia="zh-CN"/>
              </w:rPr>
              <w:t>45</w:t>
            </w:r>
            <w:r>
              <w:rPr>
                <w:rFonts w:hint="eastAsia" w:ascii="宋体" w:hAnsi="Courier New"/>
                <w:color w:val="auto"/>
                <w:kern w:val="0"/>
                <w:highlight w:val="none"/>
              </w:rPr>
              <w:t>分</w:t>
            </w:r>
          </w:p>
        </w:tc>
      </w:tr>
      <w:tr w14:paraId="4D47C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50" w:type="dxa"/>
            <w:vMerge w:val="continue"/>
            <w:tcBorders>
              <w:left w:val="single" w:color="000000" w:sz="4" w:space="0"/>
              <w:right w:val="single" w:color="000000" w:sz="4" w:space="0"/>
            </w:tcBorders>
            <w:noWrap w:val="0"/>
            <w:vAlign w:val="center"/>
          </w:tcPr>
          <w:p w14:paraId="6B27CBE3">
            <w:pPr>
              <w:widowControl/>
              <w:spacing w:line="360" w:lineRule="exact"/>
              <w:ind w:left="0" w:leftChars="0" w:right="0" w:rightChars="0"/>
              <w:jc w:val="center"/>
              <w:rPr>
                <w:rFonts w:hint="eastAsia" w:ascii="宋体" w:hAnsi="宋体"/>
                <w:color w:val="auto"/>
                <w:kern w:val="0"/>
                <w:szCs w:val="21"/>
                <w:highlight w:val="none"/>
              </w:rPr>
            </w:pPr>
          </w:p>
        </w:tc>
        <w:tc>
          <w:tcPr>
            <w:tcW w:w="850" w:type="dxa"/>
            <w:vMerge w:val="restart"/>
            <w:tcBorders>
              <w:top w:val="single" w:color="000000" w:sz="4" w:space="0"/>
              <w:left w:val="single" w:color="000000" w:sz="4" w:space="0"/>
              <w:right w:val="single" w:color="auto" w:sz="4" w:space="0"/>
            </w:tcBorders>
            <w:noWrap w:val="0"/>
            <w:vAlign w:val="center"/>
          </w:tcPr>
          <w:p w14:paraId="52CD281D">
            <w:pPr>
              <w:widowControl/>
              <w:spacing w:line="360" w:lineRule="exact"/>
              <w:ind w:left="0" w:leftChars="0" w:right="0" w:rightChars="0"/>
              <w:jc w:val="center"/>
              <w:rPr>
                <w:rFonts w:ascii="宋体" w:hAnsi="宋体"/>
                <w:b/>
                <w:color w:val="auto"/>
                <w:kern w:val="0"/>
                <w:szCs w:val="21"/>
                <w:highlight w:val="none"/>
              </w:rPr>
            </w:pPr>
            <w:r>
              <w:rPr>
                <w:rFonts w:hint="eastAsia" w:ascii="宋体" w:hAnsi="宋体"/>
                <w:b/>
                <w:color w:val="auto"/>
                <w:kern w:val="0"/>
                <w:szCs w:val="21"/>
                <w:highlight w:val="none"/>
              </w:rPr>
              <w:t>技术评审（</w:t>
            </w:r>
            <w:r>
              <w:rPr>
                <w:rFonts w:hint="eastAsia"/>
                <w:b/>
                <w:color w:val="auto"/>
                <w:kern w:val="0"/>
                <w:szCs w:val="21"/>
                <w:highlight w:val="none"/>
                <w:lang w:val="en-US" w:eastAsia="zh-CN"/>
              </w:rPr>
              <w:t>50</w:t>
            </w:r>
            <w:r>
              <w:rPr>
                <w:rFonts w:hint="eastAsia" w:ascii="宋体" w:hAnsi="宋体"/>
                <w:b/>
                <w:color w:val="auto"/>
                <w:kern w:val="0"/>
                <w:szCs w:val="21"/>
                <w:highlight w:val="none"/>
              </w:rPr>
              <w:t>分）</w:t>
            </w:r>
          </w:p>
        </w:tc>
        <w:tc>
          <w:tcPr>
            <w:tcW w:w="993" w:type="dxa"/>
            <w:vMerge w:val="restart"/>
            <w:tcBorders>
              <w:top w:val="single" w:color="000000" w:sz="4" w:space="0"/>
              <w:left w:val="single" w:color="auto" w:sz="4" w:space="0"/>
              <w:right w:val="single" w:color="000000" w:sz="4" w:space="0"/>
            </w:tcBorders>
            <w:noWrap w:val="0"/>
            <w:vAlign w:val="center"/>
          </w:tcPr>
          <w:p w14:paraId="18E65AA7">
            <w:pPr>
              <w:widowControl/>
              <w:spacing w:line="360" w:lineRule="exact"/>
              <w:ind w:left="0" w:leftChars="0" w:right="0" w:rightChars="0"/>
              <w:jc w:val="center"/>
              <w:rPr>
                <w:rFonts w:hint="eastAsia" w:ascii="宋体" w:hAnsi="宋体"/>
                <w:b/>
                <w:color w:val="auto"/>
                <w:kern w:val="0"/>
                <w:szCs w:val="21"/>
                <w:highlight w:val="none"/>
              </w:rPr>
            </w:pPr>
            <w:r>
              <w:rPr>
                <w:rFonts w:hint="eastAsia" w:ascii="宋体" w:hAnsi="宋体" w:eastAsia="宋体" w:cs="Times New Roman"/>
                <w:b/>
                <w:color w:val="auto"/>
                <w:kern w:val="0"/>
                <w:szCs w:val="21"/>
                <w:highlight w:val="none"/>
              </w:rPr>
              <w:t>项目管理机构（</w:t>
            </w:r>
            <w:r>
              <w:rPr>
                <w:rFonts w:hint="eastAsia" w:ascii="宋体" w:hAnsi="宋体" w:eastAsia="宋体" w:cs="Times New Roman"/>
                <w:b/>
                <w:color w:val="auto"/>
                <w:kern w:val="0"/>
                <w:szCs w:val="21"/>
                <w:highlight w:val="none"/>
                <w:lang w:val="en-US" w:eastAsia="zh-CN"/>
              </w:rPr>
              <w:t>10</w:t>
            </w:r>
            <w:r>
              <w:rPr>
                <w:rFonts w:hint="eastAsia" w:ascii="宋体" w:hAnsi="宋体" w:eastAsia="宋体" w:cs="Times New Roman"/>
                <w:b/>
                <w:color w:val="auto"/>
                <w:kern w:val="0"/>
                <w:szCs w:val="21"/>
                <w:highlight w:val="none"/>
              </w:rPr>
              <w:t>分）</w:t>
            </w:r>
          </w:p>
        </w:tc>
        <w:tc>
          <w:tcPr>
            <w:tcW w:w="1420" w:type="dxa"/>
            <w:tcBorders>
              <w:top w:val="single" w:color="000000" w:sz="4" w:space="0"/>
              <w:left w:val="single" w:color="000000" w:sz="4" w:space="0"/>
              <w:bottom w:val="single" w:color="auto" w:sz="4" w:space="0"/>
              <w:right w:val="single" w:color="000000" w:sz="4" w:space="0"/>
            </w:tcBorders>
            <w:noWrap w:val="0"/>
            <w:vAlign w:val="center"/>
          </w:tcPr>
          <w:p w14:paraId="0F38A83D">
            <w:pPr>
              <w:widowControl/>
              <w:spacing w:line="360" w:lineRule="exact"/>
              <w:ind w:left="0" w:leftChars="0" w:right="0" w:rightChars="0"/>
              <w:jc w:val="center"/>
              <w:rPr>
                <w:rFonts w:hint="eastAsia" w:ascii="宋体" w:hAnsi="宋体"/>
                <w:b/>
                <w:color w:val="auto"/>
                <w:kern w:val="0"/>
                <w:szCs w:val="21"/>
                <w:highlight w:val="none"/>
              </w:rPr>
            </w:pPr>
            <w:r>
              <w:rPr>
                <w:rFonts w:hint="eastAsia" w:cs="宋体"/>
                <w:color w:val="auto"/>
                <w:kern w:val="0"/>
                <w:highlight w:val="none"/>
                <w:lang w:eastAsia="zh-CN"/>
              </w:rPr>
              <w:t>项目组主要人员</w:t>
            </w:r>
            <w:r>
              <w:rPr>
                <w:rFonts w:hint="eastAsia" w:cs="宋体"/>
                <w:color w:val="auto"/>
                <w:kern w:val="0"/>
                <w:highlight w:val="none"/>
              </w:rPr>
              <w:t>任职资格工作经历等（</w:t>
            </w:r>
            <w:r>
              <w:rPr>
                <w:rFonts w:hint="eastAsia"/>
                <w:color w:val="auto"/>
                <w:kern w:val="0"/>
                <w:highlight w:val="none"/>
                <w:lang w:val="en-US" w:eastAsia="zh-CN"/>
              </w:rPr>
              <w:t>5</w:t>
            </w:r>
            <w:r>
              <w:rPr>
                <w:rFonts w:hint="eastAsia" w:cs="宋体"/>
                <w:color w:val="auto"/>
                <w:kern w:val="0"/>
                <w:highlight w:val="none"/>
              </w:rPr>
              <w:t>分）</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28F76EFD">
            <w:pPr>
              <w:widowControl/>
              <w:spacing w:line="360" w:lineRule="auto"/>
              <w:rPr>
                <w:rFonts w:cs="宋体"/>
                <w:color w:val="auto"/>
                <w:kern w:val="0"/>
                <w:highlight w:val="none"/>
              </w:rPr>
            </w:pPr>
            <w:r>
              <w:rPr>
                <w:rFonts w:hint="eastAsia"/>
                <w:color w:val="auto"/>
                <w:highlight w:val="none"/>
                <w:lang w:val="en-US" w:eastAsia="zh-CN"/>
              </w:rPr>
              <w:t>1</w:t>
            </w:r>
            <w:r>
              <w:rPr>
                <w:rFonts w:hint="eastAsia"/>
                <w:color w:val="auto"/>
                <w:highlight w:val="none"/>
              </w:rPr>
              <w:t>.</w:t>
            </w:r>
            <w:r>
              <w:rPr>
                <w:rFonts w:hint="eastAsia" w:cs="宋体"/>
                <w:color w:val="auto"/>
                <w:kern w:val="0"/>
                <w:highlight w:val="none"/>
              </w:rPr>
              <w:t xml:space="preserve"> 拟派任项目经理具有与本项目电力工程相关专业</w:t>
            </w:r>
            <w:r>
              <w:rPr>
                <w:rFonts w:hint="eastAsia" w:cs="宋体"/>
                <w:color w:val="auto"/>
                <w:kern w:val="0"/>
                <w:highlight w:val="none"/>
                <w:lang w:val="en-US" w:eastAsia="zh-CN"/>
              </w:rPr>
              <w:t>高</w:t>
            </w:r>
            <w:r>
              <w:rPr>
                <w:rFonts w:hint="eastAsia" w:cs="宋体"/>
                <w:color w:val="auto"/>
                <w:kern w:val="0"/>
                <w:highlight w:val="none"/>
              </w:rPr>
              <w:t>级职称的，得</w:t>
            </w:r>
            <w:r>
              <w:rPr>
                <w:rFonts w:hint="eastAsia" w:cs="宋体"/>
                <w:color w:val="auto"/>
                <w:kern w:val="0"/>
                <w:highlight w:val="none"/>
                <w:lang w:val="en-US" w:eastAsia="zh-CN"/>
              </w:rPr>
              <w:t>5</w:t>
            </w:r>
            <w:r>
              <w:rPr>
                <w:rFonts w:hint="eastAsia" w:cs="宋体"/>
                <w:color w:val="auto"/>
                <w:kern w:val="0"/>
                <w:highlight w:val="none"/>
              </w:rPr>
              <w:t>分；具有</w:t>
            </w:r>
            <w:r>
              <w:rPr>
                <w:rFonts w:hint="eastAsia" w:cs="宋体"/>
                <w:color w:val="auto"/>
                <w:kern w:val="0"/>
                <w:highlight w:val="none"/>
                <w:lang w:eastAsia="zh-CN"/>
              </w:rPr>
              <w:t>电力相关专业</w:t>
            </w:r>
            <w:r>
              <w:rPr>
                <w:rFonts w:hint="eastAsia" w:cs="宋体"/>
                <w:color w:val="auto"/>
                <w:kern w:val="0"/>
                <w:highlight w:val="none"/>
                <w:lang w:val="en-US" w:eastAsia="zh-CN"/>
              </w:rPr>
              <w:t>中</w:t>
            </w:r>
            <w:r>
              <w:rPr>
                <w:rFonts w:hint="eastAsia" w:cs="宋体"/>
                <w:color w:val="auto"/>
                <w:kern w:val="0"/>
                <w:highlight w:val="none"/>
                <w:lang w:eastAsia="zh-CN"/>
              </w:rPr>
              <w:t>级</w:t>
            </w:r>
            <w:r>
              <w:rPr>
                <w:rFonts w:hint="eastAsia" w:cs="宋体"/>
                <w:color w:val="auto"/>
                <w:kern w:val="0"/>
                <w:highlight w:val="none"/>
              </w:rPr>
              <w:t>职称的，得</w:t>
            </w:r>
            <w:r>
              <w:rPr>
                <w:rFonts w:hint="eastAsia" w:cs="宋体"/>
                <w:color w:val="auto"/>
                <w:kern w:val="0"/>
                <w:highlight w:val="none"/>
                <w:lang w:val="en-US" w:eastAsia="zh-CN"/>
              </w:rPr>
              <w:t>4</w:t>
            </w:r>
            <w:r>
              <w:rPr>
                <w:rFonts w:hint="eastAsia" w:cs="宋体"/>
                <w:color w:val="auto"/>
                <w:kern w:val="0"/>
                <w:highlight w:val="none"/>
              </w:rPr>
              <w:t>分</w:t>
            </w:r>
            <w:r>
              <w:rPr>
                <w:rFonts w:hint="eastAsia" w:cs="宋体"/>
                <w:color w:val="auto"/>
                <w:kern w:val="0"/>
                <w:highlight w:val="none"/>
                <w:lang w:eastAsia="zh-CN"/>
              </w:rPr>
              <w:t>；</w:t>
            </w:r>
            <w:r>
              <w:rPr>
                <w:rFonts w:hint="eastAsia" w:cs="宋体"/>
                <w:color w:val="auto"/>
                <w:kern w:val="0"/>
                <w:highlight w:val="none"/>
              </w:rPr>
              <w:t>具有</w:t>
            </w:r>
            <w:r>
              <w:rPr>
                <w:rFonts w:hint="eastAsia" w:cs="宋体"/>
                <w:color w:val="auto"/>
                <w:kern w:val="0"/>
                <w:highlight w:val="none"/>
                <w:lang w:eastAsia="zh-CN"/>
              </w:rPr>
              <w:t>电力相关专业初级</w:t>
            </w:r>
            <w:r>
              <w:rPr>
                <w:rFonts w:hint="eastAsia" w:cs="宋体"/>
                <w:color w:val="auto"/>
                <w:kern w:val="0"/>
                <w:highlight w:val="none"/>
              </w:rPr>
              <w:t>职称的，得</w:t>
            </w:r>
            <w:r>
              <w:rPr>
                <w:rFonts w:hint="eastAsia" w:cs="宋体"/>
                <w:color w:val="auto"/>
                <w:kern w:val="0"/>
                <w:highlight w:val="none"/>
                <w:lang w:val="en-US" w:eastAsia="zh-CN"/>
              </w:rPr>
              <w:t>3</w:t>
            </w:r>
            <w:r>
              <w:rPr>
                <w:rFonts w:hint="eastAsia" w:cs="宋体"/>
                <w:color w:val="auto"/>
                <w:kern w:val="0"/>
                <w:highlight w:val="none"/>
              </w:rPr>
              <w:t>分（投标文件中提供相关职称证书扫描件，加盖投标人电子印章，否则不予计分）。</w:t>
            </w:r>
          </w:p>
          <w:p w14:paraId="46F5A3D5">
            <w:pPr>
              <w:pStyle w:val="5"/>
              <w:rPr>
                <w:rFonts w:hint="default" w:ascii="宋体" w:hAnsi="Courier New"/>
                <w:color w:val="auto"/>
                <w:kern w:val="0"/>
                <w:highlight w:val="none"/>
                <w:lang w:val="en-US"/>
              </w:rPr>
            </w:pPr>
            <w:r>
              <w:rPr>
                <w:rFonts w:hint="eastAsia"/>
                <w:b/>
                <w:bCs/>
                <w:color w:val="auto"/>
                <w:highlight w:val="none"/>
              </w:rPr>
              <w:t>电力工程相关专业包括但不限于：机电工程、电力工程、电气工程、输配电及用电工程等与本项目电力工程相关专业。</w:t>
            </w:r>
          </w:p>
        </w:tc>
      </w:tr>
      <w:tr w14:paraId="69DF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50" w:type="dxa"/>
            <w:vMerge w:val="continue"/>
            <w:tcBorders>
              <w:left w:val="single" w:color="000000" w:sz="4" w:space="0"/>
              <w:right w:val="single" w:color="000000" w:sz="4" w:space="0"/>
            </w:tcBorders>
            <w:noWrap w:val="0"/>
            <w:vAlign w:val="center"/>
          </w:tcPr>
          <w:p w14:paraId="471413AD">
            <w:pPr>
              <w:widowControl/>
              <w:spacing w:line="360" w:lineRule="exact"/>
              <w:ind w:left="0" w:leftChars="0" w:right="0" w:rightChars="0"/>
              <w:jc w:val="center"/>
              <w:rPr>
                <w:rFonts w:hint="eastAsia" w:ascii="宋体" w:hAnsi="宋体"/>
                <w:color w:val="auto"/>
                <w:kern w:val="0"/>
                <w:szCs w:val="21"/>
                <w:highlight w:val="none"/>
              </w:rPr>
            </w:pPr>
          </w:p>
        </w:tc>
        <w:tc>
          <w:tcPr>
            <w:tcW w:w="850" w:type="dxa"/>
            <w:vMerge w:val="continue"/>
            <w:tcBorders>
              <w:left w:val="single" w:color="000000" w:sz="4" w:space="0"/>
              <w:right w:val="single" w:color="auto" w:sz="4" w:space="0"/>
            </w:tcBorders>
            <w:noWrap w:val="0"/>
            <w:vAlign w:val="center"/>
          </w:tcPr>
          <w:p w14:paraId="309F1806">
            <w:pPr>
              <w:widowControl/>
              <w:spacing w:line="360" w:lineRule="exact"/>
              <w:ind w:left="0" w:leftChars="0" w:right="0" w:rightChars="0"/>
              <w:jc w:val="center"/>
              <w:rPr>
                <w:rFonts w:hint="eastAsia" w:ascii="宋体" w:hAnsi="宋体"/>
                <w:b/>
                <w:color w:val="auto"/>
                <w:kern w:val="0"/>
                <w:szCs w:val="21"/>
                <w:highlight w:val="none"/>
              </w:rPr>
            </w:pPr>
          </w:p>
        </w:tc>
        <w:tc>
          <w:tcPr>
            <w:tcW w:w="993" w:type="dxa"/>
            <w:vMerge w:val="continue"/>
            <w:tcBorders>
              <w:left w:val="single" w:color="auto" w:sz="4" w:space="0"/>
              <w:right w:val="single" w:color="000000" w:sz="4" w:space="0"/>
            </w:tcBorders>
            <w:noWrap w:val="0"/>
            <w:vAlign w:val="center"/>
          </w:tcPr>
          <w:p w14:paraId="2068EB07">
            <w:pPr>
              <w:widowControl/>
              <w:spacing w:line="360" w:lineRule="exact"/>
              <w:ind w:left="0" w:leftChars="0" w:right="0" w:rightChars="0"/>
              <w:jc w:val="center"/>
              <w:rPr>
                <w:rFonts w:hint="eastAsia" w:ascii="宋体" w:hAnsi="宋体"/>
                <w:b/>
                <w:color w:val="auto"/>
                <w:kern w:val="0"/>
                <w:szCs w:val="21"/>
                <w:highlight w:val="none"/>
              </w:rPr>
            </w:pPr>
          </w:p>
        </w:tc>
        <w:tc>
          <w:tcPr>
            <w:tcW w:w="1420" w:type="dxa"/>
            <w:tcBorders>
              <w:top w:val="single" w:color="auto" w:sz="4" w:space="0"/>
              <w:left w:val="single" w:color="000000" w:sz="4" w:space="0"/>
              <w:bottom w:val="single" w:color="000000" w:sz="4" w:space="0"/>
              <w:right w:val="single" w:color="000000" w:sz="4" w:space="0"/>
            </w:tcBorders>
            <w:noWrap w:val="0"/>
            <w:vAlign w:val="center"/>
          </w:tcPr>
          <w:p w14:paraId="680C298B">
            <w:pPr>
              <w:widowControl/>
              <w:spacing w:line="360" w:lineRule="exact"/>
              <w:ind w:left="0" w:leftChars="0" w:right="0" w:rightChars="0"/>
              <w:jc w:val="center"/>
              <w:rPr>
                <w:rFonts w:hint="eastAsia" w:cs="宋体"/>
                <w:color w:val="auto"/>
                <w:highlight w:val="none"/>
              </w:rPr>
            </w:pPr>
            <w:r>
              <w:rPr>
                <w:rFonts w:hint="eastAsia" w:cs="宋体"/>
                <w:color w:val="auto"/>
                <w:kern w:val="0"/>
                <w:highlight w:val="none"/>
              </w:rPr>
              <w:t>其他</w:t>
            </w:r>
            <w:r>
              <w:rPr>
                <w:rFonts w:hint="eastAsia" w:cs="宋体"/>
                <w:color w:val="auto"/>
                <w:kern w:val="0"/>
                <w:highlight w:val="none"/>
                <w:lang w:val="en-US" w:eastAsia="zh-CN"/>
              </w:rPr>
              <w:t>拟投入</w:t>
            </w:r>
            <w:r>
              <w:rPr>
                <w:rFonts w:hint="eastAsia" w:cs="宋体"/>
                <w:color w:val="auto"/>
                <w:kern w:val="0"/>
                <w:highlight w:val="none"/>
              </w:rPr>
              <w:t>人员（</w:t>
            </w:r>
            <w:r>
              <w:rPr>
                <w:rFonts w:hint="eastAsia" w:cs="宋体"/>
                <w:color w:val="auto"/>
                <w:kern w:val="0"/>
                <w:highlight w:val="none"/>
                <w:lang w:val="en-US" w:eastAsia="zh-CN"/>
              </w:rPr>
              <w:t>5</w:t>
            </w:r>
            <w:r>
              <w:rPr>
                <w:rFonts w:hint="eastAsia" w:cs="宋体"/>
                <w:color w:val="auto"/>
                <w:kern w:val="0"/>
                <w:highlight w:val="none"/>
              </w:rPr>
              <w:t>分）</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CC676D">
            <w:pPr>
              <w:widowControl/>
              <w:spacing w:line="360" w:lineRule="auto"/>
              <w:rPr>
                <w:rFonts w:hint="eastAsia" w:ascii="宋体;SimSun" w:hAnsi="宋体;SimSun" w:cs="宋体;SimSun"/>
                <w:color w:val="auto"/>
                <w:highlight w:val="none"/>
              </w:rPr>
            </w:pPr>
            <w:r>
              <w:rPr>
                <w:rFonts w:hint="eastAsia" w:ascii="宋体;SimSun" w:hAnsi="宋体;SimSun" w:cs="宋体;SimSun"/>
                <w:color w:val="auto"/>
                <w:highlight w:val="none"/>
                <w:lang w:val="en-US" w:eastAsia="zh-CN"/>
              </w:rPr>
              <w:t>一档</w:t>
            </w:r>
            <w:r>
              <w:rPr>
                <w:rFonts w:hint="eastAsia" w:ascii="宋体;SimSun" w:hAnsi="宋体;SimSun" w:cs="宋体;SimSun"/>
                <w:color w:val="auto"/>
                <w:highlight w:val="none"/>
              </w:rPr>
              <w:t>（</w:t>
            </w:r>
            <w:r>
              <w:rPr>
                <w:rFonts w:hint="eastAsia" w:ascii="宋体;SimSun" w:hAnsi="宋体;SimSun" w:cs="宋体;SimSun"/>
                <w:color w:val="auto"/>
                <w:highlight w:val="none"/>
                <w:lang w:val="en-US" w:eastAsia="zh-CN"/>
              </w:rPr>
              <w:t>5</w:t>
            </w:r>
            <w:r>
              <w:rPr>
                <w:rFonts w:hint="eastAsia" w:ascii="宋体;SimSun" w:hAnsi="宋体;SimSun" w:cs="宋体;SimSun"/>
                <w:color w:val="auto"/>
                <w:highlight w:val="none"/>
              </w:rPr>
              <w:t>分）：在满足</w:t>
            </w:r>
            <w:r>
              <w:rPr>
                <w:rFonts w:hint="eastAsia" w:ascii="宋体;SimSun" w:hAnsi="宋体;SimSun" w:cs="宋体;SimSun"/>
                <w:color w:val="auto"/>
                <w:highlight w:val="none"/>
                <w:lang w:val="en-US" w:eastAsia="zh-CN"/>
              </w:rPr>
              <w:t>本项目资格要求</w:t>
            </w:r>
            <w:r>
              <w:rPr>
                <w:rFonts w:hint="eastAsia" w:ascii="宋体;SimSun" w:hAnsi="宋体;SimSun" w:cs="宋体;SimSun"/>
                <w:color w:val="auto"/>
                <w:highlight w:val="none"/>
              </w:rPr>
              <w:t>基础上，拟投入本工程的施工员、质量员、材料员、专职安全生产管理人员、造价工程师</w:t>
            </w:r>
            <w:r>
              <w:rPr>
                <w:rFonts w:hint="eastAsia" w:ascii="宋体;SimSun" w:hAnsi="宋体;SimSun" w:cs="宋体;SimSun"/>
                <w:color w:val="auto"/>
                <w:highlight w:val="none"/>
                <w:lang w:eastAsia="zh-CN"/>
              </w:rPr>
              <w:t>合计</w:t>
            </w:r>
            <w:r>
              <w:rPr>
                <w:rFonts w:hint="eastAsia" w:ascii="宋体;SimSun" w:hAnsi="宋体;SimSun" w:cs="宋体;SimSun"/>
                <w:color w:val="auto"/>
                <w:highlight w:val="none"/>
              </w:rPr>
              <w:t>总人数另外增加≥</w:t>
            </w:r>
            <w:r>
              <w:rPr>
                <w:rFonts w:hint="eastAsia" w:ascii="宋体;SimSun" w:hAnsi="宋体;SimSun" w:cs="宋体;SimSun"/>
                <w:color w:val="auto"/>
                <w:highlight w:val="none"/>
                <w:lang w:val="en-US" w:eastAsia="zh-CN"/>
              </w:rPr>
              <w:t>2</w:t>
            </w:r>
            <w:r>
              <w:rPr>
                <w:rFonts w:hint="eastAsia" w:ascii="宋体;SimSun" w:hAnsi="宋体;SimSun" w:cs="宋体;SimSun"/>
                <w:color w:val="auto"/>
                <w:highlight w:val="none"/>
              </w:rPr>
              <w:t>人；同时拟投入本工程的施工员、质量员、材料员、专职安全生产管理人员、造价工程师中有≥1人具有高级职称</w:t>
            </w:r>
            <w:r>
              <w:rPr>
                <w:rFonts w:hint="eastAsia" w:ascii="宋体;SimSun" w:hAnsi="宋体;SimSun" w:cs="宋体;SimSun"/>
                <w:color w:val="auto"/>
                <w:highlight w:val="none"/>
                <w:lang w:eastAsia="zh-CN"/>
              </w:rPr>
              <w:t>的。</w:t>
            </w:r>
          </w:p>
          <w:p w14:paraId="573F21A4">
            <w:pPr>
              <w:widowControl/>
              <w:spacing w:line="360" w:lineRule="auto"/>
              <w:rPr>
                <w:rFonts w:hint="eastAsia" w:ascii="宋体;SimSun" w:hAnsi="宋体;SimSun" w:cs="宋体;SimSun"/>
                <w:color w:val="auto"/>
                <w:highlight w:val="none"/>
              </w:rPr>
            </w:pPr>
            <w:r>
              <w:rPr>
                <w:rFonts w:hint="eastAsia" w:ascii="宋体;SimSun" w:hAnsi="宋体;SimSun" w:cs="宋体;SimSun"/>
                <w:color w:val="auto"/>
                <w:highlight w:val="none"/>
                <w:lang w:val="en-US" w:eastAsia="zh-CN"/>
              </w:rPr>
              <w:t>二档</w:t>
            </w:r>
            <w:r>
              <w:rPr>
                <w:rFonts w:hint="eastAsia" w:ascii="宋体;SimSun" w:hAnsi="宋体;SimSun" w:cs="宋体;SimSun"/>
                <w:color w:val="auto"/>
                <w:highlight w:val="none"/>
              </w:rPr>
              <w:t>（</w:t>
            </w:r>
            <w:r>
              <w:rPr>
                <w:rFonts w:hint="eastAsia" w:ascii="宋体;SimSun" w:hAnsi="宋体;SimSun" w:cs="宋体;SimSun"/>
                <w:color w:val="auto"/>
                <w:highlight w:val="none"/>
                <w:lang w:val="en-US" w:eastAsia="zh-CN"/>
              </w:rPr>
              <w:t>4</w:t>
            </w:r>
            <w:r>
              <w:rPr>
                <w:rFonts w:hint="eastAsia" w:ascii="宋体;SimSun" w:hAnsi="宋体;SimSun" w:cs="宋体;SimSun"/>
                <w:color w:val="auto"/>
                <w:highlight w:val="none"/>
              </w:rPr>
              <w:t>分）：在满足</w:t>
            </w:r>
            <w:r>
              <w:rPr>
                <w:rFonts w:hint="eastAsia" w:ascii="宋体;SimSun" w:hAnsi="宋体;SimSun" w:cs="宋体;SimSun"/>
                <w:color w:val="auto"/>
                <w:highlight w:val="none"/>
                <w:lang w:val="en-US" w:eastAsia="zh-CN"/>
              </w:rPr>
              <w:t>本项目资格要求</w:t>
            </w:r>
            <w:r>
              <w:rPr>
                <w:rFonts w:hint="eastAsia" w:ascii="宋体;SimSun" w:hAnsi="宋体;SimSun" w:cs="宋体;SimSun"/>
                <w:color w:val="auto"/>
                <w:highlight w:val="none"/>
              </w:rPr>
              <w:t>基础上，拟投入本工程的施工员、质量员、材料员、专职安全生产管理人员、造价工程师总人数另外增加≥</w:t>
            </w:r>
            <w:r>
              <w:rPr>
                <w:rFonts w:hint="eastAsia" w:ascii="宋体;SimSun" w:hAnsi="宋体;SimSun" w:cs="宋体;SimSun"/>
                <w:color w:val="auto"/>
                <w:highlight w:val="none"/>
                <w:lang w:val="en-US" w:eastAsia="zh-CN"/>
              </w:rPr>
              <w:t>2</w:t>
            </w:r>
            <w:r>
              <w:rPr>
                <w:rFonts w:hint="eastAsia" w:ascii="宋体;SimSun" w:hAnsi="宋体;SimSun" w:cs="宋体;SimSun"/>
                <w:color w:val="auto"/>
                <w:highlight w:val="none"/>
              </w:rPr>
              <w:t>人；同时拟投入本工程的施工员、质量员、材料员、专职安全生产管理人员、造价工程师中有≥1人具有</w:t>
            </w:r>
            <w:r>
              <w:rPr>
                <w:rFonts w:hint="eastAsia" w:ascii="宋体;SimSun" w:hAnsi="宋体;SimSun" w:cs="宋体;SimSun"/>
                <w:color w:val="auto"/>
                <w:highlight w:val="none"/>
                <w:lang w:eastAsia="zh-CN"/>
              </w:rPr>
              <w:t>中</w:t>
            </w:r>
            <w:r>
              <w:rPr>
                <w:rFonts w:hint="eastAsia" w:ascii="宋体;SimSun" w:hAnsi="宋体;SimSun" w:cs="宋体;SimSun"/>
                <w:color w:val="auto"/>
                <w:highlight w:val="none"/>
              </w:rPr>
              <w:t>级职称的</w:t>
            </w:r>
            <w:r>
              <w:rPr>
                <w:rFonts w:hint="eastAsia" w:ascii="宋体;SimSun" w:hAnsi="宋体;SimSun" w:cs="宋体;SimSun"/>
                <w:color w:val="auto"/>
                <w:highlight w:val="none"/>
                <w:lang w:eastAsia="zh-CN"/>
              </w:rPr>
              <w:t>。</w:t>
            </w:r>
          </w:p>
          <w:p w14:paraId="694B7D3A">
            <w:pPr>
              <w:widowControl/>
              <w:spacing w:line="360" w:lineRule="auto"/>
              <w:rPr>
                <w:rFonts w:hint="eastAsia" w:ascii="宋体;SimSun" w:hAnsi="宋体;SimSun" w:eastAsia="宋体" w:cs="宋体;SimSun"/>
                <w:color w:val="auto"/>
                <w:highlight w:val="none"/>
              </w:rPr>
            </w:pPr>
            <w:r>
              <w:rPr>
                <w:rFonts w:hint="eastAsia" w:ascii="宋体;SimSun" w:hAnsi="宋体;SimSun" w:cs="宋体;SimSun"/>
                <w:color w:val="auto"/>
                <w:highlight w:val="none"/>
                <w:lang w:val="en-US" w:eastAsia="zh-CN"/>
              </w:rPr>
              <w:t>三档</w:t>
            </w:r>
            <w:r>
              <w:rPr>
                <w:rFonts w:hint="eastAsia" w:ascii="宋体;SimSun" w:hAnsi="宋体;SimSun" w:eastAsia="宋体" w:cs="宋体;SimSun"/>
                <w:color w:val="auto"/>
                <w:highlight w:val="none"/>
              </w:rPr>
              <w:t>（</w:t>
            </w:r>
            <w:r>
              <w:rPr>
                <w:rFonts w:hint="eastAsia" w:ascii="宋体;SimSun" w:hAnsi="宋体;SimSun" w:eastAsia="宋体" w:cs="宋体;SimSun"/>
                <w:color w:val="auto"/>
                <w:highlight w:val="none"/>
                <w:lang w:val="en-US" w:eastAsia="zh-CN"/>
              </w:rPr>
              <w:t>3</w:t>
            </w:r>
            <w:r>
              <w:rPr>
                <w:rFonts w:hint="eastAsia" w:ascii="宋体;SimSun" w:hAnsi="宋体;SimSun" w:eastAsia="宋体" w:cs="宋体;SimSun"/>
                <w:color w:val="auto"/>
                <w:highlight w:val="none"/>
              </w:rPr>
              <w:t>分）：在满足</w:t>
            </w:r>
            <w:r>
              <w:rPr>
                <w:rFonts w:hint="eastAsia" w:ascii="宋体;SimSun" w:hAnsi="宋体;SimSun" w:eastAsia="宋体" w:cs="宋体;SimSun"/>
                <w:color w:val="auto"/>
                <w:highlight w:val="none"/>
                <w:lang w:val="en-US" w:eastAsia="zh-CN"/>
              </w:rPr>
              <w:t>本项目资格要求</w:t>
            </w:r>
            <w:r>
              <w:rPr>
                <w:rFonts w:hint="eastAsia" w:ascii="宋体;SimSun" w:hAnsi="宋体;SimSun" w:eastAsia="宋体" w:cs="宋体;SimSun"/>
                <w:color w:val="auto"/>
                <w:highlight w:val="none"/>
              </w:rPr>
              <w:t>基础上，拟投入本工程的施工员、质量员、材料员、专职安全生产管理人员、造价工程师总人数另外增加≥</w:t>
            </w:r>
            <w:r>
              <w:rPr>
                <w:rFonts w:hint="eastAsia" w:ascii="宋体;SimSun" w:hAnsi="宋体;SimSun" w:eastAsia="宋体" w:cs="宋体;SimSun"/>
                <w:color w:val="auto"/>
                <w:highlight w:val="none"/>
                <w:lang w:val="en-US" w:eastAsia="zh-CN"/>
              </w:rPr>
              <w:t>2</w:t>
            </w:r>
            <w:r>
              <w:rPr>
                <w:rFonts w:hint="eastAsia" w:ascii="宋体;SimSun" w:hAnsi="宋体;SimSun" w:eastAsia="宋体" w:cs="宋体;SimSun"/>
                <w:color w:val="auto"/>
                <w:highlight w:val="none"/>
              </w:rPr>
              <w:t>人；同时拟投入本工程的施工员、质量员、材料员、专职安全生产管理人员、造价工程师中有≥</w:t>
            </w:r>
            <w:r>
              <w:rPr>
                <w:rFonts w:hint="eastAsia" w:ascii="宋体;SimSun" w:hAnsi="宋体;SimSun" w:eastAsia="宋体" w:cs="宋体;SimSun"/>
                <w:color w:val="auto"/>
                <w:highlight w:val="none"/>
                <w:lang w:val="en-US" w:eastAsia="zh-CN"/>
              </w:rPr>
              <w:t>1</w:t>
            </w:r>
            <w:r>
              <w:rPr>
                <w:rFonts w:hint="eastAsia" w:ascii="宋体;SimSun" w:hAnsi="宋体;SimSun" w:eastAsia="宋体" w:cs="宋体;SimSun"/>
                <w:color w:val="auto"/>
                <w:highlight w:val="none"/>
              </w:rPr>
              <w:t>人具有</w:t>
            </w:r>
            <w:r>
              <w:rPr>
                <w:rFonts w:hint="eastAsia" w:ascii="宋体;SimSun" w:hAnsi="宋体;SimSun" w:eastAsia="宋体" w:cs="宋体;SimSun"/>
                <w:color w:val="auto"/>
                <w:highlight w:val="none"/>
                <w:lang w:eastAsia="zh-CN"/>
              </w:rPr>
              <w:t>初</w:t>
            </w:r>
            <w:r>
              <w:rPr>
                <w:rFonts w:hint="eastAsia" w:ascii="宋体;SimSun" w:hAnsi="宋体;SimSun" w:eastAsia="宋体" w:cs="宋体;SimSun"/>
                <w:color w:val="auto"/>
                <w:highlight w:val="none"/>
              </w:rPr>
              <w:t>级职称的；</w:t>
            </w:r>
          </w:p>
          <w:p w14:paraId="695E6575">
            <w:pPr>
              <w:widowControl/>
              <w:spacing w:line="360" w:lineRule="auto"/>
              <w:rPr>
                <w:rFonts w:hint="eastAsia" w:ascii="宋体;SimSun" w:hAnsi="宋体;SimSun" w:cs="宋体;SimSun"/>
                <w:color w:val="auto"/>
                <w:highlight w:val="none"/>
              </w:rPr>
            </w:pPr>
            <w:r>
              <w:rPr>
                <w:rFonts w:hint="eastAsia" w:ascii="宋体;SimSun" w:hAnsi="宋体;SimSun" w:cs="宋体;SimSun"/>
                <w:color w:val="auto"/>
                <w:highlight w:val="none"/>
                <w:lang w:val="en-US" w:eastAsia="zh-CN"/>
              </w:rPr>
              <w:t>四档</w:t>
            </w:r>
            <w:r>
              <w:rPr>
                <w:rFonts w:hint="eastAsia" w:ascii="宋体;SimSun" w:hAnsi="宋体;SimSun" w:cs="宋体;SimSun"/>
                <w:color w:val="auto"/>
                <w:highlight w:val="none"/>
              </w:rPr>
              <w:t>（</w:t>
            </w:r>
            <w:r>
              <w:rPr>
                <w:rFonts w:hint="eastAsia" w:ascii="宋体;SimSun" w:hAnsi="宋体;SimSun" w:cs="宋体;SimSun"/>
                <w:color w:val="auto"/>
                <w:highlight w:val="none"/>
                <w:lang w:val="en-US" w:eastAsia="zh-CN"/>
              </w:rPr>
              <w:t>2</w:t>
            </w:r>
            <w:r>
              <w:rPr>
                <w:rFonts w:hint="eastAsia" w:ascii="宋体;SimSun" w:hAnsi="宋体;SimSun" w:cs="宋体;SimSun"/>
                <w:color w:val="auto"/>
                <w:highlight w:val="none"/>
              </w:rPr>
              <w:t>分）：</w:t>
            </w:r>
            <w:r>
              <w:rPr>
                <w:rFonts w:hint="eastAsia" w:ascii="宋体;SimSun" w:hAnsi="宋体;SimSun" w:eastAsia="宋体" w:cs="宋体;SimSun"/>
                <w:color w:val="auto"/>
                <w:highlight w:val="none"/>
              </w:rPr>
              <w:t>在满足</w:t>
            </w:r>
            <w:r>
              <w:rPr>
                <w:rFonts w:hint="eastAsia" w:ascii="宋体;SimSun" w:hAnsi="宋体;SimSun" w:eastAsia="宋体" w:cs="宋体;SimSun"/>
                <w:color w:val="auto"/>
                <w:highlight w:val="none"/>
                <w:lang w:val="en-US" w:eastAsia="zh-CN"/>
              </w:rPr>
              <w:t>本项目资格要求</w:t>
            </w:r>
            <w:r>
              <w:rPr>
                <w:rFonts w:hint="eastAsia" w:ascii="宋体;SimSun" w:hAnsi="宋体;SimSun" w:eastAsia="宋体" w:cs="宋体;SimSun"/>
                <w:color w:val="auto"/>
                <w:highlight w:val="none"/>
              </w:rPr>
              <w:t>基础上</w:t>
            </w:r>
            <w:r>
              <w:rPr>
                <w:rFonts w:hint="eastAsia" w:ascii="宋体;SimSun" w:hAnsi="宋体;SimSun" w:cs="宋体;SimSun"/>
                <w:color w:val="auto"/>
                <w:highlight w:val="none"/>
              </w:rPr>
              <w:t>，拟投入本工程的施工员、质量员、材料员、专职安全生产管理人员、造价工程师总人数另外增加≥</w:t>
            </w:r>
            <w:r>
              <w:rPr>
                <w:rFonts w:hint="eastAsia" w:ascii="宋体;SimSun" w:hAnsi="宋体;SimSun" w:cs="宋体;SimSun"/>
                <w:color w:val="auto"/>
                <w:highlight w:val="none"/>
                <w:lang w:val="en-US" w:eastAsia="zh-CN"/>
              </w:rPr>
              <w:t>1</w:t>
            </w:r>
            <w:r>
              <w:rPr>
                <w:rFonts w:hint="eastAsia" w:ascii="宋体;SimSun" w:hAnsi="宋体;SimSun" w:cs="宋体;SimSun"/>
                <w:color w:val="auto"/>
                <w:highlight w:val="none"/>
              </w:rPr>
              <w:t>人；同时拟投入本工程的施工员、质量员、材料员、专职安全生产管理人员、造价工程师中有≥</w:t>
            </w:r>
            <w:r>
              <w:rPr>
                <w:rFonts w:hint="eastAsia" w:ascii="宋体;SimSun" w:hAnsi="宋体;SimSun" w:cs="宋体;SimSun"/>
                <w:color w:val="auto"/>
                <w:highlight w:val="none"/>
                <w:lang w:val="en-US" w:eastAsia="zh-CN"/>
              </w:rPr>
              <w:t>1</w:t>
            </w:r>
            <w:r>
              <w:rPr>
                <w:rFonts w:hint="eastAsia" w:ascii="宋体;SimSun" w:hAnsi="宋体;SimSun" w:cs="宋体;SimSun"/>
                <w:color w:val="auto"/>
                <w:highlight w:val="none"/>
              </w:rPr>
              <w:t>人具有</w:t>
            </w:r>
            <w:r>
              <w:rPr>
                <w:rFonts w:hint="eastAsia" w:ascii="宋体;SimSun" w:hAnsi="宋体;SimSun" w:cs="宋体;SimSun"/>
                <w:color w:val="auto"/>
                <w:highlight w:val="none"/>
                <w:lang w:eastAsia="zh-CN"/>
              </w:rPr>
              <w:t>初</w:t>
            </w:r>
            <w:r>
              <w:rPr>
                <w:rFonts w:hint="eastAsia" w:ascii="宋体;SimSun" w:hAnsi="宋体;SimSun" w:cs="宋体;SimSun"/>
                <w:color w:val="auto"/>
                <w:highlight w:val="none"/>
              </w:rPr>
              <w:t>级职称的；</w:t>
            </w:r>
          </w:p>
          <w:p w14:paraId="5B99165F">
            <w:pPr>
              <w:widowControl/>
              <w:spacing w:line="360" w:lineRule="auto"/>
              <w:rPr>
                <w:rFonts w:hint="eastAsia" w:ascii="宋体;SimSun" w:hAnsi="宋体;SimSun" w:cs="宋体;SimSun"/>
                <w:color w:val="auto"/>
                <w:highlight w:val="none"/>
              </w:rPr>
            </w:pPr>
            <w:r>
              <w:rPr>
                <w:rFonts w:hint="eastAsia" w:ascii="宋体;SimSun" w:hAnsi="宋体;SimSun" w:cs="宋体;SimSun"/>
                <w:color w:val="auto"/>
                <w:highlight w:val="none"/>
                <w:lang w:val="en-US" w:eastAsia="zh-CN"/>
              </w:rPr>
              <w:t>五档</w:t>
            </w:r>
            <w:r>
              <w:rPr>
                <w:rFonts w:hint="eastAsia" w:ascii="宋体;SimSun" w:hAnsi="宋体;SimSun" w:cs="宋体;SimSun"/>
                <w:color w:val="auto"/>
                <w:highlight w:val="none"/>
              </w:rPr>
              <w:t>（</w:t>
            </w:r>
            <w:r>
              <w:rPr>
                <w:rFonts w:hint="eastAsia" w:ascii="宋体;SimSun" w:hAnsi="宋体;SimSun" w:cs="宋体;SimSun"/>
                <w:color w:val="auto"/>
                <w:highlight w:val="none"/>
                <w:lang w:val="en-US" w:eastAsia="zh-CN"/>
              </w:rPr>
              <w:t>1</w:t>
            </w:r>
            <w:r>
              <w:rPr>
                <w:rFonts w:hint="eastAsia" w:ascii="宋体;SimSun" w:hAnsi="宋体;SimSun" w:cs="宋体;SimSun"/>
                <w:color w:val="auto"/>
                <w:highlight w:val="none"/>
              </w:rPr>
              <w:t>分）：人员配置仅满足本项目投标人资格要求，职称人数达不到上述</w:t>
            </w:r>
            <w:r>
              <w:rPr>
                <w:rFonts w:hint="eastAsia" w:ascii="宋体;SimSun" w:hAnsi="宋体;SimSun" w:cs="宋体;SimSun"/>
                <w:color w:val="auto"/>
                <w:highlight w:val="none"/>
                <w:lang w:val="en-US" w:eastAsia="zh-CN"/>
              </w:rPr>
              <w:t>一、二、三、四档</w:t>
            </w:r>
            <w:r>
              <w:rPr>
                <w:rFonts w:hint="eastAsia" w:ascii="宋体;SimSun" w:hAnsi="宋体;SimSun" w:cs="宋体;SimSun"/>
                <w:color w:val="auto"/>
                <w:highlight w:val="none"/>
              </w:rPr>
              <w:t>的。</w:t>
            </w:r>
          </w:p>
          <w:p w14:paraId="52AADD79">
            <w:pPr>
              <w:pStyle w:val="5"/>
              <w:rPr>
                <w:rFonts w:hint="eastAsia"/>
                <w:color w:val="auto"/>
                <w:highlight w:val="none"/>
              </w:rPr>
            </w:pPr>
            <w:r>
              <w:rPr>
                <w:rFonts w:hint="eastAsia"/>
                <w:color w:val="auto"/>
                <w:highlight w:val="none"/>
              </w:rPr>
              <w:t>注：</w:t>
            </w:r>
          </w:p>
          <w:p w14:paraId="3C6B9C57">
            <w:pPr>
              <w:pStyle w:val="5"/>
              <w:rPr>
                <w:rFonts w:hint="eastAsia"/>
                <w:color w:val="auto"/>
                <w:highlight w:val="none"/>
              </w:rPr>
            </w:pPr>
            <w:r>
              <w:rPr>
                <w:rFonts w:hint="eastAsia"/>
                <w:color w:val="auto"/>
                <w:highlight w:val="none"/>
              </w:rPr>
              <w:t>（1）投标人于投标文件中必须提供以下相应证明材料，否则相应不予计分。</w:t>
            </w:r>
          </w:p>
          <w:p w14:paraId="27EE2762">
            <w:pPr>
              <w:pStyle w:val="5"/>
              <w:rPr>
                <w:rFonts w:hint="eastAsia"/>
                <w:color w:val="auto"/>
                <w:highlight w:val="none"/>
              </w:rPr>
            </w:pPr>
            <w:r>
              <w:rPr>
                <w:rFonts w:hint="eastAsia"/>
                <w:color w:val="auto"/>
                <w:highlight w:val="none"/>
              </w:rPr>
              <w:t>①专职安全生产管理人员：附专职安全生产管理人员的专职安全员安全生产考核合格证书扫描件（C类）；</w:t>
            </w:r>
          </w:p>
          <w:p w14:paraId="3AEC217C">
            <w:pPr>
              <w:pStyle w:val="5"/>
              <w:rPr>
                <w:rFonts w:hint="eastAsia"/>
                <w:color w:val="auto"/>
                <w:highlight w:val="none"/>
              </w:rPr>
            </w:pPr>
            <w:r>
              <w:rPr>
                <w:rFonts w:hint="eastAsia"/>
                <w:color w:val="auto"/>
                <w:highlight w:val="none"/>
              </w:rPr>
              <w:t>②施工员、质量员、材料员：附施工员、质量员、材料员的职业培训合格证书扫描件；</w:t>
            </w:r>
            <w:r>
              <w:rPr>
                <w:color w:val="auto"/>
                <w:highlight w:val="none"/>
              </w:rPr>
              <w:t xml:space="preserve"> </w:t>
            </w:r>
          </w:p>
          <w:p w14:paraId="0074AEB4">
            <w:pPr>
              <w:pStyle w:val="5"/>
              <w:rPr>
                <w:rFonts w:hint="eastAsia"/>
                <w:color w:val="auto"/>
                <w:highlight w:val="none"/>
              </w:rPr>
            </w:pPr>
            <w:r>
              <w:rPr>
                <w:rFonts w:hint="eastAsia"/>
                <w:color w:val="auto"/>
                <w:highlight w:val="none"/>
              </w:rPr>
              <w:t>③造价工程师：附造价工程师的二级及以上造价工程师执业资格证书扫描件；</w:t>
            </w:r>
          </w:p>
          <w:p w14:paraId="6BFBED5F">
            <w:pPr>
              <w:pStyle w:val="5"/>
              <w:rPr>
                <w:rFonts w:hint="eastAsia"/>
                <w:color w:val="auto"/>
                <w:highlight w:val="none"/>
              </w:rPr>
            </w:pPr>
            <w:r>
              <w:rPr>
                <w:rFonts w:hint="eastAsia"/>
                <w:color w:val="auto"/>
                <w:highlight w:val="none"/>
              </w:rPr>
              <w:t>④附以上人员的身份证扫描件及</w:t>
            </w:r>
            <w:r>
              <w:rPr>
                <w:rFonts w:hint="eastAsia"/>
                <w:color w:val="auto"/>
                <w:highlight w:val="none"/>
                <w:lang w:val="en-US" w:eastAsia="zh-CN"/>
              </w:rPr>
              <w:t>2025年内任意一个月社会保险交纳证明材料或劳动合同</w:t>
            </w:r>
            <w:r>
              <w:rPr>
                <w:rFonts w:hint="eastAsia"/>
                <w:color w:val="auto"/>
                <w:highlight w:val="none"/>
              </w:rPr>
              <w:t>。</w:t>
            </w:r>
          </w:p>
          <w:p w14:paraId="5ECF3678">
            <w:pPr>
              <w:spacing w:line="400" w:lineRule="exact"/>
              <w:ind w:left="0" w:leftChars="0" w:right="0" w:rightChars="0"/>
              <w:rPr>
                <w:rFonts w:hint="eastAsia" w:ascii="宋体" w:hAnsi="Courier New"/>
                <w:color w:val="auto"/>
                <w:kern w:val="0"/>
                <w:highlight w:val="none"/>
              </w:rPr>
            </w:pPr>
            <w:r>
              <w:rPr>
                <w:rFonts w:hint="eastAsia"/>
                <w:color w:val="auto"/>
                <w:highlight w:val="none"/>
              </w:rPr>
              <w:t>（2）分值入高不入低，不重复计分</w:t>
            </w:r>
          </w:p>
        </w:tc>
      </w:tr>
      <w:tr w14:paraId="1AD3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0" w:hRule="atLeast"/>
        </w:trPr>
        <w:tc>
          <w:tcPr>
            <w:tcW w:w="850" w:type="dxa"/>
            <w:vMerge w:val="continue"/>
            <w:tcBorders>
              <w:left w:val="single" w:color="000000" w:sz="4" w:space="0"/>
              <w:right w:val="single" w:color="000000" w:sz="4" w:space="0"/>
            </w:tcBorders>
            <w:noWrap w:val="0"/>
            <w:vAlign w:val="center"/>
          </w:tcPr>
          <w:p w14:paraId="2A9277F4">
            <w:pPr>
              <w:widowControl/>
              <w:spacing w:line="360" w:lineRule="exact"/>
              <w:ind w:left="0" w:leftChars="0" w:right="0" w:rightChars="0"/>
              <w:jc w:val="center"/>
              <w:rPr>
                <w:rFonts w:ascii="宋体" w:hAnsi="宋体"/>
                <w:b/>
                <w:color w:val="auto"/>
                <w:kern w:val="0"/>
                <w:szCs w:val="21"/>
                <w:highlight w:val="none"/>
              </w:rPr>
            </w:pPr>
          </w:p>
        </w:tc>
        <w:tc>
          <w:tcPr>
            <w:tcW w:w="850" w:type="dxa"/>
            <w:vMerge w:val="continue"/>
            <w:tcBorders>
              <w:left w:val="single" w:color="000000" w:sz="4" w:space="0"/>
              <w:right w:val="single" w:color="auto" w:sz="4" w:space="0"/>
            </w:tcBorders>
            <w:noWrap w:val="0"/>
            <w:vAlign w:val="center"/>
          </w:tcPr>
          <w:p w14:paraId="1EEC6C37">
            <w:pPr>
              <w:widowControl/>
              <w:spacing w:line="360" w:lineRule="exact"/>
              <w:ind w:left="0" w:leftChars="0" w:right="0" w:rightChars="0"/>
              <w:jc w:val="center"/>
              <w:rPr>
                <w:rFonts w:ascii="宋体" w:hAnsi="宋体"/>
                <w:b/>
                <w:color w:val="auto"/>
                <w:kern w:val="0"/>
                <w:szCs w:val="21"/>
                <w:highlight w:val="none"/>
              </w:rPr>
            </w:pPr>
          </w:p>
        </w:tc>
        <w:tc>
          <w:tcPr>
            <w:tcW w:w="993" w:type="dxa"/>
            <w:vMerge w:val="restart"/>
            <w:tcBorders>
              <w:left w:val="single" w:color="000000" w:sz="4" w:space="0"/>
              <w:right w:val="single" w:color="000000" w:sz="4" w:space="0"/>
            </w:tcBorders>
            <w:noWrap w:val="0"/>
            <w:vAlign w:val="center"/>
          </w:tcPr>
          <w:p w14:paraId="3EB63D42">
            <w:pPr>
              <w:spacing w:line="360" w:lineRule="exact"/>
              <w:ind w:left="0" w:leftChars="0" w:right="0" w:rightChars="0"/>
              <w:jc w:val="center"/>
              <w:rPr>
                <w:rFonts w:ascii="宋体" w:hAnsi="宋体"/>
                <w:b/>
                <w:bCs/>
                <w:color w:val="auto"/>
                <w:szCs w:val="21"/>
                <w:highlight w:val="none"/>
              </w:rPr>
            </w:pPr>
            <w:r>
              <w:rPr>
                <w:rFonts w:hint="eastAsia" w:ascii="宋体" w:hAnsi="宋体"/>
                <w:b/>
                <w:bCs/>
                <w:color w:val="auto"/>
                <w:szCs w:val="21"/>
                <w:highlight w:val="none"/>
              </w:rPr>
              <w:t>施工组织设计分（</w:t>
            </w:r>
            <w:r>
              <w:rPr>
                <w:rFonts w:hint="eastAsia"/>
                <w:b/>
                <w:bCs/>
                <w:color w:val="auto"/>
                <w:szCs w:val="21"/>
                <w:highlight w:val="none"/>
                <w:lang w:val="en-US" w:eastAsia="zh-CN"/>
              </w:rPr>
              <w:t>4</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分）</w:t>
            </w:r>
          </w:p>
        </w:tc>
        <w:tc>
          <w:tcPr>
            <w:tcW w:w="1420" w:type="dxa"/>
            <w:tcBorders>
              <w:left w:val="single" w:color="000000" w:sz="4" w:space="0"/>
              <w:right w:val="single" w:color="000000" w:sz="4" w:space="0"/>
            </w:tcBorders>
            <w:noWrap w:val="0"/>
            <w:vAlign w:val="center"/>
          </w:tcPr>
          <w:p w14:paraId="60CAE16F">
            <w:pPr>
              <w:spacing w:line="360" w:lineRule="exact"/>
              <w:ind w:left="0" w:leftChars="0" w:right="0" w:rightChars="0"/>
              <w:jc w:val="center"/>
              <w:rPr>
                <w:rFonts w:ascii="宋体" w:hAnsi="宋体"/>
                <w:b/>
                <w:color w:val="auto"/>
                <w:szCs w:val="21"/>
                <w:highlight w:val="none"/>
              </w:rPr>
            </w:pPr>
            <w:r>
              <w:rPr>
                <w:rFonts w:hint="eastAsia" w:ascii="宋体" w:hAnsi="宋体"/>
                <w:b/>
                <w:bCs/>
                <w:color w:val="auto"/>
                <w:szCs w:val="21"/>
                <w:highlight w:val="none"/>
              </w:rPr>
              <w:t>1.总体概述</w:t>
            </w:r>
            <w:r>
              <w:rPr>
                <w:rFonts w:ascii="宋体" w:hAnsi="宋体"/>
                <w:b/>
                <w:color w:val="auto"/>
                <w:kern w:val="0"/>
                <w:szCs w:val="21"/>
                <w:highlight w:val="none"/>
              </w:rPr>
              <w:t>（</w:t>
            </w:r>
            <w:r>
              <w:rPr>
                <w:rFonts w:hint="eastAsia"/>
                <w:b/>
                <w:color w:val="auto"/>
                <w:kern w:val="0"/>
                <w:szCs w:val="21"/>
                <w:highlight w:val="none"/>
                <w:lang w:val="en-US" w:eastAsia="zh-CN"/>
              </w:rPr>
              <w:t>5</w:t>
            </w:r>
            <w:r>
              <w:rPr>
                <w:rFonts w:hint="eastAsia" w:ascii="宋体" w:hAnsi="宋体"/>
                <w:b/>
                <w:color w:val="auto"/>
                <w:kern w:val="0"/>
                <w:szCs w:val="21"/>
                <w:highlight w:val="none"/>
              </w:rPr>
              <w:t>分</w:t>
            </w:r>
            <w:r>
              <w:rPr>
                <w:rFonts w:ascii="宋体" w:hAnsi="宋体"/>
                <w:b/>
                <w:color w:val="auto"/>
                <w:kern w:val="0"/>
                <w:szCs w:val="21"/>
                <w:highlight w:val="none"/>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7AC877A7">
            <w:pPr>
              <w:widowControl/>
              <w:spacing w:line="360" w:lineRule="exact"/>
              <w:rPr>
                <w:rFonts w:ascii="宋体" w:hAnsi="宋体" w:cs="宋体"/>
                <w:color w:val="auto"/>
                <w:szCs w:val="21"/>
                <w:highlight w:val="none"/>
              </w:rPr>
            </w:pPr>
            <w:r>
              <w:rPr>
                <w:rFonts w:hint="eastAsia" w:ascii="宋体" w:hAnsi="宋体"/>
                <w:color w:val="auto"/>
                <w:szCs w:val="21"/>
                <w:highlight w:val="none"/>
                <w:lang w:val="en-US" w:eastAsia="zh-CN"/>
              </w:rPr>
              <w:t>一档</w:t>
            </w:r>
            <w:r>
              <w:rPr>
                <w:rFonts w:hint="eastAsia" w:ascii="宋体" w:hAnsi="宋体"/>
                <w:color w:val="auto"/>
                <w:szCs w:val="21"/>
                <w:highlight w:val="none"/>
              </w:rPr>
              <w:t>（</w:t>
            </w:r>
            <w:r>
              <w:rPr>
                <w:rFonts w:hint="eastAsia"/>
                <w:color w:val="auto"/>
                <w:szCs w:val="21"/>
                <w:highlight w:val="none"/>
                <w:lang w:val="en-US" w:eastAsia="zh-CN"/>
              </w:rPr>
              <w:t>5</w:t>
            </w:r>
            <w:r>
              <w:rPr>
                <w:rFonts w:ascii="宋体" w:hAnsi="宋体" w:cs="宋体"/>
                <w:color w:val="auto"/>
                <w:szCs w:val="21"/>
                <w:highlight w:val="none"/>
              </w:rPr>
              <w:t>分</w:t>
            </w:r>
            <w:r>
              <w:rPr>
                <w:rFonts w:hint="eastAsia" w:ascii="宋体" w:hAnsi="宋体"/>
                <w:color w:val="auto"/>
                <w:szCs w:val="21"/>
                <w:highlight w:val="none"/>
              </w:rPr>
              <w:t>）：对项目总体有深刻认识，表达清晰、完整、严谨、合理，措施先进、具体、有效、成熟；施工段划分清晰、合理，符合规范要求。</w:t>
            </w:r>
          </w:p>
          <w:p w14:paraId="76E75429">
            <w:pPr>
              <w:widowControl/>
              <w:spacing w:line="360" w:lineRule="exact"/>
              <w:rPr>
                <w:rFonts w:ascii="宋体" w:hAnsi="宋体" w:cs="宋体"/>
                <w:color w:val="auto"/>
                <w:szCs w:val="21"/>
                <w:highlight w:val="none"/>
              </w:rPr>
            </w:pPr>
            <w:r>
              <w:rPr>
                <w:rFonts w:hint="eastAsia" w:ascii="宋体" w:hAnsi="宋体"/>
                <w:color w:val="auto"/>
                <w:szCs w:val="21"/>
                <w:highlight w:val="none"/>
                <w:lang w:val="en-US" w:eastAsia="zh-CN"/>
              </w:rPr>
              <w:t>二档</w:t>
            </w:r>
            <w:r>
              <w:rPr>
                <w:rFonts w:hint="eastAsia" w:ascii="宋体" w:hAnsi="宋体"/>
                <w:color w:val="auto"/>
                <w:szCs w:val="21"/>
                <w:highlight w:val="none"/>
              </w:rPr>
              <w:t>（</w:t>
            </w:r>
            <w:r>
              <w:rPr>
                <w:rFonts w:hint="eastAsia"/>
                <w:color w:val="auto"/>
                <w:highlight w:val="none"/>
                <w:lang w:val="en-US" w:eastAsia="zh-CN"/>
              </w:rPr>
              <w:t>3</w:t>
            </w:r>
            <w:r>
              <w:rPr>
                <w:rFonts w:ascii="宋体" w:hAnsi="宋体" w:cs="宋体"/>
                <w:color w:val="auto"/>
                <w:szCs w:val="21"/>
                <w:highlight w:val="none"/>
              </w:rPr>
              <w:t>分</w:t>
            </w:r>
            <w:r>
              <w:rPr>
                <w:rFonts w:hint="eastAsia" w:ascii="宋体" w:hAnsi="宋体"/>
                <w:color w:val="auto"/>
                <w:szCs w:val="21"/>
                <w:highlight w:val="none"/>
              </w:rPr>
              <w:t>）：对项目总体有一定认识，表达较清晰、较完整，措施有效；施工段划分较清晰，符合规范要求。</w:t>
            </w:r>
          </w:p>
          <w:p w14:paraId="632CD836">
            <w:pPr>
              <w:widowControl/>
              <w:spacing w:line="360" w:lineRule="exact"/>
              <w:rPr>
                <w:rFonts w:ascii="宋体" w:hAnsi="宋体" w:cs="宋体"/>
                <w:color w:val="auto"/>
                <w:szCs w:val="21"/>
                <w:highlight w:val="none"/>
              </w:rPr>
            </w:pPr>
            <w:r>
              <w:rPr>
                <w:rFonts w:hint="eastAsia" w:ascii="宋体" w:hAnsi="宋体"/>
                <w:color w:val="auto"/>
                <w:szCs w:val="21"/>
                <w:highlight w:val="none"/>
                <w:lang w:val="en-US" w:eastAsia="zh-CN"/>
              </w:rPr>
              <w:t>三档</w:t>
            </w:r>
            <w:r>
              <w:rPr>
                <w:rFonts w:hint="eastAsia" w:ascii="宋体" w:hAnsi="宋体"/>
                <w:color w:val="auto"/>
                <w:szCs w:val="21"/>
                <w:highlight w:val="none"/>
              </w:rPr>
              <w:t>（</w:t>
            </w:r>
            <w:r>
              <w:rPr>
                <w:rFonts w:hint="eastAsia"/>
                <w:color w:val="auto"/>
                <w:highlight w:val="none"/>
                <w:lang w:val="en-US" w:eastAsia="zh-CN"/>
              </w:rPr>
              <w:t>1</w:t>
            </w:r>
            <w:r>
              <w:rPr>
                <w:rFonts w:ascii="宋体" w:hAnsi="宋体" w:cs="宋体"/>
                <w:color w:val="auto"/>
                <w:szCs w:val="21"/>
                <w:highlight w:val="none"/>
              </w:rPr>
              <w:t>分</w:t>
            </w:r>
            <w:r>
              <w:rPr>
                <w:rFonts w:hint="eastAsia" w:ascii="宋体" w:hAnsi="宋体"/>
                <w:color w:val="auto"/>
                <w:szCs w:val="21"/>
                <w:highlight w:val="none"/>
              </w:rPr>
              <w:t>）：对项目总体有认识，有一定的措施但部分不具体；施工段划分较合理，符合规范要求。</w:t>
            </w:r>
          </w:p>
          <w:p w14:paraId="5D4B290B">
            <w:pPr>
              <w:widowControl/>
              <w:spacing w:line="36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lang w:val="en-US" w:eastAsia="zh-CN"/>
              </w:rPr>
              <w:t>四档</w:t>
            </w:r>
            <w:r>
              <w:rPr>
                <w:rFonts w:hint="eastAsia" w:ascii="宋体" w:hAnsi="宋体"/>
                <w:color w:val="auto"/>
                <w:szCs w:val="21"/>
                <w:highlight w:val="none"/>
              </w:rPr>
              <w:t>（</w:t>
            </w:r>
            <w:r>
              <w:rPr>
                <w:rFonts w:hint="eastAsia"/>
                <w:color w:val="auto"/>
                <w:szCs w:val="21"/>
                <w:highlight w:val="none"/>
                <w:lang w:val="en-US" w:eastAsia="zh-CN"/>
              </w:rPr>
              <w:t>0</w:t>
            </w:r>
            <w:r>
              <w:rPr>
                <w:rFonts w:hint="eastAsia" w:ascii="宋体" w:hAnsi="宋体"/>
                <w:color w:val="auto"/>
                <w:szCs w:val="21"/>
                <w:highlight w:val="none"/>
              </w:rPr>
              <w:t>分）</w:t>
            </w:r>
            <w:r>
              <w:rPr>
                <w:rFonts w:ascii="宋体" w:hAnsi="宋体" w:cs="宋体"/>
                <w:color w:val="auto"/>
                <w:szCs w:val="21"/>
                <w:highlight w:val="none"/>
              </w:rPr>
              <w:t>：对项目认识不足，表达不清晰，措施不具体；施工段划分不合理。</w:t>
            </w:r>
          </w:p>
        </w:tc>
      </w:tr>
      <w:tr w14:paraId="741D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left w:val="single" w:color="000000" w:sz="4" w:space="0"/>
              <w:right w:val="single" w:color="000000" w:sz="4" w:space="0"/>
            </w:tcBorders>
            <w:noWrap w:val="0"/>
            <w:vAlign w:val="center"/>
          </w:tcPr>
          <w:p w14:paraId="1E1E856A">
            <w:pPr>
              <w:widowControl/>
              <w:spacing w:line="360" w:lineRule="exact"/>
              <w:ind w:left="0" w:leftChars="0" w:right="0" w:rightChars="0"/>
              <w:jc w:val="center"/>
              <w:rPr>
                <w:rFonts w:ascii="宋体" w:hAnsi="宋体"/>
                <w:b/>
                <w:color w:val="auto"/>
                <w:kern w:val="0"/>
                <w:szCs w:val="21"/>
                <w:highlight w:val="none"/>
              </w:rPr>
            </w:pPr>
          </w:p>
        </w:tc>
        <w:tc>
          <w:tcPr>
            <w:tcW w:w="850" w:type="dxa"/>
            <w:vMerge w:val="continue"/>
            <w:tcBorders>
              <w:left w:val="single" w:color="000000" w:sz="4" w:space="0"/>
              <w:right w:val="single" w:color="auto" w:sz="4" w:space="0"/>
            </w:tcBorders>
            <w:noWrap w:val="0"/>
            <w:vAlign w:val="center"/>
          </w:tcPr>
          <w:p w14:paraId="60FDF5ED">
            <w:pPr>
              <w:widowControl/>
              <w:spacing w:line="360" w:lineRule="exact"/>
              <w:ind w:left="0" w:leftChars="0" w:right="0" w:rightChars="0"/>
              <w:jc w:val="left"/>
              <w:rPr>
                <w:rFonts w:ascii="宋体" w:hAnsi="宋体"/>
                <w:b/>
                <w:color w:val="auto"/>
                <w:kern w:val="0"/>
                <w:szCs w:val="21"/>
                <w:highlight w:val="none"/>
              </w:rPr>
            </w:pPr>
          </w:p>
        </w:tc>
        <w:tc>
          <w:tcPr>
            <w:tcW w:w="993" w:type="dxa"/>
            <w:vMerge w:val="continue"/>
            <w:tcBorders>
              <w:left w:val="single" w:color="000000" w:sz="4" w:space="0"/>
              <w:right w:val="single" w:color="000000" w:sz="4" w:space="0"/>
            </w:tcBorders>
            <w:noWrap w:val="0"/>
            <w:vAlign w:val="top"/>
          </w:tcPr>
          <w:p w14:paraId="4167A539">
            <w:pPr>
              <w:spacing w:line="360" w:lineRule="exact"/>
              <w:ind w:left="0" w:leftChars="0" w:right="0" w:rightChars="0"/>
              <w:jc w:val="center"/>
              <w:rPr>
                <w:rFonts w:ascii="宋体" w:hAnsi="宋体"/>
                <w:b/>
                <w:bCs/>
                <w:color w:val="auto"/>
                <w:szCs w:val="21"/>
                <w:highlight w:val="none"/>
              </w:rPr>
            </w:pPr>
          </w:p>
        </w:tc>
        <w:tc>
          <w:tcPr>
            <w:tcW w:w="1420" w:type="dxa"/>
            <w:tcBorders>
              <w:left w:val="single" w:color="000000" w:sz="4" w:space="0"/>
              <w:right w:val="single" w:color="000000" w:sz="4" w:space="0"/>
            </w:tcBorders>
            <w:noWrap w:val="0"/>
            <w:vAlign w:val="center"/>
          </w:tcPr>
          <w:p w14:paraId="7FA9E675">
            <w:pPr>
              <w:spacing w:line="360" w:lineRule="exact"/>
              <w:ind w:left="0" w:leftChars="0" w:right="0" w:rightChars="0"/>
              <w:jc w:val="center"/>
              <w:rPr>
                <w:rFonts w:ascii="宋体" w:hAnsi="宋体"/>
                <w:b/>
                <w:color w:val="auto"/>
                <w:szCs w:val="21"/>
                <w:highlight w:val="none"/>
              </w:rPr>
            </w:pPr>
            <w:r>
              <w:rPr>
                <w:rFonts w:hint="eastAsia"/>
                <w:b/>
                <w:bCs/>
                <w:color w:val="auto"/>
                <w:szCs w:val="21"/>
                <w:highlight w:val="none"/>
                <w:lang w:val="en-US" w:eastAsia="zh-CN"/>
              </w:rPr>
              <w:t>2</w:t>
            </w:r>
            <w:r>
              <w:rPr>
                <w:rFonts w:hint="eastAsia" w:ascii="宋体" w:hAnsi="宋体"/>
                <w:b/>
                <w:bCs/>
                <w:color w:val="auto"/>
                <w:szCs w:val="21"/>
                <w:highlight w:val="none"/>
              </w:rPr>
              <w:t>.劳动力和材料投入计划及其保证措施</w:t>
            </w:r>
            <w:r>
              <w:rPr>
                <w:rFonts w:ascii="宋体" w:hAnsi="宋体"/>
                <w:b/>
                <w:color w:val="auto"/>
                <w:kern w:val="0"/>
                <w:szCs w:val="21"/>
                <w:highlight w:val="none"/>
              </w:rPr>
              <w:t>（</w:t>
            </w:r>
            <w:r>
              <w:rPr>
                <w:rFonts w:hint="eastAsia"/>
                <w:b/>
                <w:color w:val="auto"/>
                <w:kern w:val="0"/>
                <w:szCs w:val="21"/>
                <w:highlight w:val="none"/>
                <w:lang w:val="en-US" w:eastAsia="zh-CN"/>
              </w:rPr>
              <w:t>20</w:t>
            </w:r>
            <w:r>
              <w:rPr>
                <w:rFonts w:hint="eastAsia" w:ascii="宋体" w:hAnsi="宋体"/>
                <w:b/>
                <w:color w:val="auto"/>
                <w:kern w:val="0"/>
                <w:szCs w:val="21"/>
                <w:highlight w:val="none"/>
              </w:rPr>
              <w:t>分</w:t>
            </w:r>
            <w:r>
              <w:rPr>
                <w:rFonts w:ascii="宋体" w:hAnsi="宋体"/>
                <w:b/>
                <w:color w:val="auto"/>
                <w:kern w:val="0"/>
                <w:szCs w:val="21"/>
                <w:highlight w:val="none"/>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264286B">
            <w:pPr>
              <w:widowControl/>
              <w:spacing w:line="360" w:lineRule="exact"/>
              <w:ind w:left="0" w:leftChars="0" w:right="0" w:rightChars="0"/>
              <w:rPr>
                <w:rFonts w:hint="default" w:ascii="宋体" w:hAnsi="宋体"/>
                <w:b w:val="0"/>
                <w:bCs w:val="0"/>
                <w:color w:val="auto"/>
                <w:kern w:val="0"/>
                <w:szCs w:val="21"/>
                <w:highlight w:val="none"/>
                <w:lang w:eastAsia="zh-CN"/>
              </w:rPr>
            </w:pPr>
            <w:r>
              <w:rPr>
                <w:rFonts w:hint="default" w:ascii="宋体" w:hAnsi="宋体"/>
                <w:b w:val="0"/>
                <w:bCs w:val="0"/>
                <w:color w:val="auto"/>
                <w:kern w:val="0"/>
                <w:szCs w:val="21"/>
                <w:highlight w:val="none"/>
                <w:lang w:val="en-US" w:eastAsia="zh-CN"/>
              </w:rPr>
              <w:t>一档</w:t>
            </w:r>
            <w:r>
              <w:rPr>
                <w:rFonts w:hint="default"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20</w:t>
            </w:r>
            <w:r>
              <w:rPr>
                <w:rFonts w:hint="default" w:ascii="宋体" w:hAnsi="宋体"/>
                <w:b w:val="0"/>
                <w:bCs w:val="0"/>
                <w:color w:val="auto"/>
                <w:kern w:val="0"/>
                <w:szCs w:val="21"/>
                <w:highlight w:val="none"/>
              </w:rPr>
              <w:t>分）：各主要施工工序有非常详细周密的劳动力安排计划，有非常详细周密的各工种劳动力安排计划，劳动力投入科学合理，完全满足施工需要。</w:t>
            </w:r>
          </w:p>
          <w:p w14:paraId="3D0D76E3">
            <w:pPr>
              <w:widowControl/>
              <w:spacing w:line="360" w:lineRule="exact"/>
              <w:ind w:left="0" w:leftChars="0" w:right="0" w:rightChars="0"/>
              <w:rPr>
                <w:rFonts w:hint="default" w:ascii="宋体" w:hAnsi="宋体"/>
                <w:b w:val="0"/>
                <w:bCs w:val="0"/>
                <w:color w:val="auto"/>
                <w:kern w:val="0"/>
                <w:szCs w:val="21"/>
                <w:highlight w:val="none"/>
                <w:lang w:eastAsia="zh-CN"/>
              </w:rPr>
            </w:pPr>
            <w:r>
              <w:rPr>
                <w:rFonts w:hint="default" w:ascii="宋体" w:hAnsi="宋体"/>
                <w:b w:val="0"/>
                <w:bCs w:val="0"/>
                <w:color w:val="auto"/>
                <w:kern w:val="0"/>
                <w:szCs w:val="21"/>
                <w:highlight w:val="none"/>
                <w:lang w:val="en-US" w:eastAsia="zh-CN"/>
              </w:rPr>
              <w:t>二档</w:t>
            </w:r>
            <w:r>
              <w:rPr>
                <w:rFonts w:hint="default"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12</w:t>
            </w:r>
            <w:r>
              <w:rPr>
                <w:rFonts w:hint="default" w:ascii="宋体" w:hAnsi="宋体"/>
                <w:b w:val="0"/>
                <w:bCs w:val="0"/>
                <w:color w:val="auto"/>
                <w:kern w:val="0"/>
                <w:szCs w:val="21"/>
                <w:highlight w:val="none"/>
              </w:rPr>
              <w:t>分）：各主要施工工序有较详细周密劳动力安排计划，有较详细周密的各工种劳动力安排计划，劳动力投入合理，基本满足施工需要。</w:t>
            </w:r>
          </w:p>
          <w:p w14:paraId="0030DD01">
            <w:pPr>
              <w:widowControl/>
              <w:spacing w:line="360" w:lineRule="exact"/>
              <w:ind w:left="0" w:leftChars="0" w:right="0" w:rightChars="0"/>
              <w:rPr>
                <w:rFonts w:hint="default" w:ascii="宋体" w:hAnsi="宋体"/>
                <w:b w:val="0"/>
                <w:bCs w:val="0"/>
                <w:color w:val="auto"/>
                <w:kern w:val="0"/>
                <w:szCs w:val="21"/>
                <w:highlight w:val="none"/>
                <w:lang w:eastAsia="zh-CN"/>
              </w:rPr>
            </w:pPr>
            <w:r>
              <w:rPr>
                <w:rFonts w:hint="default" w:ascii="宋体" w:hAnsi="宋体"/>
                <w:b w:val="0"/>
                <w:bCs w:val="0"/>
                <w:color w:val="auto"/>
                <w:kern w:val="0"/>
                <w:szCs w:val="21"/>
                <w:highlight w:val="none"/>
                <w:lang w:val="en-US" w:eastAsia="zh-CN"/>
              </w:rPr>
              <w:t>三档</w:t>
            </w:r>
            <w:r>
              <w:rPr>
                <w:rFonts w:hint="default"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6</w:t>
            </w:r>
            <w:r>
              <w:rPr>
                <w:rFonts w:hint="default" w:ascii="宋体" w:hAnsi="宋体"/>
                <w:b w:val="0"/>
                <w:bCs w:val="0"/>
                <w:color w:val="auto"/>
                <w:kern w:val="0"/>
                <w:szCs w:val="21"/>
                <w:highlight w:val="none"/>
              </w:rPr>
              <w:t>分）：各主要施工工序有劳动力安排计划，有各工种劳动力安排计划，劳动力投入基本合理，基本满足施工需要。</w:t>
            </w:r>
          </w:p>
          <w:p w14:paraId="6E1A7BD3">
            <w:pPr>
              <w:widowControl/>
              <w:spacing w:line="360" w:lineRule="exact"/>
              <w:ind w:left="0" w:leftChars="0" w:right="0" w:rightChars="0"/>
              <w:rPr>
                <w:rFonts w:ascii="宋体" w:hAnsi="宋体"/>
                <w:b/>
                <w:bCs/>
                <w:color w:val="auto"/>
                <w:kern w:val="0"/>
                <w:szCs w:val="21"/>
                <w:highlight w:val="none"/>
              </w:rPr>
            </w:pPr>
            <w:r>
              <w:rPr>
                <w:rFonts w:hint="default" w:ascii="宋体" w:hAnsi="宋体"/>
                <w:b w:val="0"/>
                <w:bCs w:val="0"/>
                <w:color w:val="auto"/>
                <w:kern w:val="0"/>
                <w:szCs w:val="21"/>
                <w:highlight w:val="none"/>
                <w:lang w:val="en-US" w:eastAsia="zh-CN"/>
              </w:rPr>
              <w:t>四档</w:t>
            </w:r>
            <w:r>
              <w:rPr>
                <w:rFonts w:hint="default" w:ascii="宋体" w:hAnsi="宋体"/>
                <w:b w:val="0"/>
                <w:bCs w:val="0"/>
                <w:color w:val="auto"/>
                <w:kern w:val="0"/>
                <w:szCs w:val="21"/>
                <w:highlight w:val="none"/>
              </w:rPr>
              <w:t>（0分）：各主要施工工序无劳动力安排计划，无各工种劳动力安排计划，劳动力投入不合理，不能满足施工需要。</w:t>
            </w:r>
          </w:p>
        </w:tc>
      </w:tr>
      <w:tr w14:paraId="37C1F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left w:val="single" w:color="000000" w:sz="4" w:space="0"/>
              <w:right w:val="single" w:color="000000" w:sz="4" w:space="0"/>
            </w:tcBorders>
            <w:noWrap w:val="0"/>
            <w:vAlign w:val="center"/>
          </w:tcPr>
          <w:p w14:paraId="46B8289D">
            <w:pPr>
              <w:widowControl/>
              <w:spacing w:line="360" w:lineRule="exact"/>
              <w:ind w:left="0" w:leftChars="0" w:right="0" w:rightChars="0"/>
              <w:jc w:val="center"/>
              <w:rPr>
                <w:rFonts w:ascii="宋体" w:hAnsi="宋体"/>
                <w:b/>
                <w:color w:val="auto"/>
                <w:kern w:val="0"/>
                <w:szCs w:val="21"/>
                <w:highlight w:val="none"/>
              </w:rPr>
            </w:pPr>
          </w:p>
        </w:tc>
        <w:tc>
          <w:tcPr>
            <w:tcW w:w="850" w:type="dxa"/>
            <w:vMerge w:val="continue"/>
            <w:tcBorders>
              <w:left w:val="single" w:color="000000" w:sz="4" w:space="0"/>
              <w:right w:val="single" w:color="auto" w:sz="4" w:space="0"/>
            </w:tcBorders>
            <w:noWrap w:val="0"/>
            <w:vAlign w:val="center"/>
          </w:tcPr>
          <w:p w14:paraId="7E9D365E">
            <w:pPr>
              <w:widowControl/>
              <w:spacing w:line="360" w:lineRule="exact"/>
              <w:ind w:left="0" w:leftChars="0" w:right="0" w:rightChars="0"/>
              <w:jc w:val="left"/>
              <w:rPr>
                <w:rFonts w:ascii="宋体" w:hAnsi="宋体"/>
                <w:b/>
                <w:color w:val="auto"/>
                <w:kern w:val="0"/>
                <w:szCs w:val="21"/>
                <w:highlight w:val="none"/>
              </w:rPr>
            </w:pPr>
          </w:p>
        </w:tc>
        <w:tc>
          <w:tcPr>
            <w:tcW w:w="993" w:type="dxa"/>
            <w:vMerge w:val="continue"/>
            <w:tcBorders>
              <w:left w:val="single" w:color="000000" w:sz="4" w:space="0"/>
              <w:right w:val="single" w:color="000000" w:sz="4" w:space="0"/>
            </w:tcBorders>
            <w:noWrap w:val="0"/>
            <w:vAlign w:val="top"/>
          </w:tcPr>
          <w:p w14:paraId="796927E5">
            <w:pPr>
              <w:spacing w:line="360" w:lineRule="exact"/>
              <w:ind w:left="0" w:leftChars="0" w:right="0" w:rightChars="0"/>
              <w:jc w:val="center"/>
              <w:rPr>
                <w:rFonts w:ascii="宋体" w:hAnsi="宋体"/>
                <w:b/>
                <w:bCs/>
                <w:color w:val="auto"/>
                <w:szCs w:val="21"/>
                <w:highlight w:val="none"/>
              </w:rPr>
            </w:pPr>
          </w:p>
        </w:tc>
        <w:tc>
          <w:tcPr>
            <w:tcW w:w="1420" w:type="dxa"/>
            <w:tcBorders>
              <w:left w:val="single" w:color="000000" w:sz="4" w:space="0"/>
              <w:right w:val="single" w:color="000000" w:sz="4" w:space="0"/>
            </w:tcBorders>
            <w:noWrap w:val="0"/>
            <w:vAlign w:val="center"/>
          </w:tcPr>
          <w:p w14:paraId="627B44D3">
            <w:pPr>
              <w:spacing w:line="360" w:lineRule="exact"/>
              <w:ind w:left="0" w:leftChars="0" w:right="0" w:rightChars="0"/>
              <w:jc w:val="center"/>
              <w:rPr>
                <w:rFonts w:ascii="宋体" w:hAnsi="宋体"/>
                <w:b/>
                <w:color w:val="auto"/>
                <w:szCs w:val="21"/>
                <w:highlight w:val="none"/>
              </w:rPr>
            </w:pPr>
            <w:r>
              <w:rPr>
                <w:rFonts w:hint="eastAsia"/>
                <w:b/>
                <w:bCs/>
                <w:color w:val="auto"/>
                <w:szCs w:val="21"/>
                <w:highlight w:val="none"/>
                <w:lang w:val="en-US" w:eastAsia="zh-CN"/>
              </w:rPr>
              <w:t>3</w:t>
            </w:r>
            <w:r>
              <w:rPr>
                <w:rFonts w:hint="eastAsia" w:ascii="宋体" w:hAnsi="宋体"/>
                <w:b/>
                <w:bCs/>
                <w:color w:val="auto"/>
                <w:szCs w:val="21"/>
                <w:highlight w:val="none"/>
              </w:rPr>
              <w:t>.关键施工技术、工艺及工程实施的重点、难点和解决方案</w:t>
            </w:r>
            <w:r>
              <w:rPr>
                <w:rFonts w:ascii="宋体" w:hAnsi="宋体"/>
                <w:b/>
                <w:color w:val="auto"/>
                <w:kern w:val="0"/>
                <w:szCs w:val="21"/>
                <w:highlight w:val="none"/>
              </w:rPr>
              <w:t>（</w:t>
            </w:r>
            <w:r>
              <w:rPr>
                <w:rFonts w:hint="eastAsia"/>
                <w:b/>
                <w:color w:val="auto"/>
                <w:kern w:val="0"/>
                <w:szCs w:val="21"/>
                <w:highlight w:val="none"/>
                <w:lang w:val="en-US" w:eastAsia="zh-CN"/>
              </w:rPr>
              <w:t>10</w:t>
            </w:r>
            <w:r>
              <w:rPr>
                <w:rFonts w:hint="eastAsia" w:ascii="宋体" w:hAnsi="宋体"/>
                <w:b/>
                <w:color w:val="auto"/>
                <w:kern w:val="0"/>
                <w:szCs w:val="21"/>
                <w:highlight w:val="none"/>
              </w:rPr>
              <w:t>分</w:t>
            </w:r>
            <w:r>
              <w:rPr>
                <w:rFonts w:ascii="宋体" w:hAnsi="宋体"/>
                <w:b/>
                <w:color w:val="auto"/>
                <w:kern w:val="0"/>
                <w:szCs w:val="21"/>
                <w:highlight w:val="none"/>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46A1E942">
            <w:pPr>
              <w:widowControl/>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olor w:val="auto"/>
                <w:szCs w:val="21"/>
                <w:highlight w:val="none"/>
              </w:rPr>
              <w:t>（</w:t>
            </w:r>
            <w:r>
              <w:rPr>
                <w:rFonts w:hint="eastAsia"/>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olor w:val="auto"/>
                <w:szCs w:val="21"/>
                <w:highlight w:val="none"/>
              </w:rPr>
              <w:t>）</w:t>
            </w:r>
            <w:r>
              <w:rPr>
                <w:rFonts w:ascii="宋体" w:hAnsi="宋体" w:cs="宋体"/>
                <w:color w:val="auto"/>
                <w:szCs w:val="21"/>
                <w:highlight w:val="none"/>
              </w:rPr>
              <w:t>：对项目关键技术、工艺有深入的表达，对重点、难点有先进合理的施工措施并有可行的安全措施，解决方案完整、经济、安全、切实可行，措施得力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提供的安全措施方案全面</w:t>
            </w:r>
            <w:r>
              <w:rPr>
                <w:rFonts w:ascii="宋体" w:hAnsi="宋体" w:cs="宋体"/>
                <w:color w:val="auto"/>
                <w:szCs w:val="21"/>
                <w:highlight w:val="none"/>
              </w:rPr>
              <w:t>。</w:t>
            </w:r>
          </w:p>
          <w:p w14:paraId="40F40EE7">
            <w:pPr>
              <w:widowControl/>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olor w:val="auto"/>
                <w:szCs w:val="21"/>
                <w:highlight w:val="none"/>
              </w:rPr>
              <w:t>（</w:t>
            </w:r>
            <w:r>
              <w:rPr>
                <w:rFonts w:hint="eastAsia"/>
                <w:color w:val="auto"/>
                <w:highlight w:val="none"/>
                <w:lang w:val="en-US" w:eastAsia="zh-CN"/>
              </w:rPr>
              <w:t>6</w:t>
            </w:r>
            <w:r>
              <w:rPr>
                <w:rFonts w:hint="eastAsia" w:ascii="宋体" w:hAnsi="宋体" w:cs="宋体"/>
                <w:color w:val="auto"/>
                <w:szCs w:val="21"/>
                <w:highlight w:val="none"/>
              </w:rPr>
              <w:t>分</w:t>
            </w:r>
            <w:r>
              <w:rPr>
                <w:rFonts w:hint="eastAsia" w:ascii="宋体" w:hAnsi="宋体"/>
                <w:color w:val="auto"/>
                <w:szCs w:val="21"/>
                <w:highlight w:val="none"/>
              </w:rPr>
              <w:t>）</w:t>
            </w:r>
            <w:r>
              <w:rPr>
                <w:rFonts w:ascii="宋体" w:hAnsi="宋体" w:cs="宋体"/>
                <w:color w:val="auto"/>
                <w:szCs w:val="21"/>
                <w:highlight w:val="none"/>
              </w:rPr>
              <w:t>：对项目关键技术、工艺有深入的表达，对重点、难点有合理的建议，解决方案</w:t>
            </w:r>
            <w:r>
              <w:rPr>
                <w:rFonts w:hint="eastAsia" w:ascii="宋体" w:hAnsi="宋体" w:cs="宋体"/>
                <w:color w:val="auto"/>
                <w:szCs w:val="21"/>
                <w:highlight w:val="none"/>
              </w:rPr>
              <w:t>比较</w:t>
            </w:r>
            <w:r>
              <w:rPr>
                <w:rFonts w:ascii="宋体" w:hAnsi="宋体" w:cs="宋体"/>
                <w:color w:val="auto"/>
                <w:szCs w:val="21"/>
                <w:highlight w:val="none"/>
              </w:rPr>
              <w:t>经济、安全、基本可行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提供的安全措施方案较详细</w:t>
            </w:r>
            <w:r>
              <w:rPr>
                <w:rFonts w:ascii="宋体" w:hAnsi="宋体" w:cs="宋体"/>
                <w:color w:val="auto"/>
                <w:szCs w:val="21"/>
                <w:highlight w:val="none"/>
              </w:rPr>
              <w:t>。</w:t>
            </w:r>
          </w:p>
          <w:p w14:paraId="0AD223F3">
            <w:pPr>
              <w:widowControl/>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三档</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olor w:val="auto"/>
                <w:szCs w:val="21"/>
                <w:highlight w:val="none"/>
              </w:rPr>
              <w:t>）</w:t>
            </w:r>
            <w:r>
              <w:rPr>
                <w:rFonts w:ascii="宋体" w:hAnsi="宋体" w:cs="宋体"/>
                <w:color w:val="auto"/>
                <w:szCs w:val="21"/>
                <w:highlight w:val="none"/>
              </w:rPr>
              <w:t>：对项目关键技术有一定了解，对重点、难点有建议，解决方案基本可行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提供的安全措施方案基本满足</w:t>
            </w:r>
            <w:r>
              <w:rPr>
                <w:rFonts w:ascii="宋体" w:hAnsi="宋体" w:cs="宋体"/>
                <w:color w:val="auto"/>
                <w:szCs w:val="21"/>
                <w:highlight w:val="none"/>
              </w:rPr>
              <w:t>。</w:t>
            </w:r>
          </w:p>
          <w:p w14:paraId="7A99A65C">
            <w:pPr>
              <w:widowControl/>
              <w:spacing w:line="360" w:lineRule="exact"/>
              <w:ind w:left="0" w:leftChars="0" w:right="0" w:rightChars="0"/>
              <w:rPr>
                <w:rFonts w:hint="eastAsia" w:ascii="宋体" w:hAnsi="宋体" w:eastAsia="宋体" w:cs="宋体"/>
                <w:strike/>
                <w:color w:val="auto"/>
                <w:szCs w:val="21"/>
                <w:highlight w:val="none"/>
                <w:lang w:eastAsia="zh-CN"/>
              </w:rPr>
            </w:pPr>
            <w:r>
              <w:rPr>
                <w:rFonts w:hint="eastAsia" w:ascii="宋体" w:hAnsi="宋体" w:cs="宋体"/>
                <w:color w:val="auto"/>
                <w:szCs w:val="21"/>
                <w:highlight w:val="none"/>
                <w:lang w:val="en-US" w:eastAsia="zh-CN"/>
              </w:rPr>
              <w:t>四档</w:t>
            </w:r>
            <w:r>
              <w:rPr>
                <w:rFonts w:hint="eastAsia" w:ascii="宋体" w:hAnsi="宋体"/>
                <w:color w:val="auto"/>
                <w:szCs w:val="21"/>
                <w:highlight w:val="none"/>
              </w:rPr>
              <w:t>（</w:t>
            </w:r>
            <w:r>
              <w:rPr>
                <w:rFonts w:hint="eastAsia"/>
                <w:color w:val="auto"/>
                <w:szCs w:val="21"/>
                <w:highlight w:val="none"/>
                <w:lang w:val="en-US" w:eastAsia="zh-CN"/>
              </w:rPr>
              <w:t>0</w:t>
            </w:r>
            <w:r>
              <w:rPr>
                <w:rFonts w:hint="eastAsia" w:ascii="宋体" w:hAnsi="宋体"/>
                <w:color w:val="auto"/>
                <w:szCs w:val="21"/>
                <w:highlight w:val="none"/>
              </w:rPr>
              <w:t>分）</w:t>
            </w:r>
            <w:r>
              <w:rPr>
                <w:rFonts w:ascii="宋体" w:hAnsi="宋体" w:cs="宋体"/>
                <w:color w:val="auto"/>
                <w:szCs w:val="21"/>
                <w:highlight w:val="none"/>
              </w:rPr>
              <w:t>：对项目关键技术有表述，对重点、难点有建议，解决方案不可行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未提供安全措施方案</w:t>
            </w:r>
            <w:r>
              <w:rPr>
                <w:rFonts w:ascii="宋体" w:hAnsi="宋体" w:cs="宋体"/>
                <w:color w:val="auto"/>
                <w:szCs w:val="21"/>
                <w:highlight w:val="none"/>
              </w:rPr>
              <w:t>。</w:t>
            </w:r>
          </w:p>
        </w:tc>
      </w:tr>
      <w:tr w14:paraId="2FEA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850" w:type="dxa"/>
            <w:vMerge w:val="continue"/>
            <w:tcBorders>
              <w:left w:val="single" w:color="000000" w:sz="4" w:space="0"/>
              <w:right w:val="single" w:color="000000" w:sz="4" w:space="0"/>
            </w:tcBorders>
            <w:noWrap w:val="0"/>
            <w:vAlign w:val="center"/>
          </w:tcPr>
          <w:p w14:paraId="61FECB69">
            <w:pPr>
              <w:widowControl/>
              <w:spacing w:line="360" w:lineRule="exact"/>
              <w:ind w:left="0" w:leftChars="0" w:right="0" w:rightChars="0"/>
              <w:jc w:val="center"/>
              <w:rPr>
                <w:rFonts w:ascii="宋体" w:hAnsi="宋体"/>
                <w:b/>
                <w:color w:val="auto"/>
                <w:kern w:val="0"/>
                <w:szCs w:val="21"/>
                <w:highlight w:val="none"/>
              </w:rPr>
            </w:pPr>
          </w:p>
        </w:tc>
        <w:tc>
          <w:tcPr>
            <w:tcW w:w="850" w:type="dxa"/>
            <w:vMerge w:val="continue"/>
            <w:tcBorders>
              <w:left w:val="single" w:color="000000" w:sz="4" w:space="0"/>
              <w:right w:val="single" w:color="auto" w:sz="4" w:space="0"/>
            </w:tcBorders>
            <w:noWrap w:val="0"/>
            <w:vAlign w:val="center"/>
          </w:tcPr>
          <w:p w14:paraId="4AB6002E">
            <w:pPr>
              <w:widowControl/>
              <w:spacing w:line="360" w:lineRule="exact"/>
              <w:ind w:left="0" w:leftChars="0" w:right="0" w:rightChars="0"/>
              <w:jc w:val="left"/>
              <w:rPr>
                <w:rFonts w:ascii="宋体" w:hAnsi="宋体"/>
                <w:b/>
                <w:color w:val="auto"/>
                <w:kern w:val="0"/>
                <w:szCs w:val="21"/>
                <w:highlight w:val="none"/>
              </w:rPr>
            </w:pPr>
          </w:p>
        </w:tc>
        <w:tc>
          <w:tcPr>
            <w:tcW w:w="993" w:type="dxa"/>
            <w:vMerge w:val="continue"/>
            <w:tcBorders>
              <w:left w:val="single" w:color="000000" w:sz="4" w:space="0"/>
              <w:right w:val="single" w:color="000000" w:sz="4" w:space="0"/>
            </w:tcBorders>
            <w:noWrap w:val="0"/>
            <w:vAlign w:val="top"/>
          </w:tcPr>
          <w:p w14:paraId="3720E4FA">
            <w:pPr>
              <w:spacing w:line="360" w:lineRule="exact"/>
              <w:ind w:left="0" w:leftChars="0" w:right="0" w:rightChars="0"/>
              <w:jc w:val="center"/>
              <w:rPr>
                <w:rFonts w:ascii="宋体" w:hAnsi="宋体"/>
                <w:b/>
                <w:bCs/>
                <w:color w:val="auto"/>
                <w:szCs w:val="21"/>
                <w:highlight w:val="none"/>
              </w:rPr>
            </w:pPr>
          </w:p>
        </w:tc>
        <w:tc>
          <w:tcPr>
            <w:tcW w:w="1420" w:type="dxa"/>
            <w:tcBorders>
              <w:left w:val="single" w:color="000000" w:sz="4" w:space="0"/>
              <w:bottom w:val="single" w:color="auto" w:sz="4" w:space="0"/>
              <w:right w:val="single" w:color="000000" w:sz="4" w:space="0"/>
            </w:tcBorders>
            <w:noWrap w:val="0"/>
            <w:vAlign w:val="center"/>
          </w:tcPr>
          <w:p w14:paraId="3113FA45">
            <w:pPr>
              <w:spacing w:line="360" w:lineRule="exact"/>
              <w:ind w:left="0" w:leftChars="0" w:right="0" w:rightChars="0"/>
              <w:jc w:val="center"/>
              <w:rPr>
                <w:rFonts w:ascii="宋体" w:hAnsi="宋体"/>
                <w:b/>
                <w:color w:val="auto"/>
                <w:szCs w:val="21"/>
                <w:highlight w:val="none"/>
              </w:rPr>
            </w:pPr>
            <w:r>
              <w:rPr>
                <w:rFonts w:hint="eastAsia"/>
                <w:b/>
                <w:bCs/>
                <w:color w:val="auto"/>
                <w:szCs w:val="21"/>
                <w:highlight w:val="none"/>
                <w:lang w:val="en-US" w:eastAsia="zh-CN"/>
              </w:rPr>
              <w:t>4</w:t>
            </w:r>
            <w:r>
              <w:rPr>
                <w:rFonts w:hint="eastAsia" w:ascii="宋体" w:hAnsi="宋体"/>
                <w:b/>
                <w:bCs/>
                <w:color w:val="auto"/>
                <w:szCs w:val="21"/>
                <w:highlight w:val="none"/>
              </w:rPr>
              <w:t>.质量保证与承诺</w:t>
            </w:r>
            <w:r>
              <w:rPr>
                <w:rFonts w:ascii="宋体" w:hAnsi="宋体"/>
                <w:b/>
                <w:color w:val="auto"/>
                <w:kern w:val="0"/>
                <w:szCs w:val="21"/>
                <w:highlight w:val="none"/>
              </w:rPr>
              <w:t>（</w:t>
            </w:r>
            <w:r>
              <w:rPr>
                <w:rFonts w:hint="eastAsia"/>
                <w:b/>
                <w:color w:val="auto"/>
                <w:kern w:val="0"/>
                <w:szCs w:val="21"/>
                <w:highlight w:val="none"/>
                <w:lang w:val="en-US" w:eastAsia="zh-CN"/>
              </w:rPr>
              <w:t>5</w:t>
            </w:r>
            <w:r>
              <w:rPr>
                <w:rFonts w:hint="eastAsia" w:ascii="宋体" w:hAnsi="宋体"/>
                <w:b/>
                <w:color w:val="auto"/>
                <w:kern w:val="0"/>
                <w:szCs w:val="21"/>
                <w:highlight w:val="none"/>
              </w:rPr>
              <w:t>分</w:t>
            </w:r>
            <w:r>
              <w:rPr>
                <w:rFonts w:ascii="宋体" w:hAnsi="宋体"/>
                <w:b/>
                <w:color w:val="auto"/>
                <w:kern w:val="0"/>
                <w:szCs w:val="21"/>
                <w:highlight w:val="none"/>
              </w:rPr>
              <w:t>）</w:t>
            </w:r>
          </w:p>
        </w:tc>
        <w:tc>
          <w:tcPr>
            <w:tcW w:w="5549" w:type="dxa"/>
            <w:tcBorders>
              <w:top w:val="single" w:color="000000" w:sz="4" w:space="0"/>
              <w:left w:val="single" w:color="000000" w:sz="4" w:space="0"/>
              <w:bottom w:val="single" w:color="auto" w:sz="4" w:space="0"/>
              <w:right w:val="single" w:color="000000" w:sz="4" w:space="0"/>
            </w:tcBorders>
            <w:noWrap w:val="0"/>
            <w:vAlign w:val="center"/>
          </w:tcPr>
          <w:p w14:paraId="0532E657">
            <w:pPr>
              <w:widowControl/>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olor w:val="auto"/>
                <w:szCs w:val="21"/>
                <w:highlight w:val="none"/>
              </w:rPr>
              <w:t>（</w:t>
            </w:r>
            <w:r>
              <w:rPr>
                <w:rFonts w:hint="eastAsia"/>
                <w:color w:val="auto"/>
                <w:szCs w:val="21"/>
                <w:highlight w:val="none"/>
                <w:lang w:val="en-US" w:eastAsia="zh-CN"/>
              </w:rPr>
              <w:t>5</w:t>
            </w:r>
            <w:r>
              <w:rPr>
                <w:rFonts w:hint="eastAsia" w:ascii="宋体" w:hAnsi="宋体"/>
                <w:color w:val="auto"/>
                <w:szCs w:val="21"/>
                <w:highlight w:val="none"/>
              </w:rPr>
              <w:t>分）</w:t>
            </w:r>
            <w:r>
              <w:rPr>
                <w:rFonts w:ascii="宋体" w:hAnsi="宋体" w:cs="宋体"/>
                <w:color w:val="auto"/>
                <w:szCs w:val="21"/>
                <w:highlight w:val="none"/>
              </w:rPr>
              <w:t>：针对项目实际提出可行、具体的保证措施，</w:t>
            </w:r>
            <w:r>
              <w:rPr>
                <w:rFonts w:hint="eastAsia" w:ascii="宋体" w:hAnsi="宋体" w:cs="宋体"/>
                <w:color w:val="auto"/>
                <w:szCs w:val="21"/>
                <w:highlight w:val="none"/>
                <w:lang w:val="en-US" w:eastAsia="zh-CN"/>
              </w:rPr>
              <w:t>质保期</w:t>
            </w:r>
            <w:r>
              <w:rPr>
                <w:rFonts w:hint="eastAsia" w:ascii="Arial" w:hAnsi="Arial" w:cs="Arial"/>
                <w:color w:val="auto"/>
                <w:szCs w:val="21"/>
                <w:highlight w:val="none"/>
                <w:lang w:val="en-US" w:eastAsia="zh-CN"/>
              </w:rPr>
              <w:t>≥</w:t>
            </w:r>
            <w:r>
              <w:rPr>
                <w:rFonts w:hint="eastAsia" w:ascii="宋体" w:hAnsi="宋体" w:cs="宋体"/>
                <w:color w:val="auto"/>
                <w:szCs w:val="21"/>
                <w:highlight w:val="none"/>
                <w:lang w:val="en-US" w:eastAsia="zh-CN"/>
              </w:rPr>
              <w:t>5年且保修期</w:t>
            </w:r>
            <w:r>
              <w:rPr>
                <w:rFonts w:hint="eastAsia" w:ascii="Arial" w:hAnsi="Arial" w:cs="Arial"/>
                <w:color w:val="auto"/>
                <w:szCs w:val="21"/>
                <w:highlight w:val="none"/>
                <w:lang w:val="en-US" w:eastAsia="zh-CN"/>
              </w:rPr>
              <w:t>≥</w:t>
            </w:r>
            <w:r>
              <w:rPr>
                <w:rFonts w:hint="eastAsia" w:ascii="宋体" w:hAnsi="宋体" w:cs="宋体"/>
                <w:color w:val="auto"/>
                <w:szCs w:val="21"/>
                <w:highlight w:val="none"/>
                <w:lang w:val="en-US" w:eastAsia="zh-CN"/>
              </w:rPr>
              <w:t>5年，1小时内能到达现场处理故障</w:t>
            </w:r>
            <w:r>
              <w:rPr>
                <w:rFonts w:ascii="宋体" w:hAnsi="宋体" w:cs="宋体"/>
                <w:color w:val="auto"/>
                <w:szCs w:val="21"/>
                <w:highlight w:val="none"/>
              </w:rPr>
              <w:t>。</w:t>
            </w:r>
          </w:p>
          <w:p w14:paraId="0872C906">
            <w:pPr>
              <w:widowControl/>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ascii="宋体" w:hAnsi="宋体" w:cs="宋体"/>
                <w:color w:val="auto"/>
                <w:szCs w:val="21"/>
                <w:highlight w:val="none"/>
              </w:rPr>
              <w:t>：针对项目实际提出可行、具体的保证措施，</w:t>
            </w:r>
            <w:r>
              <w:rPr>
                <w:rFonts w:hint="eastAsia" w:ascii="宋体" w:hAnsi="宋体" w:cs="宋体"/>
                <w:color w:val="auto"/>
                <w:szCs w:val="21"/>
                <w:highlight w:val="none"/>
                <w:lang w:val="en-US" w:eastAsia="zh-CN"/>
              </w:rPr>
              <w:t>4年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质保期＜5年且4年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保修期＜5年</w:t>
            </w:r>
            <w:r>
              <w:rPr>
                <w:rFonts w:hint="eastAsia" w:ascii="Arial" w:hAnsi="Arial" w:cs="Arial"/>
                <w:color w:val="auto"/>
                <w:szCs w:val="21"/>
                <w:highlight w:val="none"/>
                <w:lang w:val="en-US" w:eastAsia="zh-CN"/>
              </w:rPr>
              <w:t>，</w:t>
            </w:r>
            <w:r>
              <w:rPr>
                <w:rFonts w:hint="eastAsia" w:ascii="宋体" w:hAnsi="宋体" w:cs="宋体"/>
                <w:color w:val="auto"/>
                <w:szCs w:val="21"/>
                <w:highlight w:val="none"/>
                <w:lang w:val="en-US" w:eastAsia="zh-CN"/>
              </w:rPr>
              <w:t>4小时内能到达现场处理故障</w:t>
            </w:r>
            <w:r>
              <w:rPr>
                <w:rFonts w:ascii="宋体" w:hAnsi="宋体" w:cs="宋体"/>
                <w:color w:val="auto"/>
                <w:szCs w:val="21"/>
                <w:highlight w:val="none"/>
              </w:rPr>
              <w:t>。</w:t>
            </w:r>
          </w:p>
          <w:p w14:paraId="038343EF">
            <w:pPr>
              <w:widowControl/>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三档</w:t>
            </w:r>
            <w:r>
              <w:rPr>
                <w:rFonts w:hint="eastAsia" w:ascii="宋体" w:hAnsi="宋体"/>
                <w:color w:val="auto"/>
                <w:szCs w:val="21"/>
                <w:highlight w:val="none"/>
              </w:rPr>
              <w:t>（</w:t>
            </w:r>
            <w:r>
              <w:rPr>
                <w:rFonts w:hint="eastAsia"/>
                <w:color w:val="auto"/>
                <w:highlight w:val="none"/>
                <w:lang w:val="en-US" w:eastAsia="zh-CN"/>
              </w:rPr>
              <w:t>3</w:t>
            </w:r>
            <w:r>
              <w:rPr>
                <w:rFonts w:hint="eastAsia" w:ascii="宋体" w:hAnsi="宋体"/>
                <w:color w:val="auto"/>
                <w:szCs w:val="21"/>
                <w:highlight w:val="none"/>
              </w:rPr>
              <w:t>分）</w:t>
            </w:r>
            <w:r>
              <w:rPr>
                <w:rFonts w:ascii="宋体" w:hAnsi="宋体" w:cs="宋体"/>
                <w:color w:val="auto"/>
                <w:szCs w:val="21"/>
                <w:highlight w:val="none"/>
              </w:rPr>
              <w:t>：</w:t>
            </w:r>
            <w:r>
              <w:rPr>
                <w:rFonts w:hint="eastAsia" w:ascii="宋体" w:hAnsi="宋体" w:cs="宋体"/>
                <w:color w:val="auto"/>
                <w:szCs w:val="21"/>
                <w:highlight w:val="none"/>
                <w:lang w:val="en-US" w:eastAsia="zh-CN"/>
              </w:rPr>
              <w:t>3年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质保期</w:t>
            </w:r>
            <w:r>
              <w:rPr>
                <w:rFonts w:hint="eastAsia" w:cs="宋体"/>
                <w:color w:val="auto"/>
                <w:szCs w:val="21"/>
                <w:highlight w:val="none"/>
                <w:lang w:val="en-US" w:eastAsia="zh-CN"/>
              </w:rPr>
              <w:t>＜4年</w:t>
            </w:r>
            <w:r>
              <w:rPr>
                <w:rFonts w:hint="eastAsia" w:ascii="宋体" w:hAnsi="宋体" w:cs="宋体"/>
                <w:color w:val="auto"/>
                <w:szCs w:val="21"/>
                <w:highlight w:val="none"/>
                <w:lang w:val="en-US" w:eastAsia="zh-CN"/>
              </w:rPr>
              <w:t>且3年</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保修期</w:t>
            </w:r>
            <w:r>
              <w:rPr>
                <w:rFonts w:hint="eastAsia" w:cs="宋体"/>
                <w:color w:val="auto"/>
                <w:szCs w:val="21"/>
                <w:highlight w:val="none"/>
                <w:lang w:val="en-US" w:eastAsia="zh-CN"/>
              </w:rPr>
              <w:t>＜4年，</w:t>
            </w:r>
            <w:r>
              <w:rPr>
                <w:rFonts w:ascii="宋体" w:hAnsi="宋体" w:cs="宋体"/>
                <w:color w:val="auto"/>
                <w:szCs w:val="21"/>
                <w:highlight w:val="none"/>
              </w:rPr>
              <w:t>具体措施可行，</w:t>
            </w:r>
            <w:r>
              <w:rPr>
                <w:rFonts w:hint="eastAsia" w:ascii="宋体" w:hAnsi="宋体" w:cs="宋体"/>
                <w:color w:val="auto"/>
                <w:szCs w:val="21"/>
                <w:highlight w:val="none"/>
                <w:lang w:val="en-US" w:eastAsia="zh-CN"/>
              </w:rPr>
              <w:t>6小时内能到达现场处理故障</w:t>
            </w:r>
            <w:r>
              <w:rPr>
                <w:rFonts w:ascii="宋体" w:hAnsi="宋体" w:cs="宋体"/>
                <w:color w:val="auto"/>
                <w:szCs w:val="21"/>
                <w:highlight w:val="none"/>
              </w:rPr>
              <w:t>。</w:t>
            </w:r>
          </w:p>
          <w:p w14:paraId="18D54C63">
            <w:pPr>
              <w:widowControl/>
              <w:spacing w:line="360" w:lineRule="exact"/>
              <w:ind w:left="0" w:leftChars="0" w:right="0" w:rightChars="0"/>
              <w:rPr>
                <w:rFonts w:ascii="宋体" w:hAnsi="宋体" w:cs="宋体"/>
                <w:strike/>
                <w:color w:val="auto"/>
                <w:szCs w:val="21"/>
                <w:highlight w:val="none"/>
              </w:rPr>
            </w:pPr>
            <w:r>
              <w:rPr>
                <w:rFonts w:hint="eastAsia" w:ascii="宋体" w:hAnsi="宋体" w:cs="宋体"/>
                <w:color w:val="auto"/>
                <w:szCs w:val="21"/>
                <w:highlight w:val="none"/>
                <w:lang w:val="en-US" w:eastAsia="zh-CN"/>
              </w:rPr>
              <w:t>四档</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分）</w:t>
            </w:r>
            <w:r>
              <w:rPr>
                <w:rFonts w:ascii="宋体" w:hAnsi="宋体" w:cs="宋体"/>
                <w:color w:val="auto"/>
                <w:szCs w:val="21"/>
                <w:highlight w:val="none"/>
              </w:rPr>
              <w:t>：措施不可行。</w:t>
            </w:r>
          </w:p>
        </w:tc>
      </w:tr>
      <w:tr w14:paraId="4EDD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50" w:type="dxa"/>
            <w:tcBorders>
              <w:left w:val="single" w:color="000000" w:sz="4" w:space="0"/>
              <w:right w:val="single" w:color="000000" w:sz="4" w:space="0"/>
            </w:tcBorders>
            <w:noWrap w:val="0"/>
            <w:vAlign w:val="center"/>
          </w:tcPr>
          <w:p w14:paraId="2B9A9FD1">
            <w:pPr>
              <w:widowControl/>
              <w:spacing w:line="360" w:lineRule="exact"/>
              <w:ind w:left="0" w:leftChars="0" w:right="0" w:rightChars="0"/>
              <w:jc w:val="center"/>
              <w:rPr>
                <w:rFonts w:hint="eastAsia" w:ascii="宋体" w:hAnsi="宋体" w:eastAsia="宋体" w:cs="宋体"/>
                <w:b/>
                <w:color w:val="auto"/>
                <w:kern w:val="0"/>
                <w:szCs w:val="21"/>
                <w:highlight w:val="none"/>
                <w:lang w:eastAsia="zh-CN"/>
              </w:rPr>
            </w:pPr>
            <w:r>
              <w:rPr>
                <w:rFonts w:hint="eastAsia" w:ascii="宋体" w:hAnsi="宋体"/>
                <w:b/>
                <w:color w:val="auto"/>
                <w:kern w:val="0"/>
                <w:szCs w:val="21"/>
                <w:highlight w:val="none"/>
                <w:lang w:val="en-US" w:eastAsia="zh-CN"/>
              </w:rPr>
              <w:t>3</w:t>
            </w:r>
          </w:p>
        </w:tc>
        <w:tc>
          <w:tcPr>
            <w:tcW w:w="3263" w:type="dxa"/>
            <w:gridSpan w:val="3"/>
            <w:tcBorders>
              <w:left w:val="single" w:color="000000" w:sz="4" w:space="0"/>
              <w:right w:val="single" w:color="000000" w:sz="4" w:space="0"/>
            </w:tcBorders>
            <w:noWrap w:val="0"/>
            <w:vAlign w:val="center"/>
          </w:tcPr>
          <w:p w14:paraId="1AFA76B4">
            <w:pPr>
              <w:widowControl/>
              <w:spacing w:line="360" w:lineRule="exact"/>
              <w:ind w:left="0" w:leftChars="0" w:right="0" w:rightChars="0"/>
              <w:rPr>
                <w:rFonts w:hint="eastAsia" w:ascii="宋体" w:hAnsi="宋体"/>
                <w:b/>
                <w:color w:val="auto"/>
                <w:kern w:val="0"/>
                <w:szCs w:val="21"/>
                <w:highlight w:val="none"/>
              </w:rPr>
            </w:pPr>
            <w:r>
              <w:rPr>
                <w:rFonts w:hint="eastAsia" w:ascii="宋体" w:hAnsi="宋体"/>
                <w:b/>
                <w:color w:val="auto"/>
                <w:kern w:val="0"/>
                <w:szCs w:val="21"/>
                <w:highlight w:val="none"/>
              </w:rPr>
              <w:t>企业信誉实力评审（满分</w:t>
            </w:r>
            <w:r>
              <w:rPr>
                <w:rFonts w:hint="eastAsia" w:ascii="宋体" w:hAnsi="宋体"/>
                <w:b/>
                <w:color w:val="auto"/>
                <w:kern w:val="0"/>
                <w:szCs w:val="21"/>
                <w:highlight w:val="none"/>
                <w:lang w:val="en-US" w:eastAsia="zh-CN"/>
              </w:rPr>
              <w:t>5</w:t>
            </w:r>
            <w:r>
              <w:rPr>
                <w:rFonts w:hint="eastAsia" w:ascii="宋体" w:hAnsi="宋体"/>
                <w:b/>
                <w:color w:val="auto"/>
                <w:kern w:val="0"/>
                <w:szCs w:val="21"/>
                <w:highlight w:val="none"/>
              </w:rPr>
              <w:t>分）</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228CD92F">
            <w:pPr>
              <w:widowControl/>
              <w:spacing w:line="360" w:lineRule="exact"/>
              <w:rPr>
                <w:rFonts w:ascii="宋体" w:hAnsi="宋体"/>
                <w:color w:val="auto"/>
                <w:szCs w:val="21"/>
                <w:highlight w:val="none"/>
              </w:rPr>
            </w:pPr>
            <w:r>
              <w:rPr>
                <w:rFonts w:hint="eastAsia" w:ascii="宋体" w:hAnsi="宋体"/>
                <w:color w:val="auto"/>
                <w:szCs w:val="21"/>
                <w:highlight w:val="none"/>
              </w:rPr>
              <w:t>1.投标人通过质量管理体系认证</w:t>
            </w:r>
            <w:r>
              <w:rPr>
                <w:rFonts w:ascii="宋体" w:hAnsi="宋体"/>
                <w:color w:val="auto"/>
                <w:szCs w:val="21"/>
                <w:highlight w:val="none"/>
              </w:rPr>
              <w:t>且有效（投标文件中提供相关有效证明材料复印件），得</w:t>
            </w:r>
            <w:r>
              <w:rPr>
                <w:rFonts w:hint="eastAsia" w:ascii="宋体" w:hAnsi="宋体"/>
                <w:color w:val="auto"/>
                <w:szCs w:val="21"/>
                <w:highlight w:val="none"/>
                <w:lang w:val="en-US" w:eastAsia="zh-CN"/>
              </w:rPr>
              <w:t>2</w:t>
            </w:r>
            <w:r>
              <w:rPr>
                <w:rFonts w:ascii="宋体" w:hAnsi="宋体"/>
                <w:color w:val="auto"/>
                <w:szCs w:val="21"/>
                <w:highlight w:val="none"/>
              </w:rPr>
              <w:t>分。</w:t>
            </w:r>
          </w:p>
          <w:p w14:paraId="0CA0F3E6">
            <w:pPr>
              <w:widowControl/>
              <w:spacing w:line="360" w:lineRule="exact"/>
              <w:ind w:left="0" w:leftChars="0" w:right="0" w:rightChars="0"/>
              <w:rPr>
                <w:rFonts w:ascii="宋体" w:hAnsi="宋体"/>
                <w:color w:val="auto"/>
                <w:szCs w:val="21"/>
                <w:highlight w:val="none"/>
              </w:rPr>
            </w:pPr>
            <w:r>
              <w:rPr>
                <w:rFonts w:hint="eastAsia" w:ascii="宋体" w:hAnsi="宋体" w:cs="宋体"/>
                <w:color w:val="auto"/>
                <w:szCs w:val="21"/>
                <w:highlight w:val="none"/>
              </w:rPr>
              <w:t>2.业绩分（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分）：投标人自20</w:t>
            </w:r>
            <w:r>
              <w:rPr>
                <w:rFonts w:hint="eastAsia" w:ascii="宋体" w:hAnsi="宋体" w:cs="宋体"/>
                <w:color w:val="auto"/>
                <w:szCs w:val="21"/>
                <w:highlight w:val="none"/>
                <w:lang w:val="en-US" w:eastAsia="zh-CN"/>
              </w:rPr>
              <w:t>22年</w:t>
            </w:r>
            <w:r>
              <w:rPr>
                <w:rFonts w:hint="eastAsia" w:ascii="宋体" w:hAnsi="宋体" w:cs="宋体"/>
                <w:color w:val="auto"/>
                <w:szCs w:val="21"/>
                <w:highlight w:val="none"/>
              </w:rPr>
              <w:t>来具有与本工程类别相同的工程项目业绩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1个得1分，最多得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14:paraId="66C0C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4113" w:type="dxa"/>
            <w:gridSpan w:val="4"/>
            <w:tcBorders>
              <w:left w:val="single" w:color="000000" w:sz="4" w:space="0"/>
              <w:right w:val="single" w:color="000000" w:sz="4" w:space="0"/>
            </w:tcBorders>
            <w:noWrap w:val="0"/>
            <w:vAlign w:val="center"/>
          </w:tcPr>
          <w:p w14:paraId="6A714604">
            <w:pPr>
              <w:widowControl/>
              <w:spacing w:line="360" w:lineRule="exact"/>
              <w:ind w:left="0" w:leftChars="0" w:right="0" w:rightChars="0"/>
              <w:jc w:val="center"/>
              <w:rPr>
                <w:rFonts w:ascii="宋体" w:hAnsi="宋体" w:cs="宋体"/>
                <w:b/>
                <w:color w:val="auto"/>
                <w:kern w:val="0"/>
                <w:szCs w:val="21"/>
                <w:highlight w:val="none"/>
              </w:rPr>
            </w:pPr>
            <w:r>
              <w:rPr>
                <w:rFonts w:hint="eastAsia" w:ascii="宋体" w:hAnsi="宋体" w:cs="宋体"/>
                <w:b/>
                <w:color w:val="auto"/>
                <w:szCs w:val="21"/>
                <w:highlight w:val="none"/>
              </w:rPr>
              <w:t>综合评分（即投标人汇总得分）</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8F359BB">
            <w:pPr>
              <w:widowControl/>
              <w:spacing w:line="360" w:lineRule="exact"/>
              <w:ind w:left="0" w:leftChars="0" w:right="0" w:rightChars="0"/>
              <w:rPr>
                <w:rFonts w:ascii="宋体" w:hAnsi="宋体" w:cs="宋体"/>
                <w:b/>
                <w:color w:val="auto"/>
                <w:szCs w:val="21"/>
                <w:highlight w:val="none"/>
              </w:rPr>
            </w:pPr>
            <w:r>
              <w:rPr>
                <w:rFonts w:hint="eastAsia" w:ascii="宋体" w:hAnsi="宋体" w:cs="宋体"/>
                <w:b/>
                <w:color w:val="auto"/>
                <w:szCs w:val="21"/>
                <w:highlight w:val="none"/>
              </w:rPr>
              <w:t>投标人汇总得分=该投标人的商务评审得分+技术评审得分+企业信誉实力评审得分</w:t>
            </w:r>
          </w:p>
        </w:tc>
      </w:tr>
    </w:tbl>
    <w:p w14:paraId="4064C1F6">
      <w:pPr>
        <w:pStyle w:val="2"/>
        <w:ind w:left="0"/>
        <w:jc w:val="center"/>
        <w:rPr>
          <w:color w:val="auto"/>
          <w:w w:val="95"/>
          <w:sz w:val="30"/>
          <w:szCs w:val="30"/>
          <w:highlight w:val="none"/>
        </w:rPr>
      </w:pPr>
    </w:p>
    <w:p w14:paraId="7D9C28BC">
      <w:pPr>
        <w:pStyle w:val="2"/>
        <w:ind w:left="0"/>
        <w:jc w:val="center"/>
        <w:rPr>
          <w:color w:val="auto"/>
          <w:w w:val="95"/>
          <w:sz w:val="30"/>
          <w:szCs w:val="30"/>
          <w:highlight w:val="none"/>
        </w:rPr>
      </w:pPr>
    </w:p>
    <w:p w14:paraId="4B93C355">
      <w:pPr>
        <w:pStyle w:val="2"/>
        <w:ind w:left="0"/>
        <w:jc w:val="center"/>
        <w:rPr>
          <w:color w:val="auto"/>
          <w:w w:val="95"/>
          <w:sz w:val="30"/>
          <w:szCs w:val="30"/>
          <w:highlight w:val="none"/>
        </w:rPr>
      </w:pPr>
    </w:p>
    <w:p w14:paraId="00F6DDB8">
      <w:pPr>
        <w:rPr>
          <w:color w:val="auto"/>
          <w:w w:val="95"/>
          <w:sz w:val="30"/>
          <w:szCs w:val="30"/>
          <w:highlight w:val="none"/>
        </w:rPr>
      </w:pPr>
    </w:p>
    <w:p w14:paraId="7850AC94">
      <w:pPr>
        <w:rPr>
          <w:color w:val="auto"/>
          <w:w w:val="95"/>
          <w:sz w:val="30"/>
          <w:szCs w:val="30"/>
          <w:highlight w:val="none"/>
        </w:rPr>
      </w:pPr>
    </w:p>
    <w:p w14:paraId="1D47A59A">
      <w:pPr>
        <w:pStyle w:val="2"/>
        <w:jc w:val="center"/>
        <w:rPr>
          <w:rFonts w:hint="eastAsia"/>
          <w:color w:val="auto"/>
          <w:sz w:val="32"/>
          <w:szCs w:val="32"/>
          <w:highlight w:val="none"/>
        </w:rPr>
      </w:pPr>
      <w:r>
        <w:rPr>
          <w:rFonts w:hint="eastAsia"/>
          <w:color w:val="auto"/>
          <w:sz w:val="32"/>
          <w:szCs w:val="32"/>
          <w:highlight w:val="none"/>
          <w:lang w:val="en-US" w:eastAsia="zh-CN"/>
        </w:rPr>
        <w:t xml:space="preserve">第三章  </w:t>
      </w:r>
      <w:r>
        <w:rPr>
          <w:rFonts w:hint="eastAsia"/>
          <w:color w:val="auto"/>
          <w:sz w:val="32"/>
          <w:szCs w:val="32"/>
          <w:highlight w:val="none"/>
        </w:rPr>
        <w:t>合同条款</w:t>
      </w:r>
    </w:p>
    <w:p w14:paraId="43362DF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heme="minorEastAsia" w:hAnsiTheme="minorEastAsia" w:eastAsiaTheme="minorEastAsia" w:cstheme="minorEastAsia"/>
          <w:color w:val="auto"/>
          <w:sz w:val="24"/>
          <w:szCs w:val="24"/>
          <w:highlight w:val="none"/>
          <w:u w:val="none"/>
          <w:lang w:val="en-US" w:eastAsia="zh-CN"/>
        </w:rPr>
      </w:pPr>
    </w:p>
    <w:p w14:paraId="3E3DEF19">
      <w:pPr>
        <w:keepNext w:val="0"/>
        <w:keepLines w:val="0"/>
        <w:pageBreakBefore w:val="0"/>
        <w:widowControl/>
        <w:kinsoku/>
        <w:wordWrap/>
        <w:overflowPunct/>
        <w:topLinePunct w:val="0"/>
        <w:autoSpaceDE/>
        <w:autoSpaceDN/>
        <w:bidi w:val="0"/>
        <w:spacing w:line="480" w:lineRule="exact"/>
        <w:ind w:right="-199" w:rightChars="-95"/>
        <w:textAlignment w:val="baseline"/>
        <w:rPr>
          <w:rStyle w:val="31"/>
          <w:rFonts w:hint="eastAsia" w:ascii="宋体" w:hAnsi="宋体" w:eastAsia="宋体" w:cs="宋体"/>
          <w:b/>
          <w:color w:val="auto"/>
          <w:kern w:val="0"/>
          <w:sz w:val="24"/>
          <w:szCs w:val="24"/>
          <w:highlight w:val="none"/>
          <w:u w:val="single"/>
        </w:rPr>
      </w:pPr>
      <w:r>
        <w:rPr>
          <w:rStyle w:val="31"/>
          <w:rFonts w:hint="eastAsia" w:ascii="宋体" w:hAnsi="宋体" w:eastAsia="宋体" w:cs="宋体"/>
          <w:b/>
          <w:color w:val="auto"/>
          <w:kern w:val="0"/>
          <w:sz w:val="24"/>
          <w:szCs w:val="24"/>
          <w:highlight w:val="none"/>
        </w:rPr>
        <w:t>建设单位：</w:t>
      </w:r>
      <w:r>
        <w:rPr>
          <w:rStyle w:val="31"/>
          <w:rFonts w:hint="eastAsia" w:ascii="宋体" w:hAnsi="宋体" w:eastAsia="宋体" w:cs="宋体"/>
          <w:b/>
          <w:color w:val="auto"/>
          <w:kern w:val="0"/>
          <w:sz w:val="24"/>
          <w:szCs w:val="24"/>
          <w:highlight w:val="none"/>
          <w:lang w:val="en-US" w:eastAsia="zh-CN"/>
        </w:rPr>
        <w:t xml:space="preserve"> </w:t>
      </w:r>
      <w:r>
        <w:rPr>
          <w:rStyle w:val="31"/>
          <w:rFonts w:hint="eastAsia" w:ascii="宋体" w:hAnsi="宋体" w:eastAsia="宋体" w:cs="宋体"/>
          <w:b/>
          <w:color w:val="auto"/>
          <w:kern w:val="0"/>
          <w:sz w:val="24"/>
          <w:szCs w:val="24"/>
          <w:highlight w:val="none"/>
        </w:rPr>
        <w:t>(以下简称甲方)</w:t>
      </w:r>
    </w:p>
    <w:p w14:paraId="388AA627">
      <w:pPr>
        <w:keepNext w:val="0"/>
        <w:keepLines w:val="0"/>
        <w:pageBreakBefore w:val="0"/>
        <w:widowControl/>
        <w:kinsoku/>
        <w:wordWrap/>
        <w:overflowPunct/>
        <w:topLinePunct w:val="0"/>
        <w:autoSpaceDE/>
        <w:autoSpaceDN/>
        <w:bidi w:val="0"/>
        <w:spacing w:line="480" w:lineRule="exact"/>
        <w:textAlignment w:val="baseline"/>
        <w:rPr>
          <w:rStyle w:val="31"/>
          <w:rFonts w:hint="eastAsia" w:ascii="宋体" w:hAnsi="宋体" w:eastAsia="宋体" w:cs="宋体"/>
          <w:b/>
          <w:color w:val="auto"/>
          <w:kern w:val="0"/>
          <w:sz w:val="24"/>
          <w:szCs w:val="24"/>
          <w:highlight w:val="none"/>
        </w:rPr>
      </w:pPr>
      <w:r>
        <w:rPr>
          <w:rStyle w:val="31"/>
          <w:rFonts w:hint="eastAsia" w:ascii="宋体" w:hAnsi="宋体" w:eastAsia="宋体" w:cs="宋体"/>
          <w:b/>
          <w:color w:val="auto"/>
          <w:kern w:val="0"/>
          <w:sz w:val="24"/>
          <w:szCs w:val="24"/>
          <w:highlight w:val="none"/>
        </w:rPr>
        <w:t>施工单位</w:t>
      </w:r>
      <w:r>
        <w:rPr>
          <w:rStyle w:val="31"/>
          <w:rFonts w:hint="eastAsia" w:ascii="宋体" w:hAnsi="宋体" w:eastAsia="宋体" w:cs="宋体"/>
          <w:b/>
          <w:color w:val="auto"/>
          <w:kern w:val="0"/>
          <w:sz w:val="24"/>
          <w:szCs w:val="24"/>
          <w:highlight w:val="none"/>
          <w:lang w:eastAsia="zh-CN"/>
        </w:rPr>
        <w:t>：</w:t>
      </w:r>
      <w:r>
        <w:rPr>
          <w:rStyle w:val="31"/>
          <w:rFonts w:hint="eastAsia" w:ascii="宋体" w:hAnsi="宋体" w:eastAsia="宋体" w:cs="宋体"/>
          <w:b/>
          <w:color w:val="auto"/>
          <w:kern w:val="0"/>
          <w:sz w:val="24"/>
          <w:szCs w:val="24"/>
          <w:highlight w:val="none"/>
        </w:rPr>
        <w:t>（以下简称乙方）</w:t>
      </w:r>
    </w:p>
    <w:p w14:paraId="22003DC9">
      <w:pPr>
        <w:keepNext w:val="0"/>
        <w:keepLines w:val="0"/>
        <w:pageBreakBefore w:val="0"/>
        <w:widowControl/>
        <w:kinsoku/>
        <w:wordWrap/>
        <w:overflowPunct/>
        <w:topLinePunct w:val="0"/>
        <w:autoSpaceDE/>
        <w:autoSpaceDN/>
        <w:bidi w:val="0"/>
        <w:spacing w:line="480" w:lineRule="exact"/>
        <w:ind w:firstLine="480" w:firstLineChars="200"/>
        <w:textAlignment w:val="baseline"/>
        <w:rPr>
          <w:rStyle w:val="31"/>
          <w:rFonts w:hint="eastAsia" w:ascii="宋体" w:hAnsi="宋体" w:eastAsia="宋体" w:cs="宋体"/>
          <w:b/>
          <w:color w:val="auto"/>
          <w:sz w:val="24"/>
          <w:szCs w:val="24"/>
          <w:highlight w:val="none"/>
          <w:u w:val="single"/>
        </w:rPr>
      </w:pPr>
      <w:r>
        <w:rPr>
          <w:rStyle w:val="31"/>
          <w:rFonts w:hint="eastAsia" w:ascii="宋体" w:hAnsi="宋体" w:eastAsia="宋体" w:cs="宋体"/>
          <w:color w:val="auto"/>
          <w:sz w:val="24"/>
          <w:szCs w:val="24"/>
          <w:highlight w:val="none"/>
        </w:rPr>
        <w:t>甲方委托乙方进行“</w:t>
      </w:r>
      <w:r>
        <w:rPr>
          <w:rStyle w:val="31"/>
          <w:rFonts w:hint="eastAsia" w:cs="宋体"/>
          <w:color w:val="auto"/>
          <w:sz w:val="24"/>
          <w:szCs w:val="24"/>
          <w:highlight w:val="none"/>
          <w:lang w:eastAsia="zh-CN"/>
        </w:rPr>
        <w:t>桂林市人民医院2号专变更换工程</w:t>
      </w:r>
      <w:r>
        <w:rPr>
          <w:rStyle w:val="31"/>
          <w:rFonts w:hint="eastAsia" w:ascii="宋体" w:hAnsi="宋体" w:eastAsia="宋体" w:cs="宋体"/>
          <w:color w:val="auto"/>
          <w:sz w:val="24"/>
          <w:szCs w:val="24"/>
          <w:highlight w:val="none"/>
        </w:rPr>
        <w:t>”的施工，为确保工程顺利进行，经双方友好协商，特定以下条款共同遵守。</w:t>
      </w:r>
    </w:p>
    <w:p w14:paraId="471B90E2">
      <w:pPr>
        <w:keepNext w:val="0"/>
        <w:keepLines w:val="0"/>
        <w:pageBreakBefore w:val="0"/>
        <w:widowControl/>
        <w:tabs>
          <w:tab w:val="left" w:pos="210"/>
        </w:tabs>
        <w:kinsoku/>
        <w:wordWrap/>
        <w:overflowPunct/>
        <w:topLinePunct w:val="0"/>
        <w:autoSpaceDE/>
        <w:autoSpaceDN/>
        <w:bidi w:val="0"/>
        <w:spacing w:line="480" w:lineRule="exact"/>
        <w:ind w:left="239" w:leftChars="114" w:firstLine="241" w:firstLineChars="1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rPr>
        <w:t>一、工程概况、地点及付款方式</w:t>
      </w:r>
    </w:p>
    <w:p w14:paraId="60739E2E">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1</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工程地点：桂林市文明路12号</w:t>
      </w:r>
    </w:p>
    <w:p w14:paraId="510816E4">
      <w:pPr>
        <w:keepNext w:val="0"/>
        <w:keepLines w:val="0"/>
        <w:pageBreakBefore w:val="0"/>
        <w:widowControl/>
        <w:tabs>
          <w:tab w:val="left" w:pos="220"/>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2</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工程概况：本工程为</w:t>
      </w:r>
      <w:r>
        <w:rPr>
          <w:rStyle w:val="31"/>
          <w:rFonts w:hint="eastAsia" w:cs="宋体"/>
          <w:color w:val="auto"/>
          <w:kern w:val="0"/>
          <w:sz w:val="24"/>
          <w:szCs w:val="24"/>
          <w:highlight w:val="none"/>
          <w:lang w:eastAsia="zh-CN"/>
        </w:rPr>
        <w:t>桂林市人民医院2号专变更换工程</w:t>
      </w:r>
      <w:r>
        <w:rPr>
          <w:rStyle w:val="31"/>
          <w:rFonts w:hint="eastAsia" w:ascii="宋体" w:hAnsi="宋体" w:eastAsia="宋体" w:cs="宋体"/>
          <w:color w:val="auto"/>
          <w:kern w:val="0"/>
          <w:sz w:val="24"/>
          <w:szCs w:val="24"/>
          <w:highlight w:val="none"/>
        </w:rPr>
        <w:t>，位于广西壮族自治区桂林市。</w:t>
      </w:r>
    </w:p>
    <w:p w14:paraId="3F0A277A">
      <w:pPr>
        <w:keepNext w:val="0"/>
        <w:keepLines w:val="0"/>
        <w:pageBreakBefore w:val="0"/>
        <w:widowControl/>
        <w:tabs>
          <w:tab w:val="left" w:pos="315"/>
        </w:tabs>
        <w:kinsoku/>
        <w:wordWrap/>
        <w:overflowPunct/>
        <w:topLinePunct w:val="0"/>
        <w:autoSpaceDE/>
        <w:autoSpaceDN/>
        <w:bidi w:val="0"/>
        <w:spacing w:line="480" w:lineRule="exact"/>
        <w:ind w:left="479" w:leftChars="228" w:firstLine="0" w:firstLine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Cs/>
          <w:color w:val="auto"/>
          <w:kern w:val="0"/>
          <w:sz w:val="24"/>
          <w:szCs w:val="24"/>
          <w:highlight w:val="none"/>
        </w:rPr>
        <w:t>3</w:t>
      </w:r>
      <w:r>
        <w:rPr>
          <w:rStyle w:val="31"/>
          <w:rFonts w:hint="eastAsia" w:ascii="宋体" w:hAnsi="宋体" w:eastAsia="宋体" w:cs="宋体"/>
          <w:bCs/>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承包方式、金额、拨款方法：</w:t>
      </w:r>
    </w:p>
    <w:p w14:paraId="1CA9DCB2">
      <w:pPr>
        <w:keepNext w:val="0"/>
        <w:keepLines w:val="0"/>
        <w:pageBreakBefore w:val="0"/>
        <w:widowControl/>
        <w:tabs>
          <w:tab w:val="left" w:pos="220"/>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（1）</w:t>
      </w:r>
      <w:r>
        <w:rPr>
          <w:rStyle w:val="31"/>
          <w:rFonts w:hint="eastAsia" w:ascii="宋体" w:hAnsi="宋体" w:eastAsia="宋体" w:cs="宋体"/>
          <w:color w:val="auto"/>
          <w:kern w:val="0"/>
          <w:sz w:val="24"/>
          <w:szCs w:val="24"/>
          <w:highlight w:val="none"/>
          <w:lang w:val="zh-CN"/>
        </w:rPr>
        <w:t>本工程合同总价暂定</w:t>
      </w:r>
      <w:r>
        <w:rPr>
          <w:rStyle w:val="31"/>
          <w:rFonts w:hint="eastAsia" w:ascii="宋体" w:hAnsi="宋体" w:eastAsia="宋体" w:cs="宋体"/>
          <w:color w:val="auto"/>
          <w:kern w:val="0"/>
          <w:sz w:val="24"/>
          <w:szCs w:val="24"/>
          <w:highlight w:val="none"/>
        </w:rPr>
        <w:t>为人民币：</w:t>
      </w:r>
      <w:r>
        <w:rPr>
          <w:rStyle w:val="31"/>
          <w:rFonts w:hint="eastAsia" w:ascii="宋体" w:hAnsi="宋体" w:eastAsia="宋体" w:cs="宋体"/>
          <w:color w:val="auto"/>
          <w:kern w:val="0"/>
          <w:sz w:val="24"/>
          <w:szCs w:val="24"/>
          <w:highlight w:val="none"/>
          <w:u w:val="single"/>
        </w:rPr>
        <w:t>￥</w:t>
      </w:r>
      <w:r>
        <w:rPr>
          <w:rStyle w:val="31"/>
          <w:rFonts w:hint="eastAsia" w:ascii="宋体" w:hAnsi="宋体" w:cs="宋体"/>
          <w:color w:val="auto"/>
          <w:kern w:val="0"/>
          <w:sz w:val="24"/>
          <w:szCs w:val="24"/>
          <w:highlight w:val="none"/>
          <w:u w:val="single"/>
          <w:lang w:val="en-US" w:eastAsia="zh-CN"/>
        </w:rPr>
        <w:t xml:space="preserve">    </w:t>
      </w:r>
      <w:r>
        <w:rPr>
          <w:rStyle w:val="31"/>
          <w:rFonts w:hint="eastAsia" w:cs="宋体"/>
          <w:color w:val="auto"/>
          <w:kern w:val="0"/>
          <w:sz w:val="24"/>
          <w:szCs w:val="24"/>
          <w:highlight w:val="none"/>
          <w:u w:val="single"/>
          <w:lang w:val="en-US" w:eastAsia="zh-CN"/>
        </w:rPr>
        <w:t xml:space="preserve">   </w:t>
      </w:r>
      <w:r>
        <w:rPr>
          <w:rStyle w:val="31"/>
          <w:rFonts w:hint="eastAsia" w:ascii="宋体" w:hAnsi="宋体" w:eastAsia="宋体" w:cs="宋体"/>
          <w:color w:val="auto"/>
          <w:kern w:val="0"/>
          <w:sz w:val="24"/>
          <w:szCs w:val="24"/>
          <w:highlight w:val="none"/>
        </w:rPr>
        <w:t>（大写：</w:t>
      </w:r>
      <w:r>
        <w:rPr>
          <w:rStyle w:val="31"/>
          <w:rFonts w:hint="eastAsia" w:cs="宋体"/>
          <w:color w:val="auto"/>
          <w:kern w:val="0"/>
          <w:sz w:val="24"/>
          <w:szCs w:val="24"/>
          <w:highlight w:val="none"/>
          <w:u w:val="single"/>
          <w:lang w:val="en-US" w:eastAsia="zh-CN"/>
        </w:rPr>
        <w:t xml:space="preserve">       </w:t>
      </w:r>
      <w:r>
        <w:rPr>
          <w:rStyle w:val="31"/>
          <w:rFonts w:hint="eastAsia" w:cs="宋体"/>
          <w:color w:val="auto"/>
          <w:kern w:val="0"/>
          <w:sz w:val="24"/>
          <w:szCs w:val="24"/>
          <w:highlight w:val="none"/>
          <w:lang w:val="en-US" w:eastAsia="zh-CN"/>
        </w:rPr>
        <w:t>含暂列金</w:t>
      </w:r>
      <w:r>
        <w:rPr>
          <w:rStyle w:val="31"/>
          <w:rFonts w:hint="eastAsia" w:cs="宋体"/>
          <w:color w:val="auto"/>
          <w:kern w:val="0"/>
          <w:sz w:val="24"/>
          <w:szCs w:val="24"/>
          <w:highlight w:val="none"/>
          <w:u w:val="single"/>
          <w:lang w:val="en-US" w:eastAsia="zh-CN"/>
        </w:rPr>
        <w:t xml:space="preserve">        </w:t>
      </w:r>
      <w:r>
        <w:rPr>
          <w:rStyle w:val="31"/>
          <w:rFonts w:hint="eastAsia" w:ascii="宋体" w:hAnsi="宋体" w:eastAsia="宋体" w:cs="宋体"/>
          <w:color w:val="auto"/>
          <w:kern w:val="0"/>
          <w:sz w:val="24"/>
          <w:szCs w:val="24"/>
          <w:highlight w:val="none"/>
        </w:rPr>
        <w:t>），该价格含工程</w:t>
      </w:r>
      <w:r>
        <w:rPr>
          <w:rStyle w:val="31"/>
          <w:rFonts w:hint="eastAsia" w:cs="宋体"/>
          <w:color w:val="auto"/>
          <w:kern w:val="0"/>
          <w:sz w:val="24"/>
          <w:szCs w:val="24"/>
          <w:highlight w:val="none"/>
          <w:lang w:val="en-US" w:eastAsia="zh-CN"/>
        </w:rPr>
        <w:t>税费、</w:t>
      </w:r>
      <w:r>
        <w:rPr>
          <w:rStyle w:val="31"/>
          <w:rFonts w:hint="eastAsia" w:ascii="宋体" w:hAnsi="宋体" w:eastAsia="宋体" w:cs="宋体"/>
          <w:color w:val="auto"/>
          <w:kern w:val="0"/>
          <w:sz w:val="24"/>
          <w:szCs w:val="24"/>
          <w:highlight w:val="none"/>
        </w:rPr>
        <w:t>施工费、供电验收、未通过供电验收的整改和移交等所有费用。</w:t>
      </w:r>
    </w:p>
    <w:p w14:paraId="5646DE5F">
      <w:pPr>
        <w:keepNext w:val="0"/>
        <w:keepLines w:val="0"/>
        <w:pageBreakBefore w:val="0"/>
        <w:widowControl/>
        <w:tabs>
          <w:tab w:val="left" w:pos="220"/>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合同价格形式：本合同为固定单价合同，工程量按实结算。合同总价根据实际完成工程量乘以固定单价进行调整。</w:t>
      </w:r>
    </w:p>
    <w:p w14:paraId="68F1EB12">
      <w:pPr>
        <w:keepNext w:val="0"/>
        <w:keepLines w:val="0"/>
        <w:pageBreakBefore w:val="0"/>
        <w:widowControl/>
        <w:tabs>
          <w:tab w:val="left" w:pos="220"/>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设计修改或签证增加工程项目：增加工程量以甲方认可的工程量，及经甲方认可的实际竣工图所载工程量为依据。合同中已有适用于变更工程的价格，按合同已有的价格变更合同价款；合同中只有类似于变更工程的价格，可以参照类似的价格变更合同价款；合同中没有适用或类似于变更工程的价格，由乙方提出适当的变更价格，经甲方确认后执行。</w:t>
      </w:r>
    </w:p>
    <w:p w14:paraId="404DCB55">
      <w:pPr>
        <w:keepNext w:val="0"/>
        <w:keepLines w:val="0"/>
        <w:pageBreakBefore w:val="0"/>
        <w:widowControl/>
        <w:tabs>
          <w:tab w:val="left" w:pos="220"/>
        </w:tabs>
        <w:kinsoku/>
        <w:wordWrap/>
        <w:overflowPunct/>
        <w:topLinePunct w:val="0"/>
        <w:autoSpaceDE/>
        <w:autoSpaceDN/>
        <w:bidi w:val="0"/>
        <w:spacing w:line="480" w:lineRule="exact"/>
        <w:ind w:left="15" w:hanging="15"/>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 xml:space="preserve">    （2）施工期间</w:t>
      </w:r>
      <w:r>
        <w:rPr>
          <w:rStyle w:val="31"/>
          <w:rFonts w:hint="eastAsia" w:ascii="宋体" w:hAnsi="宋体" w:eastAsia="宋体" w:cs="宋体"/>
          <w:color w:val="auto"/>
          <w:sz w:val="24"/>
          <w:szCs w:val="24"/>
          <w:highlight w:val="none"/>
        </w:rPr>
        <w:t>乙</w:t>
      </w:r>
      <w:r>
        <w:rPr>
          <w:rStyle w:val="31"/>
          <w:rFonts w:hint="eastAsia" w:ascii="宋体" w:hAnsi="宋体" w:eastAsia="宋体" w:cs="宋体"/>
          <w:color w:val="auto"/>
          <w:kern w:val="0"/>
          <w:sz w:val="24"/>
          <w:szCs w:val="24"/>
          <w:highlight w:val="none"/>
        </w:rPr>
        <w:t>方所使用的水电由甲方提供,水电费用由乙方承担，结算时予以扣除。</w:t>
      </w:r>
    </w:p>
    <w:p w14:paraId="6DD2C3E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lang w:val="en-US" w:eastAsia="zh-CN"/>
        </w:rPr>
        <w:t>乙方</w:t>
      </w:r>
      <w:r>
        <w:rPr>
          <w:rFonts w:hint="eastAsia"/>
          <w:color w:val="auto"/>
          <w:sz w:val="24"/>
          <w:highlight w:val="none"/>
          <w:lang w:eastAsia="zh-CN"/>
        </w:rPr>
        <w:t>是否提供履约担保:按合同价款的3%在第一次转账支付工程进度款时扣除，项目结算完成后无息退返。</w:t>
      </w:r>
    </w:p>
    <w:p w14:paraId="1B2BD64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lang w:val="en-US" w:eastAsia="zh-CN"/>
        </w:rPr>
        <w:t>乙方</w:t>
      </w:r>
      <w:r>
        <w:rPr>
          <w:rFonts w:hint="eastAsia"/>
          <w:color w:val="auto"/>
          <w:sz w:val="24"/>
          <w:highlight w:val="none"/>
          <w:lang w:eastAsia="zh-CN"/>
        </w:rPr>
        <w:t>提供安全生产风险抵押的形式、金额及期限的:按合同价款的2%在第一次转账支付工程进度款时扣除，项目施工竣工验收合格后无息退返。</w:t>
      </w:r>
    </w:p>
    <w:p w14:paraId="044563D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4</w:t>
      </w:r>
      <w:r>
        <w:rPr>
          <w:rFonts w:hint="eastAsia"/>
          <w:color w:val="auto"/>
          <w:sz w:val="24"/>
          <w:highlight w:val="none"/>
          <w:lang w:val="en-US" w:eastAsia="zh-CN"/>
        </w:rPr>
        <w:t>.</w:t>
      </w:r>
      <w:r>
        <w:rPr>
          <w:rFonts w:hint="eastAsia"/>
          <w:color w:val="auto"/>
          <w:sz w:val="24"/>
          <w:highlight w:val="none"/>
          <w:lang w:eastAsia="zh-CN"/>
        </w:rPr>
        <w:t>工程款按如下办法支付：</w:t>
      </w:r>
    </w:p>
    <w:p w14:paraId="50DDCA2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（1）合同签订、签发开工令支付合同造价的20%(扣除暂列金，安全风险金 2%，履约保证金 3%)；</w:t>
      </w:r>
    </w:p>
    <w:p w14:paraId="36EA1D71">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u w:val="none"/>
          <w:lang w:val="en-US" w:eastAsia="zh-CN"/>
        </w:rPr>
      </w:pPr>
      <w:r>
        <w:rPr>
          <w:rStyle w:val="31"/>
          <w:rFonts w:hint="eastAsia" w:ascii="宋体" w:hAnsi="宋体" w:eastAsia="宋体" w:cs="宋体"/>
          <w:color w:val="auto"/>
          <w:kern w:val="0"/>
          <w:sz w:val="24"/>
          <w:szCs w:val="24"/>
          <w:highlight w:val="none"/>
          <w:u w:val="none"/>
          <w:lang w:val="en-US" w:eastAsia="zh-CN"/>
        </w:rPr>
        <w:t>（2）主要设备进场后甲方支付至合同总额的50%作为工程进度款，用于土建、安装及设备与材料的款项支付；</w:t>
      </w:r>
    </w:p>
    <w:p w14:paraId="57D8C591">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u w:val="none"/>
          <w:lang w:val="en-US" w:eastAsia="zh-CN"/>
        </w:rPr>
      </w:pPr>
      <w:r>
        <w:rPr>
          <w:rStyle w:val="31"/>
          <w:rFonts w:hint="eastAsia" w:ascii="宋体" w:hAnsi="宋体" w:eastAsia="宋体" w:cs="宋体"/>
          <w:color w:val="auto"/>
          <w:kern w:val="0"/>
          <w:sz w:val="24"/>
          <w:szCs w:val="24"/>
          <w:highlight w:val="none"/>
          <w:u w:val="none"/>
          <w:lang w:val="en-US" w:eastAsia="zh-CN"/>
        </w:rPr>
        <w:t>（3）本工程施工完成、送电验收合格后，支付至合同总额的80%；</w:t>
      </w:r>
    </w:p>
    <w:p w14:paraId="3B1BEF6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（4）乙方提交竣工付款申请单，最终结算以审计部门的审定结果为准。验收合格后，工程款按最终审定的结算造价支付至95％，</w:t>
      </w:r>
    </w:p>
    <w:p w14:paraId="6D839E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（5）余工程审核造价金额的5%作为质保金，质保期自竣工之日起计算       年（防水5年），质保期满如未出现质量缺陷，或虽出现质量缺陷，但乙方已按合同约定条款履行了保修责任，并经甲方验收合格，质保期满30个工作日后付清（无息）。</w:t>
      </w:r>
    </w:p>
    <w:p w14:paraId="300901A2">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u w:val="none"/>
          <w:lang w:val="en-US" w:eastAsia="zh-CN"/>
        </w:rPr>
      </w:pPr>
      <w:r>
        <w:rPr>
          <w:rStyle w:val="31"/>
          <w:rFonts w:hint="eastAsia" w:ascii="宋体" w:hAnsi="宋体" w:eastAsia="宋体" w:cs="宋体"/>
          <w:color w:val="auto"/>
          <w:kern w:val="0"/>
          <w:sz w:val="24"/>
          <w:szCs w:val="24"/>
          <w:highlight w:val="none"/>
          <w:u w:val="none"/>
          <w:lang w:val="en-US" w:eastAsia="zh-CN"/>
        </w:rPr>
        <w:t>（</w:t>
      </w:r>
      <w:r>
        <w:rPr>
          <w:rStyle w:val="31"/>
          <w:rFonts w:hint="eastAsia" w:cs="宋体"/>
          <w:color w:val="auto"/>
          <w:kern w:val="0"/>
          <w:sz w:val="24"/>
          <w:szCs w:val="24"/>
          <w:highlight w:val="none"/>
          <w:u w:val="none"/>
          <w:lang w:val="en-US" w:eastAsia="zh-CN"/>
        </w:rPr>
        <w:t>6</w:t>
      </w:r>
      <w:r>
        <w:rPr>
          <w:rStyle w:val="31"/>
          <w:rFonts w:hint="eastAsia" w:ascii="宋体" w:hAnsi="宋体" w:eastAsia="宋体" w:cs="宋体"/>
          <w:color w:val="auto"/>
          <w:kern w:val="0"/>
          <w:sz w:val="24"/>
          <w:szCs w:val="24"/>
          <w:highlight w:val="none"/>
          <w:u w:val="none"/>
          <w:lang w:val="en-US" w:eastAsia="zh-CN"/>
        </w:rPr>
        <w:t>）每次付款前，乙方需向甲方提供等额有效税务发票。（各阶段进度款均需先扣除暂列金）；工程款的支付形式为银行转账；乙方应该开具真实、有效的税务发票，一旦查出乙方提供的发票作假，自动解除协议并且甲方有权利不支付该笔发票款项。</w:t>
      </w:r>
    </w:p>
    <w:p w14:paraId="3E006923">
      <w:pPr>
        <w:keepNext w:val="0"/>
        <w:keepLines w:val="0"/>
        <w:pageBreakBefore w:val="0"/>
        <w:widowControl/>
        <w:tabs>
          <w:tab w:val="left" w:pos="420"/>
        </w:tabs>
        <w:kinsoku/>
        <w:wordWrap/>
        <w:overflowPunct/>
        <w:topLinePunct w:val="0"/>
        <w:autoSpaceDE/>
        <w:autoSpaceDN/>
        <w:bidi w:val="0"/>
        <w:spacing w:line="480" w:lineRule="exact"/>
        <w:ind w:left="426" w:leftChars="203" w:firstLine="0" w:firstLine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二</w:t>
      </w:r>
      <w:r>
        <w:rPr>
          <w:rStyle w:val="31"/>
          <w:rFonts w:hint="eastAsia" w:ascii="宋体" w:hAnsi="宋体" w:eastAsia="宋体" w:cs="宋体"/>
          <w:b/>
          <w:color w:val="auto"/>
          <w:kern w:val="0"/>
          <w:sz w:val="24"/>
          <w:szCs w:val="24"/>
          <w:highlight w:val="none"/>
        </w:rPr>
        <w:t>、工程工期</w:t>
      </w:r>
    </w:p>
    <w:p w14:paraId="6663C716">
      <w:pPr>
        <w:keepNext w:val="0"/>
        <w:keepLines w:val="0"/>
        <w:pageBreakBefore w:val="0"/>
        <w:widowControl/>
        <w:kinsoku/>
        <w:wordWrap/>
        <w:overflowPunct/>
        <w:topLinePunct w:val="0"/>
        <w:autoSpaceDE/>
        <w:autoSpaceDN/>
        <w:bidi w:val="0"/>
        <w:spacing w:line="480" w:lineRule="exact"/>
        <w:ind w:firstLine="480" w:firstLineChars="200"/>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zh-CN"/>
        </w:rPr>
        <w:t>本工程开工日期</w:t>
      </w:r>
      <w:r>
        <w:rPr>
          <w:rStyle w:val="31"/>
          <w:rFonts w:hint="eastAsia" w:ascii="宋体" w:hAnsi="宋体" w:cs="宋体"/>
          <w:color w:val="auto"/>
          <w:sz w:val="24"/>
          <w:szCs w:val="24"/>
          <w:highlight w:val="none"/>
          <w:lang w:val="en-US" w:eastAsia="zh-CN"/>
        </w:rPr>
        <w:t>202</w:t>
      </w:r>
      <w:r>
        <w:rPr>
          <w:rStyle w:val="31"/>
          <w:rFonts w:hint="eastAsia" w:cs="宋体"/>
          <w:color w:val="auto"/>
          <w:sz w:val="24"/>
          <w:szCs w:val="24"/>
          <w:highlight w:val="none"/>
          <w:lang w:val="en-US" w:eastAsia="zh-CN"/>
        </w:rPr>
        <w:t>5</w:t>
      </w:r>
      <w:r>
        <w:rPr>
          <w:rStyle w:val="31"/>
          <w:rFonts w:hint="eastAsia" w:ascii="宋体" w:hAnsi="宋体" w:eastAsia="宋体" w:cs="宋体"/>
          <w:color w:val="auto"/>
          <w:sz w:val="24"/>
          <w:szCs w:val="24"/>
          <w:highlight w:val="none"/>
          <w:lang w:val="zh-CN"/>
        </w:rPr>
        <w:t>年</w:t>
      </w:r>
      <w:r>
        <w:rPr>
          <w:rStyle w:val="31"/>
          <w:rFonts w:hint="eastAsia" w:ascii="宋体" w:hAnsi="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lang w:val="zh-CN"/>
        </w:rPr>
        <w:t>月</w:t>
      </w:r>
      <w:r>
        <w:rPr>
          <w:rStyle w:val="31"/>
          <w:rFonts w:hint="eastAsia" w:ascii="宋体" w:hAnsi="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lang w:val="zh-CN"/>
        </w:rPr>
        <w:t>日，</w:t>
      </w:r>
      <w:r>
        <w:rPr>
          <w:rStyle w:val="31"/>
          <w:rFonts w:hint="eastAsia" w:ascii="宋体" w:hAnsi="宋体" w:eastAsia="宋体" w:cs="宋体"/>
          <w:color w:val="auto"/>
          <w:sz w:val="24"/>
          <w:szCs w:val="24"/>
          <w:highlight w:val="none"/>
        </w:rPr>
        <w:t>竣工日期</w:t>
      </w:r>
      <w:r>
        <w:rPr>
          <w:rStyle w:val="31"/>
          <w:rFonts w:hint="eastAsia" w:ascii="宋体" w:hAnsi="宋体" w:cs="宋体"/>
          <w:color w:val="auto"/>
          <w:sz w:val="24"/>
          <w:szCs w:val="24"/>
          <w:highlight w:val="none"/>
          <w:lang w:val="en-US" w:eastAsia="zh-CN"/>
        </w:rPr>
        <w:t>202</w:t>
      </w:r>
      <w:r>
        <w:rPr>
          <w:rStyle w:val="31"/>
          <w:rFonts w:hint="eastAsia" w:cs="宋体"/>
          <w:color w:val="auto"/>
          <w:sz w:val="24"/>
          <w:szCs w:val="24"/>
          <w:highlight w:val="none"/>
          <w:lang w:val="en-US" w:eastAsia="zh-CN"/>
        </w:rPr>
        <w:t>5</w:t>
      </w:r>
      <w:r>
        <w:rPr>
          <w:rStyle w:val="31"/>
          <w:rFonts w:hint="eastAsia" w:ascii="宋体" w:hAnsi="宋体" w:eastAsia="宋体" w:cs="宋体"/>
          <w:color w:val="auto"/>
          <w:sz w:val="24"/>
          <w:szCs w:val="24"/>
          <w:highlight w:val="none"/>
          <w:lang w:val="zh-CN"/>
        </w:rPr>
        <w:t>年</w:t>
      </w:r>
      <w:r>
        <w:rPr>
          <w:rStyle w:val="31"/>
          <w:rFonts w:hint="eastAsia" w:ascii="宋体" w:hAnsi="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lang w:val="zh-CN"/>
        </w:rPr>
        <w:t>月</w:t>
      </w:r>
      <w:r>
        <w:rPr>
          <w:rStyle w:val="31"/>
          <w:rFonts w:hint="eastAsia" w:ascii="宋体" w:hAnsi="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lang w:val="zh-CN"/>
        </w:rPr>
        <w:t>日</w:t>
      </w:r>
      <w:r>
        <w:rPr>
          <w:rStyle w:val="31"/>
          <w:rFonts w:hint="eastAsia" w:ascii="宋体" w:hAnsi="宋体" w:eastAsia="宋体" w:cs="宋体"/>
          <w:color w:val="auto"/>
          <w:sz w:val="24"/>
          <w:szCs w:val="24"/>
          <w:highlight w:val="none"/>
        </w:rPr>
        <w:t>。因不可抗力及甲方原因引起的工期延误，工期顺延。</w:t>
      </w:r>
    </w:p>
    <w:p w14:paraId="5EBC9D3F">
      <w:pPr>
        <w:keepNext w:val="0"/>
        <w:keepLines w:val="0"/>
        <w:pageBreakBefore w:val="0"/>
        <w:widowControl/>
        <w:kinsoku/>
        <w:wordWrap/>
        <w:overflowPunct/>
        <w:topLinePunct w:val="0"/>
        <w:autoSpaceDE/>
        <w:autoSpaceDN/>
        <w:bidi w:val="0"/>
        <w:spacing w:line="480" w:lineRule="exact"/>
        <w:ind w:firstLine="482"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rPr>
        <w:t>三、工程质量</w:t>
      </w:r>
    </w:p>
    <w:p w14:paraId="740088A3">
      <w:pPr>
        <w:keepNext w:val="0"/>
        <w:keepLines w:val="0"/>
        <w:pageBreakBefore w:val="0"/>
        <w:widowControl/>
        <w:tabs>
          <w:tab w:val="left" w:pos="315"/>
        </w:tabs>
        <w:kinsoku/>
        <w:wordWrap/>
        <w:overflowPunct/>
        <w:topLinePunct w:val="0"/>
        <w:autoSpaceDE/>
        <w:autoSpaceDN/>
        <w:bidi w:val="0"/>
        <w:spacing w:line="360" w:lineRule="auto"/>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1</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工程质量合格。乙方必须严格按照国家现行有关标准、施工规范、设计文件及现行施工验收规范等要求进行施工，工程质量</w:t>
      </w:r>
      <w:r>
        <w:rPr>
          <w:rStyle w:val="31"/>
          <w:rFonts w:hint="eastAsia" w:cs="宋体"/>
          <w:color w:val="auto"/>
          <w:kern w:val="0"/>
          <w:sz w:val="24"/>
          <w:szCs w:val="24"/>
          <w:highlight w:val="none"/>
          <w:lang w:val="en-US" w:eastAsia="zh-CN"/>
        </w:rPr>
        <w:t>达到</w:t>
      </w:r>
      <w:r>
        <w:rPr>
          <w:rStyle w:val="31"/>
          <w:rFonts w:hint="eastAsia" w:ascii="宋体" w:hAnsi="宋体" w:eastAsia="宋体" w:cs="宋体"/>
          <w:color w:val="auto"/>
          <w:kern w:val="0"/>
          <w:sz w:val="24"/>
          <w:szCs w:val="24"/>
          <w:highlight w:val="none"/>
        </w:rPr>
        <w:t>国家施工验收规范标准。乙方应服从监理、甲方的施工指令，随时接受监理、甲方及其委派人员的检查检验。</w:t>
      </w:r>
    </w:p>
    <w:p w14:paraId="20F2D5E2">
      <w:pPr>
        <w:keepNext w:val="0"/>
        <w:keepLines w:val="0"/>
        <w:pageBreakBefore w:val="0"/>
        <w:widowControl/>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4"/>
          <w:szCs w:val="24"/>
          <w:highlight w:val="none"/>
        </w:rPr>
      </w:pPr>
      <w:r>
        <w:rPr>
          <w:rStyle w:val="31"/>
          <w:rFonts w:hint="default" w:ascii="Times New Roman" w:hAnsi="Times New Roman" w:eastAsia="宋体" w:cs="Times New Roman"/>
          <w:color w:val="auto"/>
          <w:sz w:val="24"/>
          <w:szCs w:val="24"/>
          <w:highlight w:val="none"/>
          <w:lang w:val="en-US" w:eastAsia="zh-CN"/>
        </w:rPr>
        <w:t>1.1</w:t>
      </w:r>
      <w:r>
        <w:rPr>
          <w:rFonts w:hint="eastAsia" w:ascii="宋体" w:hAnsi="宋体" w:eastAsia="宋体" w:cs="宋体"/>
          <w:color w:val="auto"/>
          <w:sz w:val="24"/>
          <w:szCs w:val="24"/>
          <w:highlight w:val="none"/>
        </w:rPr>
        <w:t>适用法律法规：《中华人民共和国民法典》。</w:t>
      </w:r>
    </w:p>
    <w:p w14:paraId="0DDCE2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适用标准、规范：</w:t>
      </w:r>
    </w:p>
    <w:p w14:paraId="13CD53A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1.2.1《普通混凝土配合比设计规定（JGJ55-2011）》</w:t>
      </w:r>
    </w:p>
    <w:p w14:paraId="2057917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1.2.2《混凝土强度检验评定标准（GB50107-2010）》</w:t>
      </w:r>
    </w:p>
    <w:p w14:paraId="1E89FBD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1.2.3《混凝土结构工程施工质量验收规范（GB50204-2015）》</w:t>
      </w:r>
    </w:p>
    <w:p w14:paraId="3C380E5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1.2.4《钢结构焊接规程（GB50661-2011）》</w:t>
      </w:r>
    </w:p>
    <w:p w14:paraId="49B7F8D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1.2.5《电器装置安装工程 低压电器施工及验收规范（GB50254-2014）》</w:t>
      </w:r>
    </w:p>
    <w:p w14:paraId="7D94AD5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1.2.6《1kV及以下配线工程施工与验收规范（GB 50575-2010）》</w:t>
      </w:r>
    </w:p>
    <w:p w14:paraId="2A387BF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1.2.7《高压绝缘子瓷件技术条件（GB/T 772-2005）》</w:t>
      </w:r>
    </w:p>
    <w:p w14:paraId="0DF528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1.2.8</w:t>
      </w:r>
      <w:r>
        <w:rPr>
          <w:rFonts w:hint="eastAsia" w:ascii="宋体" w:hAnsi="宋体" w:eastAsia="宋体" w:cs="宋体"/>
          <w:color w:val="auto"/>
          <w:sz w:val="24"/>
          <w:szCs w:val="24"/>
          <w:highlight w:val="none"/>
        </w:rPr>
        <w:t>《1000kV架空输电线路施工及验收规范（Q/GDW 1153-2012）》</w:t>
      </w:r>
    </w:p>
    <w:p w14:paraId="764652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1.2.9</w:t>
      </w:r>
      <w:r>
        <w:rPr>
          <w:rFonts w:hint="eastAsia" w:ascii="宋体" w:hAnsi="宋体" w:eastAsia="宋体" w:cs="宋体"/>
          <w:color w:val="auto"/>
          <w:sz w:val="24"/>
          <w:szCs w:val="24"/>
          <w:highlight w:val="none"/>
        </w:rPr>
        <w:t>《电气装置安装工程高压电器施工及验收规范（GB50147-2010）》</w:t>
      </w:r>
    </w:p>
    <w:p w14:paraId="6B4073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1.2.10</w:t>
      </w:r>
      <w:r>
        <w:rPr>
          <w:rFonts w:hint="eastAsia" w:ascii="宋体" w:hAnsi="宋体" w:eastAsia="宋体" w:cs="宋体"/>
          <w:color w:val="auto"/>
          <w:sz w:val="24"/>
          <w:szCs w:val="24"/>
          <w:highlight w:val="none"/>
        </w:rPr>
        <w:t>《电气装置安装工程电力变压器、油浸电抗器、互感器施工及验收规范（GB</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0148-2010）》</w:t>
      </w:r>
    </w:p>
    <w:p w14:paraId="2FF0CB6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1.2.11《电气装置安装工程盘、柜及二次回路接线施工及验收规范（GB50171-2012）》</w:t>
      </w:r>
    </w:p>
    <w:p w14:paraId="31ED7C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1.2.12《1000kV系统电气装置安装工程电气设备交接试验标准（GB/T50832-2013）》</w:t>
      </w:r>
    </w:p>
    <w:p w14:paraId="3C1CDB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1.2.13</w:t>
      </w:r>
      <w:r>
        <w:rPr>
          <w:rFonts w:hint="eastAsia" w:ascii="宋体" w:hAnsi="宋体" w:eastAsia="宋体" w:cs="宋体"/>
          <w:color w:val="auto"/>
          <w:sz w:val="24"/>
          <w:szCs w:val="24"/>
          <w:highlight w:val="none"/>
        </w:rPr>
        <w:t>《电气装置安装工程 电缆线路施工及验收标准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GB 50168-2018</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2FD7B8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1.2.14</w:t>
      </w:r>
      <w:r>
        <w:rPr>
          <w:rFonts w:hint="eastAsia" w:ascii="宋体" w:hAnsi="宋体" w:eastAsia="宋体" w:cs="宋体"/>
          <w:color w:val="auto"/>
          <w:sz w:val="24"/>
          <w:szCs w:val="24"/>
          <w:highlight w:val="none"/>
        </w:rPr>
        <w:t>《电气装置安装工程接地装置施工及验收规范（GB50169-2016）》</w:t>
      </w:r>
    </w:p>
    <w:p w14:paraId="291DCD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1.2.15</w:t>
      </w:r>
      <w:r>
        <w:rPr>
          <w:rFonts w:hint="eastAsia" w:ascii="宋体" w:hAnsi="宋体" w:eastAsia="宋体" w:cs="宋体"/>
          <w:color w:val="auto"/>
          <w:sz w:val="24"/>
          <w:szCs w:val="24"/>
          <w:highlight w:val="none"/>
        </w:rPr>
        <w:t>《电气装置安装工程质量检验及评定规程（DL/T 5161.17-2018）》</w:t>
      </w:r>
    </w:p>
    <w:p w14:paraId="3F1D6DBD">
      <w:pPr>
        <w:keepNext w:val="0"/>
        <w:keepLines w:val="0"/>
        <w:pageBreakBefore w:val="0"/>
        <w:widowControl/>
        <w:tabs>
          <w:tab w:val="left" w:pos="315"/>
        </w:tabs>
        <w:kinsoku/>
        <w:wordWrap/>
        <w:overflowPunct/>
        <w:topLinePunct w:val="0"/>
        <w:autoSpaceDE/>
        <w:autoSpaceDN/>
        <w:bidi w:val="0"/>
        <w:spacing w:line="480" w:lineRule="exact"/>
        <w:ind w:left="0" w:leftChars="0"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2</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乙方提供的材料必须符合设计文件的规定要求，提供的设备、材料必须是新近出厂的材料，并附有出厂合格证明或材质检测报告及检验合格证书等，经甲方及监理工程师验收合格后方可进场安装施工，并以此甲方及监理工程师验收签认的凭证作为该设备、材料价款结算的依据。</w:t>
      </w:r>
    </w:p>
    <w:p w14:paraId="042563FA">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color w:val="auto"/>
          <w:kern w:val="0"/>
          <w:sz w:val="24"/>
          <w:szCs w:val="24"/>
          <w:highlight w:val="none"/>
        </w:rPr>
        <w:t>3</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乙方须做好施工原始记录，隐蔽工程记录。隐蔽工程在隐蔽前，应通知甲方进行验收，验收合格后方可进行隐蔽，</w:t>
      </w:r>
      <w:r>
        <w:rPr>
          <w:rStyle w:val="31"/>
          <w:rFonts w:hint="eastAsia" w:ascii="宋体" w:hAnsi="宋体" w:eastAsia="宋体" w:cs="宋体"/>
          <w:color w:val="auto"/>
          <w:sz w:val="24"/>
          <w:szCs w:val="24"/>
          <w:highlight w:val="none"/>
        </w:rPr>
        <w:t>如甲方接到乙方通知后超过2个工作日未组织检查，则视为验收通过；如果甲方要求对已隐蔽的内容进行检查／复查，乙方应积极配合，经检查为合格，费用由甲方负责；经检查为不合格者，乙方应返工，费用及工期延误均由乙方负责。</w:t>
      </w:r>
    </w:p>
    <w:p w14:paraId="3FC8A2CD">
      <w:pPr>
        <w:keepNext w:val="0"/>
        <w:keepLines w:val="0"/>
        <w:pageBreakBefore w:val="0"/>
        <w:widowControl/>
        <w:tabs>
          <w:tab w:val="left" w:pos="420"/>
        </w:tabs>
        <w:kinsoku/>
        <w:wordWrap/>
        <w:overflowPunct/>
        <w:topLinePunct w:val="0"/>
        <w:autoSpaceDE/>
        <w:autoSpaceDN/>
        <w:bidi w:val="0"/>
        <w:spacing w:line="480" w:lineRule="exact"/>
        <w:ind w:left="426" w:leftChars="203" w:firstLine="0" w:firstLineChars="0"/>
        <w:jc w:val="left"/>
        <w:textAlignment w:val="baseline"/>
        <w:rPr>
          <w:rStyle w:val="31"/>
          <w:rFonts w:hint="eastAsia" w:ascii="宋体" w:hAnsi="宋体" w:eastAsia="宋体" w:cs="宋体"/>
          <w:b/>
          <w:color w:val="auto"/>
          <w:kern w:val="0"/>
          <w:sz w:val="24"/>
          <w:szCs w:val="24"/>
          <w:highlight w:val="none"/>
        </w:rPr>
      </w:pPr>
      <w:r>
        <w:rPr>
          <w:rStyle w:val="31"/>
          <w:rFonts w:hint="eastAsia" w:ascii="宋体" w:hAnsi="宋体" w:eastAsia="宋体" w:cs="宋体"/>
          <w:b/>
          <w:color w:val="auto"/>
          <w:kern w:val="0"/>
          <w:sz w:val="24"/>
          <w:szCs w:val="24"/>
          <w:highlight w:val="none"/>
        </w:rPr>
        <w:t>四、双方义务</w:t>
      </w:r>
    </w:p>
    <w:p w14:paraId="52F45D17">
      <w:pPr>
        <w:keepNext w:val="0"/>
        <w:keepLines w:val="0"/>
        <w:pageBreakBefore w:val="0"/>
        <w:widowControl/>
        <w:tabs>
          <w:tab w:val="left" w:pos="420"/>
        </w:tabs>
        <w:kinsoku/>
        <w:wordWrap/>
        <w:overflowPunct/>
        <w:topLinePunct w:val="0"/>
        <w:autoSpaceDE/>
        <w:autoSpaceDN/>
        <w:bidi w:val="0"/>
        <w:spacing w:line="480" w:lineRule="exact"/>
        <w:ind w:left="426" w:leftChars="203" w:firstLine="0" w:firstLine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lang w:eastAsia="zh-CN"/>
        </w:rPr>
        <w:t>（一）</w:t>
      </w:r>
      <w:r>
        <w:rPr>
          <w:rStyle w:val="31"/>
          <w:rFonts w:hint="eastAsia" w:ascii="宋体" w:hAnsi="宋体" w:eastAsia="宋体" w:cs="宋体"/>
          <w:b/>
          <w:color w:val="auto"/>
          <w:kern w:val="0"/>
          <w:sz w:val="24"/>
          <w:szCs w:val="24"/>
          <w:highlight w:val="none"/>
        </w:rPr>
        <w:t>甲方义务：</w:t>
      </w:r>
    </w:p>
    <w:p w14:paraId="237A44B2">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1</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按本协议约定支付工程款。</w:t>
      </w:r>
    </w:p>
    <w:p w14:paraId="797C839D">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2</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清理待建的施工现场，满足乙方进场施工条件，提供施工水电便利接口，施工水电连接由乙方负责。</w:t>
      </w:r>
    </w:p>
    <w:p w14:paraId="1FCDEDD8">
      <w:pPr>
        <w:keepNext w:val="0"/>
        <w:keepLines w:val="0"/>
        <w:pageBreakBefore w:val="0"/>
        <w:widowControl/>
        <w:numPr>
          <w:ilvl w:val="0"/>
          <w:numId w:val="0"/>
        </w:numPr>
        <w:tabs>
          <w:tab w:val="left" w:pos="315"/>
        </w:tabs>
        <w:kinsoku/>
        <w:wordWrap/>
        <w:overflowPunct/>
        <w:topLinePunct w:val="0"/>
        <w:autoSpaceDE/>
        <w:autoSpaceDN/>
        <w:bidi w:val="0"/>
        <w:spacing w:line="480" w:lineRule="exact"/>
        <w:ind w:left="420" w:left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lang w:val="en-US" w:eastAsia="zh-CN"/>
        </w:rPr>
        <w:t>3.</w:t>
      </w:r>
      <w:r>
        <w:rPr>
          <w:rStyle w:val="31"/>
          <w:rFonts w:hint="eastAsia" w:ascii="宋体" w:hAnsi="宋体" w:eastAsia="宋体" w:cs="宋体"/>
          <w:color w:val="auto"/>
          <w:kern w:val="0"/>
          <w:sz w:val="24"/>
          <w:szCs w:val="24"/>
          <w:highlight w:val="none"/>
        </w:rPr>
        <w:t>按要求做好规划审批及报建手续。</w:t>
      </w:r>
    </w:p>
    <w:p w14:paraId="4FA0CE1A">
      <w:pPr>
        <w:keepNext w:val="0"/>
        <w:keepLines w:val="0"/>
        <w:pageBreakBefore w:val="0"/>
        <w:widowControl/>
        <w:numPr>
          <w:ilvl w:val="0"/>
          <w:numId w:val="0"/>
        </w:numPr>
        <w:tabs>
          <w:tab w:val="left" w:pos="315"/>
        </w:tabs>
        <w:kinsoku/>
        <w:wordWrap/>
        <w:overflowPunct/>
        <w:topLinePunct w:val="0"/>
        <w:autoSpaceDE/>
        <w:autoSpaceDN/>
        <w:bidi w:val="0"/>
        <w:spacing w:line="480" w:lineRule="exact"/>
        <w:ind w:left="420" w:left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lang w:val="en-US" w:eastAsia="zh-CN"/>
        </w:rPr>
        <w:t>4.</w:t>
      </w:r>
      <w:r>
        <w:rPr>
          <w:rStyle w:val="31"/>
          <w:rFonts w:hint="eastAsia" w:ascii="宋体" w:hAnsi="宋体" w:eastAsia="宋体" w:cs="宋体"/>
          <w:color w:val="auto"/>
          <w:kern w:val="0"/>
          <w:sz w:val="24"/>
          <w:szCs w:val="24"/>
          <w:highlight w:val="none"/>
        </w:rPr>
        <w:t>提供良好施工环境，委派本工程工地代表，解决、协调施工中非乙方原因的问题。</w:t>
      </w:r>
    </w:p>
    <w:p w14:paraId="03957B25">
      <w:pPr>
        <w:keepNext w:val="0"/>
        <w:keepLines w:val="0"/>
        <w:pageBreakBefore w:val="0"/>
        <w:widowControl/>
        <w:tabs>
          <w:tab w:val="left" w:pos="315"/>
        </w:tabs>
        <w:kinsoku/>
        <w:wordWrap/>
        <w:overflowPunct/>
        <w:topLinePunct w:val="0"/>
        <w:autoSpaceDE/>
        <w:autoSpaceDN/>
        <w:bidi w:val="0"/>
        <w:spacing w:line="480" w:lineRule="exact"/>
        <w:ind w:left="10" w:leftChars="5" w:firstLine="408" w:firstLineChars="17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5</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参加工程验收。</w:t>
      </w:r>
    </w:p>
    <w:p w14:paraId="36F00356">
      <w:pPr>
        <w:keepNext w:val="0"/>
        <w:keepLines w:val="0"/>
        <w:pageBreakBefore w:val="0"/>
        <w:widowControl/>
        <w:kinsoku/>
        <w:wordWrap/>
        <w:overflowPunct/>
        <w:topLinePunct w:val="0"/>
        <w:autoSpaceDE/>
        <w:autoSpaceDN/>
        <w:bidi w:val="0"/>
        <w:spacing w:line="480" w:lineRule="exact"/>
        <w:ind w:firstLine="482"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lang w:eastAsia="zh-CN"/>
        </w:rPr>
        <w:t>（二）</w:t>
      </w:r>
      <w:r>
        <w:rPr>
          <w:rStyle w:val="31"/>
          <w:rFonts w:hint="eastAsia" w:ascii="宋体" w:hAnsi="宋体" w:eastAsia="宋体" w:cs="宋体"/>
          <w:b/>
          <w:color w:val="auto"/>
          <w:kern w:val="0"/>
          <w:sz w:val="24"/>
          <w:szCs w:val="24"/>
          <w:highlight w:val="none"/>
        </w:rPr>
        <w:t>乙方义务：</w:t>
      </w:r>
    </w:p>
    <w:p w14:paraId="486715C7">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1</w:t>
      </w:r>
      <w:r>
        <w:rPr>
          <w:rStyle w:val="31"/>
          <w:rFonts w:hint="eastAsia" w:ascii="宋体" w:hAnsi="宋体" w:eastAsia="宋体" w:cs="宋体"/>
          <w:color w:val="auto"/>
          <w:kern w:val="0"/>
          <w:sz w:val="24"/>
          <w:szCs w:val="24"/>
          <w:highlight w:val="none"/>
          <w:lang w:val="en-US" w:eastAsia="zh-CN"/>
        </w:rPr>
        <w:t>.</w:t>
      </w:r>
      <w:r>
        <w:rPr>
          <w:rStyle w:val="31"/>
          <w:rFonts w:hint="eastAsia" w:ascii="宋体" w:hAnsi="宋体" w:eastAsia="宋体" w:cs="宋体"/>
          <w:color w:val="auto"/>
          <w:kern w:val="0"/>
          <w:sz w:val="24"/>
          <w:szCs w:val="24"/>
          <w:highlight w:val="none"/>
        </w:rPr>
        <w:t>严格按国家有关部门施工工艺、施工验收规程、规范和设计文件的要求及约定工期完成工程施工，对工程施工质量负责。</w:t>
      </w:r>
    </w:p>
    <w:p w14:paraId="02A92502">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2</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注意安全管理，严格按安全作业规范进行施工，确保人身、设备安全。承担自身原因造成的事故的损失。</w:t>
      </w:r>
    </w:p>
    <w:p w14:paraId="7B70D79E">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3</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遵守施工现场甲方有关的管理规章、制度，赔偿因违反这些规章制度给甲方造成的损失。</w:t>
      </w:r>
    </w:p>
    <w:p w14:paraId="77F855D8">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4</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乙方所购置本工程用设备、材料必须符合国家标准，有正式出厂合格证书，对采购的材料的质量负责。</w:t>
      </w:r>
    </w:p>
    <w:p w14:paraId="50714908">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5</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rPr>
        <w:t>乙方负责工程通过桂林供电部门验收合格。</w:t>
      </w:r>
    </w:p>
    <w:p w14:paraId="17FC86BE">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lang w:val="en-US" w:eastAsia="zh-CN"/>
        </w:rPr>
      </w:pPr>
      <w:r>
        <w:rPr>
          <w:rStyle w:val="31"/>
          <w:rFonts w:hint="eastAsia" w:ascii="宋体" w:hAnsi="宋体" w:eastAsia="宋体" w:cs="宋体"/>
          <w:color w:val="auto"/>
          <w:kern w:val="0"/>
          <w:sz w:val="24"/>
          <w:szCs w:val="24"/>
          <w:highlight w:val="none"/>
          <w:lang w:val="en-US" w:eastAsia="zh-CN"/>
        </w:rPr>
        <w:t>6.</w:t>
      </w:r>
      <w:r>
        <w:rPr>
          <w:rStyle w:val="31"/>
          <w:rFonts w:hint="eastAsia" w:ascii="宋体" w:hAnsi="宋体" w:eastAsia="宋体" w:cs="宋体"/>
          <w:color w:val="auto"/>
          <w:kern w:val="0"/>
          <w:sz w:val="24"/>
          <w:szCs w:val="24"/>
          <w:highlight w:val="none"/>
        </w:rPr>
        <w:t>验收时乙方应提供</w:t>
      </w:r>
      <w:r>
        <w:rPr>
          <w:rStyle w:val="31"/>
          <w:rFonts w:hint="eastAsia" w:ascii="宋体" w:hAnsi="宋体" w:eastAsia="宋体" w:cs="宋体"/>
          <w:color w:val="auto"/>
          <w:kern w:val="0"/>
          <w:sz w:val="24"/>
          <w:szCs w:val="24"/>
          <w:highlight w:val="none"/>
          <w:lang w:val="en-US" w:eastAsia="zh-CN"/>
        </w:rPr>
        <w:t>竣工图纸资料包括但不限于施工管理资料、施工技术资料、施工物资资料、施工记录、施工试验记录及检测报告、施工质量验收记录、竣工验收资料等。</w:t>
      </w:r>
    </w:p>
    <w:p w14:paraId="4F83D313">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lang w:val="en-US" w:eastAsia="zh-CN"/>
        </w:rPr>
        <w:t>7.</w:t>
      </w:r>
      <w:r>
        <w:rPr>
          <w:rStyle w:val="31"/>
          <w:rFonts w:hint="eastAsia" w:ascii="宋体" w:hAnsi="宋体" w:eastAsia="宋体" w:cs="宋体"/>
          <w:color w:val="auto"/>
          <w:kern w:val="0"/>
          <w:sz w:val="24"/>
          <w:szCs w:val="24"/>
          <w:highlight w:val="none"/>
        </w:rPr>
        <w:t>协助由甲方需要办理的相关手续，确保按时通电。</w:t>
      </w:r>
    </w:p>
    <w:p w14:paraId="1E193710">
      <w:pPr>
        <w:keepNext w:val="0"/>
        <w:keepLines w:val="0"/>
        <w:pageBreakBefore w:val="0"/>
        <w:widowControl w:val="0"/>
        <w:tabs>
          <w:tab w:val="left" w:pos="315"/>
        </w:tabs>
        <w:kinsoku/>
        <w:wordWrap/>
        <w:overflowPunct/>
        <w:topLinePunct w:val="0"/>
        <w:autoSpaceDE/>
        <w:autoSpaceDN/>
        <w:bidi w:val="0"/>
        <w:adjustRightInd/>
        <w:snapToGrid/>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lang w:val="en-US" w:eastAsia="zh-CN"/>
        </w:rPr>
        <w:t>8.</w:t>
      </w:r>
      <w:r>
        <w:rPr>
          <w:rStyle w:val="31"/>
          <w:rFonts w:hint="eastAsia" w:ascii="宋体" w:hAnsi="宋体" w:eastAsia="宋体" w:cs="宋体"/>
          <w:color w:val="auto"/>
          <w:kern w:val="0"/>
          <w:sz w:val="24"/>
          <w:szCs w:val="24"/>
          <w:highlight w:val="none"/>
        </w:rPr>
        <w:t>乙方负责办理本工程移交甲方的相关手续，所发生费用已包含在本合同其他单价内，不再另行收取。</w:t>
      </w:r>
    </w:p>
    <w:p w14:paraId="255FDD51">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lang w:val="en-US" w:eastAsia="zh-CN"/>
        </w:rPr>
        <w:t>9.</w:t>
      </w:r>
      <w:r>
        <w:rPr>
          <w:rStyle w:val="31"/>
          <w:rFonts w:hint="eastAsia" w:ascii="宋体" w:hAnsi="宋体" w:eastAsia="宋体" w:cs="宋体"/>
          <w:color w:val="auto"/>
          <w:kern w:val="0"/>
          <w:sz w:val="24"/>
          <w:szCs w:val="24"/>
          <w:highlight w:val="none"/>
        </w:rPr>
        <w:t>遵守甲方关于现场施工管理规定。</w:t>
      </w:r>
    </w:p>
    <w:p w14:paraId="17F0F84A">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lang w:val="en-US" w:eastAsia="zh-CN"/>
        </w:rPr>
      </w:pPr>
      <w:r>
        <w:rPr>
          <w:rStyle w:val="31"/>
          <w:rFonts w:hint="eastAsia" w:ascii="宋体" w:hAnsi="宋体" w:eastAsia="宋体" w:cs="宋体"/>
          <w:color w:val="auto"/>
          <w:kern w:val="0"/>
          <w:sz w:val="24"/>
          <w:szCs w:val="24"/>
          <w:highlight w:val="none"/>
          <w:lang w:val="en-US" w:eastAsia="zh-CN"/>
        </w:rPr>
        <w:t>10.竣工退场，工完场清，地表还原，乙方应按照甲方要求恢复临时占地及场地清理。</w:t>
      </w:r>
    </w:p>
    <w:p w14:paraId="29EA9553">
      <w:pPr>
        <w:keepNext w:val="0"/>
        <w:keepLines w:val="0"/>
        <w:pageBreakBefore w:val="0"/>
        <w:widowControl/>
        <w:tabs>
          <w:tab w:val="left" w:pos="315"/>
        </w:tabs>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lang w:val="en-US" w:eastAsia="zh-CN"/>
        </w:rPr>
      </w:pPr>
      <w:r>
        <w:rPr>
          <w:rStyle w:val="31"/>
          <w:rFonts w:hint="eastAsia" w:ascii="宋体" w:hAnsi="宋体" w:eastAsia="宋体" w:cs="宋体"/>
          <w:color w:val="auto"/>
          <w:kern w:val="0"/>
          <w:sz w:val="24"/>
          <w:szCs w:val="24"/>
          <w:highlight w:val="none"/>
          <w:lang w:val="en-US" w:eastAsia="zh-CN"/>
        </w:rPr>
        <w:t>11.</w:t>
      </w:r>
      <w:r>
        <w:rPr>
          <w:rStyle w:val="31"/>
          <w:rFonts w:hint="eastAsia" w:ascii="宋体" w:hAnsi="宋体" w:eastAsia="宋体" w:cs="宋体"/>
          <w:b w:val="0"/>
          <w:bCs w:val="0"/>
          <w:color w:val="auto"/>
          <w:kern w:val="0"/>
          <w:sz w:val="24"/>
          <w:szCs w:val="24"/>
          <w:highlight w:val="none"/>
          <w:lang w:val="en-US" w:eastAsia="zh-CN"/>
        </w:rPr>
        <w:t>乙方施工安排合理不</w:t>
      </w:r>
      <w:r>
        <w:rPr>
          <w:rStyle w:val="31"/>
          <w:rFonts w:hint="eastAsia" w:ascii="宋体" w:hAnsi="宋体" w:eastAsia="宋体" w:cs="宋体"/>
          <w:color w:val="auto"/>
          <w:kern w:val="0"/>
          <w:sz w:val="24"/>
          <w:szCs w:val="24"/>
          <w:highlight w:val="none"/>
          <w:lang w:val="en-US" w:eastAsia="zh-CN"/>
        </w:rPr>
        <w:t>对周边建筑、管线、道路、地下设施等产生不良影响。</w:t>
      </w:r>
    </w:p>
    <w:p w14:paraId="7568DDE9">
      <w:pPr>
        <w:keepNext w:val="0"/>
        <w:keepLines w:val="0"/>
        <w:pageBreakBefore w:val="0"/>
        <w:widowControl/>
        <w:kinsoku/>
        <w:wordWrap/>
        <w:overflowPunct/>
        <w:topLinePunct w:val="0"/>
        <w:autoSpaceDE/>
        <w:autoSpaceDN/>
        <w:bidi w:val="0"/>
        <w:spacing w:line="480" w:lineRule="exact"/>
        <w:ind w:firstLine="480" w:firstLineChars="200"/>
        <w:textAlignment w:val="baseline"/>
        <w:rPr>
          <w:rStyle w:val="31"/>
          <w:rFonts w:hint="eastAsia" w:cs="宋体"/>
          <w:color w:val="auto"/>
          <w:sz w:val="24"/>
          <w:szCs w:val="24"/>
          <w:highlight w:val="none"/>
          <w:lang w:val="en-US" w:eastAsia="zh-CN"/>
        </w:rPr>
      </w:pPr>
      <w:r>
        <w:rPr>
          <w:rStyle w:val="31"/>
          <w:rFonts w:hint="eastAsia" w:cs="宋体"/>
          <w:color w:val="auto"/>
          <w:sz w:val="24"/>
          <w:szCs w:val="24"/>
          <w:highlight w:val="none"/>
          <w:lang w:val="en-US" w:eastAsia="zh-CN"/>
        </w:rPr>
        <w:t>12.乙方必须及时提交变更和签证资料给甲方审定，在项目竣工验收前完成审核签定，配合甲方完成变更签证手续和流程，否则该签证变更在结算中将不予确认。</w:t>
      </w:r>
    </w:p>
    <w:p w14:paraId="7824C74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13.乙方提交竣工付款申请单的期限：经审定工程竣工结算并由乙方提出申请后28天内。</w:t>
      </w:r>
    </w:p>
    <w:p w14:paraId="3257D0C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竣工结算付款申请单应包括的内容：竣工结算由乙方提交相关结算资料（主要包括合同、工程量计算书、项目报审表、送审承诺书、结算书、变更设计通知单、签证单、竣工图等）齐全后经监理初审、发包人审定后，方可办理工程结算或竣工决算，最终结算以审计部门的审定结果为准。验收合格后，工程款按最终审定的结算造价支付至95％，预留的5％的质保金。</w:t>
      </w:r>
    </w:p>
    <w:p w14:paraId="77E673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乙方未按本项约定的期限和内容提交竣工结算付款申请单或者未按审核部门要求提交修正后的竣工结算付款申请单，经发包人发函催促后14天内仍未提交或者没有明确答复的，发包人有权根据已有资料进行审查，审查确定的竣工结算价和竣工付款金额视同是经乙方认可的工程竣工结算价和竣工付款金额。乙方因特殊原因无法在28天内提交齐全资料的，应向发包方提出书面申请，写明原因，经发包方审核同意后，可延续一定时间，但最迟不得超过半年。</w:t>
      </w:r>
    </w:p>
    <w:p w14:paraId="4AEC622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14.乙方应该开具真实的发票，一旦查出发票作假，自动解除协议并且甲方有权利不支付该笔发票款项。</w:t>
      </w:r>
    </w:p>
    <w:p w14:paraId="7756B794">
      <w:pPr>
        <w:keepNext w:val="0"/>
        <w:keepLines w:val="0"/>
        <w:pageBreakBefore w:val="0"/>
        <w:widowControl/>
        <w:kinsoku/>
        <w:wordWrap/>
        <w:overflowPunct/>
        <w:topLinePunct w:val="0"/>
        <w:autoSpaceDE/>
        <w:autoSpaceDN/>
        <w:bidi w:val="0"/>
        <w:spacing w:line="480" w:lineRule="exact"/>
        <w:ind w:firstLine="482" w:firstLineChars="200"/>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b/>
          <w:color w:val="auto"/>
          <w:sz w:val="24"/>
          <w:szCs w:val="24"/>
          <w:highlight w:val="none"/>
        </w:rPr>
        <w:t>五、材料供应</w:t>
      </w:r>
    </w:p>
    <w:p w14:paraId="08930FD9">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1.本工程使用的设备及材料全部由乙方自行采购，乙方采购的设备、材料必须符合合同、投标文件约定要求，同时附有质量合格证书，并通过甲方验收合格后，才允许施工使用。</w:t>
      </w:r>
    </w:p>
    <w:p w14:paraId="19C8E92B">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2</w:t>
      </w:r>
      <w:r>
        <w:rPr>
          <w:rStyle w:val="31"/>
          <w:rFonts w:hint="eastAsia" w:ascii="宋体" w:hAnsi="宋体" w:eastAsia="宋体" w:cs="宋体"/>
          <w:color w:val="auto"/>
          <w:sz w:val="24"/>
          <w:szCs w:val="24"/>
          <w:highlight w:val="none"/>
          <w:lang w:eastAsia="zh-CN"/>
        </w:rPr>
        <w:t>.</w:t>
      </w:r>
      <w:r>
        <w:rPr>
          <w:rStyle w:val="31"/>
          <w:rFonts w:hint="eastAsia" w:ascii="宋体" w:hAnsi="宋体" w:eastAsia="宋体" w:cs="宋体"/>
          <w:color w:val="auto"/>
          <w:sz w:val="24"/>
          <w:szCs w:val="24"/>
          <w:highlight w:val="none"/>
        </w:rPr>
        <w:t>电缆及电缆套管数量，竣工结算时按实际发生计算。货到现场的电缆、电缆套管或设备数量的核算，以甲乙双方现场责任人员初步验收合格并书面签字确认为准；如验收不合格的，乙方须无条件更换，因此而发生经济损失及工期延误全部由乙方承担。现场核验书面证明，作为完工结算的依据。乙方提供的材料、设备通过初步验收的，并不排除乙方因材料、设备不符合合同约定或因质量问题应承担的责任。</w:t>
      </w:r>
    </w:p>
    <w:p w14:paraId="5DCAAAD0">
      <w:pPr>
        <w:keepNext w:val="0"/>
        <w:keepLines w:val="0"/>
        <w:pageBreakBefore w:val="0"/>
        <w:widowControl/>
        <w:kinsoku/>
        <w:wordWrap/>
        <w:overflowPunct/>
        <w:topLinePunct w:val="0"/>
        <w:autoSpaceDE/>
        <w:autoSpaceDN/>
        <w:bidi w:val="0"/>
        <w:spacing w:line="480" w:lineRule="exact"/>
        <w:ind w:left="-141" w:leftChars="-67" w:firstLine="561" w:firstLineChars="234"/>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3</w:t>
      </w:r>
      <w:r>
        <w:rPr>
          <w:rStyle w:val="31"/>
          <w:rFonts w:hint="eastAsia" w:ascii="宋体" w:hAnsi="宋体" w:eastAsia="宋体" w:cs="宋体"/>
          <w:color w:val="auto"/>
          <w:sz w:val="24"/>
          <w:szCs w:val="24"/>
          <w:highlight w:val="none"/>
          <w:lang w:eastAsia="zh-CN"/>
        </w:rPr>
        <w:t>.</w:t>
      </w:r>
      <w:r>
        <w:rPr>
          <w:rStyle w:val="31"/>
          <w:rFonts w:hint="eastAsia" w:ascii="宋体" w:hAnsi="宋体" w:eastAsia="宋体" w:cs="宋体"/>
          <w:color w:val="auto"/>
          <w:sz w:val="24"/>
          <w:szCs w:val="24"/>
          <w:highlight w:val="none"/>
        </w:rPr>
        <w:t>乙方应保证对本合同供应之设备、材料具有完全处分权，且无任何抵押、质押、查封等权利瑕疵，确保甲方在使用时不会侵犯任何第三方的知识产权或其他权利，如甲方因此遭致损失的由乙方承担全部赔偿责任。</w:t>
      </w:r>
    </w:p>
    <w:p w14:paraId="6251EC36">
      <w:pPr>
        <w:keepNext w:val="0"/>
        <w:keepLines w:val="0"/>
        <w:pageBreakBefore w:val="0"/>
        <w:widowControl/>
        <w:kinsoku/>
        <w:wordWrap/>
        <w:overflowPunct/>
        <w:topLinePunct w:val="0"/>
        <w:autoSpaceDE/>
        <w:autoSpaceDN/>
        <w:bidi w:val="0"/>
        <w:spacing w:line="480" w:lineRule="exact"/>
        <w:ind w:left="-141" w:leftChars="-67" w:firstLine="564" w:firstLineChars="234"/>
        <w:textAlignment w:val="baseline"/>
        <w:rPr>
          <w:rStyle w:val="31"/>
          <w:rFonts w:hint="eastAsia" w:ascii="宋体" w:hAnsi="宋体" w:eastAsia="宋体" w:cs="宋体"/>
          <w:b/>
          <w:color w:val="auto"/>
          <w:kern w:val="0"/>
          <w:sz w:val="24"/>
          <w:szCs w:val="24"/>
          <w:highlight w:val="none"/>
        </w:rPr>
      </w:pPr>
      <w:r>
        <w:rPr>
          <w:rStyle w:val="31"/>
          <w:rFonts w:hint="eastAsia" w:ascii="宋体" w:hAnsi="宋体" w:eastAsia="宋体" w:cs="宋体"/>
          <w:b/>
          <w:color w:val="auto"/>
          <w:kern w:val="0"/>
          <w:sz w:val="24"/>
          <w:szCs w:val="24"/>
          <w:highlight w:val="none"/>
        </w:rPr>
        <w:t>六、违约责任</w:t>
      </w:r>
    </w:p>
    <w:p w14:paraId="529382C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1.在施工过程中，如发现施工质量问题，甲方有权责令乙方及时进行返修、整改，并达到合同约定标准，因此引起的费用增加由乙方承担，如导致工期延误，工期不顺延。</w:t>
      </w:r>
    </w:p>
    <w:p w14:paraId="230F285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2</w:t>
      </w:r>
      <w:r>
        <w:rPr>
          <w:rFonts w:hint="eastAsia"/>
          <w:color w:val="auto"/>
          <w:sz w:val="24"/>
          <w:highlight w:val="none"/>
          <w:lang w:val="en-US" w:eastAsia="zh-CN"/>
        </w:rPr>
        <w:t>.</w:t>
      </w:r>
      <w:r>
        <w:rPr>
          <w:rFonts w:hint="eastAsia"/>
          <w:color w:val="auto"/>
          <w:sz w:val="24"/>
          <w:highlight w:val="none"/>
          <w:lang w:eastAsia="zh-CN"/>
        </w:rPr>
        <w:t>乙方必须在合同约定的时间（或甲方要求时间）内分别完成本各期（或组团）变配电土建、安装工程，并经</w:t>
      </w:r>
      <w:r>
        <w:rPr>
          <w:rFonts w:hint="eastAsia"/>
          <w:color w:val="auto"/>
          <w:sz w:val="24"/>
          <w:highlight w:val="none"/>
          <w:lang w:val="en-US" w:eastAsia="zh-CN"/>
        </w:rPr>
        <w:t>供电部门验收（如需）且</w:t>
      </w:r>
      <w:r>
        <w:rPr>
          <w:rFonts w:hint="eastAsia"/>
          <w:color w:val="auto"/>
          <w:sz w:val="24"/>
          <w:highlight w:val="none"/>
          <w:lang w:eastAsia="zh-CN"/>
        </w:rPr>
        <w:t>甲方验收合格后，及时办理移交甲方手续。如因乙方原因造成工期延误无法按时</w:t>
      </w:r>
      <w:r>
        <w:rPr>
          <w:rFonts w:hint="eastAsia"/>
          <w:color w:val="auto"/>
          <w:sz w:val="24"/>
          <w:highlight w:val="none"/>
          <w:lang w:val="en-US" w:eastAsia="zh-CN"/>
        </w:rPr>
        <w:t>竣工</w:t>
      </w:r>
      <w:r>
        <w:rPr>
          <w:rFonts w:hint="eastAsia"/>
          <w:color w:val="auto"/>
          <w:sz w:val="24"/>
          <w:highlight w:val="none"/>
          <w:lang w:eastAsia="zh-CN"/>
        </w:rPr>
        <w:t>的，乙方应按2000元/天向甲方给付违约金；工期延误超过15天，甲方有权解除合同，按本合同第六、5条款约定追究乙方相应的违约责任。</w:t>
      </w:r>
    </w:p>
    <w:p w14:paraId="182E98D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3</w:t>
      </w:r>
      <w:r>
        <w:rPr>
          <w:rFonts w:hint="eastAsia"/>
          <w:color w:val="auto"/>
          <w:sz w:val="24"/>
          <w:highlight w:val="none"/>
          <w:lang w:val="en-US" w:eastAsia="zh-CN"/>
        </w:rPr>
        <w:t>.</w:t>
      </w:r>
      <w:r>
        <w:rPr>
          <w:rFonts w:hint="eastAsia"/>
          <w:color w:val="auto"/>
          <w:sz w:val="24"/>
          <w:highlight w:val="none"/>
          <w:lang w:eastAsia="zh-CN"/>
        </w:rPr>
        <w:t>乙方在承包范围内的工程施工过程中，应服从甲方的施工进度安排，并在甲方约定的时间内完成。不得以甲方要求赶工、加班等为由拒绝履行合同约定责任或临时起价。一旦发生此类情况则视为违约，乙方同意向甲方支付2000元/次的违约金；</w:t>
      </w:r>
      <w:r>
        <w:rPr>
          <w:rFonts w:hint="eastAsia"/>
          <w:color w:val="auto"/>
          <w:sz w:val="24"/>
          <w:highlight w:val="none"/>
          <w:lang w:val="zh-CN" w:eastAsia="zh-CN"/>
        </w:rPr>
        <w:t>如该类情况出现次数累计达到三次的，甲方有权单方解除本合同，并按本合同第六、</w:t>
      </w:r>
      <w:r>
        <w:rPr>
          <w:rFonts w:hint="eastAsia"/>
          <w:color w:val="auto"/>
          <w:sz w:val="24"/>
          <w:highlight w:val="none"/>
          <w:lang w:eastAsia="zh-CN"/>
        </w:rPr>
        <w:t>5</w:t>
      </w:r>
      <w:r>
        <w:rPr>
          <w:rFonts w:hint="eastAsia"/>
          <w:color w:val="auto"/>
          <w:sz w:val="24"/>
          <w:highlight w:val="none"/>
          <w:lang w:val="zh-CN" w:eastAsia="zh-CN"/>
        </w:rPr>
        <w:t>条款追究乙方相应的违约责任</w:t>
      </w:r>
      <w:r>
        <w:rPr>
          <w:rFonts w:hint="eastAsia"/>
          <w:color w:val="auto"/>
          <w:sz w:val="24"/>
          <w:highlight w:val="none"/>
          <w:lang w:eastAsia="zh-CN"/>
        </w:rPr>
        <w:t>。</w:t>
      </w:r>
    </w:p>
    <w:p w14:paraId="408F5C9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4.乙方不得将本工程转包或者分包。如发现转包或分包，甲方有权要求乙方按暂定合同造价的10%给付违约金；且甲方有权选择单方解除本合同，并要求乙方退还全部已付款项，或选择要求乙方终止转包／分包后继续严格履行本合同。</w:t>
      </w:r>
    </w:p>
    <w:p w14:paraId="606DB85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5</w:t>
      </w:r>
      <w:r>
        <w:rPr>
          <w:rFonts w:hint="eastAsia"/>
          <w:color w:val="auto"/>
          <w:sz w:val="24"/>
          <w:highlight w:val="none"/>
          <w:lang w:val="en-US" w:eastAsia="zh-CN"/>
        </w:rPr>
        <w:t>.</w:t>
      </w:r>
      <w:r>
        <w:rPr>
          <w:rFonts w:hint="eastAsia"/>
          <w:color w:val="auto"/>
          <w:sz w:val="24"/>
          <w:highlight w:val="none"/>
          <w:lang w:eastAsia="zh-CN"/>
        </w:rPr>
        <w:t>除本合同另有约定外，如因乙方原因单方面终止合同或因乙方违约致使甲方依约解除合同，乙方须按合同造价的20%向甲方给付违约金。</w:t>
      </w:r>
    </w:p>
    <w:p w14:paraId="61DFB8E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6.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3BE1242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7.由地震、火灾、战争等不可抗力因素影响无法履行或延迟履行其在本合同项下的一部分或全部的，应立即通知另一方，但该方无须承担任何责任，未遭受不可抗力影响的那部分义务仍应继续履行。</w:t>
      </w:r>
    </w:p>
    <w:p w14:paraId="02359D05">
      <w:pPr>
        <w:keepNext w:val="0"/>
        <w:keepLines w:val="0"/>
        <w:pageBreakBefore w:val="0"/>
        <w:widowControl/>
        <w:tabs>
          <w:tab w:val="left" w:pos="1260"/>
        </w:tabs>
        <w:kinsoku/>
        <w:wordWrap/>
        <w:overflowPunct/>
        <w:topLinePunct w:val="0"/>
        <w:autoSpaceDE/>
        <w:autoSpaceDN/>
        <w:bidi w:val="0"/>
        <w:spacing w:line="480" w:lineRule="exact"/>
        <w:ind w:firstLine="480" w:firstLineChars="200"/>
        <w:textAlignment w:val="baseline"/>
        <w:outlineLvl w:val="9"/>
        <w:rPr>
          <w:rStyle w:val="31"/>
          <w:rFonts w:hint="eastAsia" w:ascii="宋体" w:hAnsi="宋体" w:eastAsia="宋体" w:cs="宋体"/>
          <w:b/>
          <w:color w:val="auto"/>
          <w:kern w:val="0"/>
          <w:sz w:val="24"/>
          <w:szCs w:val="24"/>
          <w:highlight w:val="none"/>
        </w:rPr>
      </w:pPr>
      <w:r>
        <w:rPr>
          <w:rStyle w:val="31"/>
          <w:rFonts w:hint="eastAsia" w:ascii="宋体" w:hAnsi="宋体" w:cs="宋体"/>
          <w:b w:val="0"/>
          <w:bCs/>
          <w:color w:val="auto"/>
          <w:kern w:val="0"/>
          <w:sz w:val="24"/>
          <w:szCs w:val="24"/>
          <w:highlight w:val="none"/>
          <w:lang w:val="en-US" w:eastAsia="zh-CN"/>
        </w:rPr>
        <w:t>8.如乙方存在配合相关部门调查商业贿赂等违法行为的情况，甲方可暂缓付款，一经查实乙方存在对甲方员工进行商业贿赂等违法行为的，乙方须向甲方支付合同总价款40%的违约金作为处罚，甲方有权从应支付给乙方的款项中予以直接扣减。</w:t>
      </w:r>
    </w:p>
    <w:p w14:paraId="3BD26152">
      <w:pPr>
        <w:keepNext w:val="0"/>
        <w:keepLines w:val="0"/>
        <w:pageBreakBefore w:val="0"/>
        <w:widowControl/>
        <w:tabs>
          <w:tab w:val="left" w:pos="420"/>
        </w:tabs>
        <w:kinsoku/>
        <w:wordWrap/>
        <w:overflowPunct/>
        <w:topLinePunct w:val="0"/>
        <w:autoSpaceDE/>
        <w:autoSpaceDN/>
        <w:bidi w:val="0"/>
        <w:spacing w:line="480" w:lineRule="exact"/>
        <w:ind w:left="426" w:leftChars="203" w:firstLine="0" w:firstLine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rPr>
        <w:t>七、工程保修期</w:t>
      </w:r>
    </w:p>
    <w:p w14:paraId="76D8835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保修范围：乙方负责对所承建</w:t>
      </w:r>
      <w:r>
        <w:rPr>
          <w:rFonts w:hint="eastAsia"/>
          <w:color w:val="auto"/>
          <w:sz w:val="24"/>
          <w:highlight w:val="none"/>
          <w:lang w:val="en-US" w:eastAsia="zh-CN"/>
        </w:rPr>
        <w:t>工程</w:t>
      </w:r>
      <w:r>
        <w:rPr>
          <w:rFonts w:hint="eastAsia"/>
          <w:color w:val="auto"/>
          <w:sz w:val="24"/>
          <w:highlight w:val="none"/>
          <w:lang w:eastAsia="zh-CN"/>
        </w:rPr>
        <w:t>的</w:t>
      </w:r>
      <w:r>
        <w:rPr>
          <w:rFonts w:hint="eastAsia"/>
          <w:color w:val="auto"/>
          <w:sz w:val="24"/>
          <w:highlight w:val="none"/>
          <w:lang w:val="en-US" w:eastAsia="zh-CN"/>
        </w:rPr>
        <w:t>施工范围</w:t>
      </w:r>
      <w:r>
        <w:rPr>
          <w:rFonts w:hint="eastAsia"/>
          <w:color w:val="auto"/>
          <w:sz w:val="24"/>
          <w:highlight w:val="none"/>
          <w:lang w:eastAsia="zh-CN"/>
        </w:rPr>
        <w:t>所出现质量问题予以保修。</w:t>
      </w:r>
    </w:p>
    <w:p w14:paraId="37B1AE3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2.保修期限：从工程通过桂林供电部门验收</w:t>
      </w:r>
      <w:r>
        <w:rPr>
          <w:rFonts w:hint="eastAsia"/>
          <w:color w:val="auto"/>
          <w:sz w:val="24"/>
          <w:highlight w:val="none"/>
          <w:lang w:val="en-US" w:eastAsia="zh-CN"/>
        </w:rPr>
        <w:t>且同时通过</w:t>
      </w:r>
      <w:r>
        <w:rPr>
          <w:rFonts w:hint="eastAsia"/>
          <w:color w:val="auto"/>
          <w:sz w:val="24"/>
          <w:highlight w:val="none"/>
          <w:lang w:eastAsia="zh-CN"/>
        </w:rPr>
        <w:t>甲方竣工验收之日起计算，保修期</w:t>
      </w:r>
      <w:r>
        <w:rPr>
          <w:rFonts w:hint="eastAsia"/>
          <w:color w:val="auto"/>
          <w:sz w:val="24"/>
          <w:highlight w:val="none"/>
          <w:lang w:val="en-US" w:eastAsia="zh-CN"/>
        </w:rPr>
        <w:t>三年及以上</w:t>
      </w:r>
      <w:r>
        <w:rPr>
          <w:rFonts w:hint="eastAsia"/>
          <w:color w:val="auto"/>
          <w:sz w:val="24"/>
          <w:highlight w:val="none"/>
          <w:lang w:eastAsia="zh-CN"/>
        </w:rPr>
        <w:t>。</w:t>
      </w:r>
    </w:p>
    <w:p w14:paraId="516B5B0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3.保修期间，在保修范围和保修期限内发生质量问题的，乙方应当履行保修责任。如因乙方原因造成的质量问题，乙方在接到甲方书面通知之日起，应于24小时内派人维修。否则，甲方可委托其他专业公司维修，维修所发生的费用在应付乙方预留质保金中扣除，不足部分由乙方于甲方书面通知后3日内补足。非乙方原因造成返修的费用由甲方承担。</w:t>
      </w:r>
    </w:p>
    <w:p w14:paraId="792AE0E6">
      <w:pPr>
        <w:keepNext w:val="0"/>
        <w:keepLines w:val="0"/>
        <w:pageBreakBefore w:val="0"/>
        <w:widowControl/>
        <w:kinsoku/>
        <w:wordWrap/>
        <w:overflowPunct/>
        <w:topLinePunct w:val="0"/>
        <w:autoSpaceDE/>
        <w:autoSpaceDN/>
        <w:bidi w:val="0"/>
        <w:spacing w:line="480" w:lineRule="exact"/>
        <w:ind w:left="-141" w:leftChars="-67"/>
        <w:textAlignment w:val="baseline"/>
        <w:rPr>
          <w:rStyle w:val="31"/>
          <w:rFonts w:hint="eastAsia" w:ascii="宋体" w:hAnsi="宋体" w:eastAsia="宋体" w:cs="宋体"/>
          <w:color w:val="auto"/>
          <w:sz w:val="24"/>
          <w:szCs w:val="24"/>
          <w:highlight w:val="none"/>
        </w:rPr>
      </w:pPr>
      <w:r>
        <w:rPr>
          <w:rStyle w:val="31"/>
          <w:rFonts w:hint="eastAsia" w:ascii="宋体" w:hAnsi="宋体" w:eastAsia="宋体" w:cs="宋体"/>
          <w:b/>
          <w:color w:val="auto"/>
          <w:kern w:val="0"/>
          <w:sz w:val="24"/>
          <w:szCs w:val="24"/>
          <w:highlight w:val="none"/>
        </w:rPr>
        <w:t xml:space="preserve"> </w:t>
      </w:r>
      <w:r>
        <w:rPr>
          <w:rStyle w:val="31"/>
          <w:rFonts w:hint="eastAsia" w:ascii="宋体" w:hAnsi="宋体" w:eastAsia="宋体" w:cs="宋体"/>
          <w:b/>
          <w:color w:val="auto"/>
          <w:kern w:val="0"/>
          <w:sz w:val="24"/>
          <w:szCs w:val="24"/>
          <w:highlight w:val="none"/>
          <w:lang w:val="en-US" w:eastAsia="zh-CN"/>
        </w:rPr>
        <w:t xml:space="preserve">   </w:t>
      </w:r>
      <w:r>
        <w:rPr>
          <w:rStyle w:val="31"/>
          <w:rFonts w:hint="eastAsia" w:ascii="宋体" w:hAnsi="宋体" w:eastAsia="宋体" w:cs="宋体"/>
          <w:b/>
          <w:color w:val="auto"/>
          <w:kern w:val="0"/>
          <w:sz w:val="24"/>
          <w:szCs w:val="24"/>
          <w:highlight w:val="none"/>
        </w:rPr>
        <w:t>八、</w:t>
      </w:r>
      <w:r>
        <w:rPr>
          <w:rStyle w:val="31"/>
          <w:rFonts w:hint="eastAsia" w:ascii="宋体" w:hAnsi="宋体" w:eastAsia="宋体" w:cs="宋体"/>
          <w:b/>
          <w:color w:val="auto"/>
          <w:sz w:val="24"/>
          <w:szCs w:val="24"/>
          <w:highlight w:val="none"/>
        </w:rPr>
        <w:t>安全文明施工</w:t>
      </w:r>
    </w:p>
    <w:p w14:paraId="11BA264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1</w:t>
      </w:r>
      <w:r>
        <w:rPr>
          <w:rFonts w:hint="eastAsia"/>
          <w:color w:val="auto"/>
          <w:sz w:val="24"/>
          <w:highlight w:val="none"/>
          <w:lang w:val="en-US" w:eastAsia="zh-CN"/>
        </w:rPr>
        <w:t>.</w:t>
      </w:r>
      <w:r>
        <w:rPr>
          <w:rFonts w:hint="eastAsia"/>
          <w:color w:val="auto"/>
          <w:sz w:val="24"/>
          <w:highlight w:val="none"/>
          <w:lang w:eastAsia="zh-CN"/>
        </w:rPr>
        <w:t>乙方必须按照有关规定实施安全、文明施工。采取可靠安全的防护措施，依法为相关施工人员购置相关保险，加强安全、文明施工教育，确保施工安全，杜绝重大安全事故的发生。若乙方违反相关施工管理规定，给甲方和第三方造成的经济损失，其责任和因此造成的费用支出全部由乙方负责。</w:t>
      </w:r>
    </w:p>
    <w:p w14:paraId="0166A75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2.乙方保证施工安全，在施工中由于安全措施不力或乙方自身原因，而造成的一切经济损失及法律责任全部由乙方负责，甲方不承担任何责任。</w:t>
      </w:r>
    </w:p>
    <w:p w14:paraId="3795546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3.乙方对施工现场已有的成品和半成品负有保护的责任，如因乙方原因造成其损失和损坏，因此而发生的一切经济损失及法律责任，应由乙方承担。在工程竣工未移交甲方前，乙方应负有对现场自身施工的一切设施和工程成品进行保护的责任，并承担相关的费用。</w:t>
      </w:r>
    </w:p>
    <w:p w14:paraId="31ED351F">
      <w:pPr>
        <w:keepNext w:val="0"/>
        <w:keepLines w:val="0"/>
        <w:pageBreakBefore w:val="0"/>
        <w:widowControl/>
        <w:tabs>
          <w:tab w:val="left" w:pos="420"/>
        </w:tabs>
        <w:kinsoku/>
        <w:wordWrap/>
        <w:overflowPunct/>
        <w:topLinePunct w:val="0"/>
        <w:autoSpaceDE/>
        <w:autoSpaceDN/>
        <w:bidi w:val="0"/>
        <w:spacing w:line="480" w:lineRule="exact"/>
        <w:ind w:left="426" w:leftChars="203" w:firstLine="0" w:firstLineChars="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b/>
          <w:color w:val="auto"/>
          <w:kern w:val="0"/>
          <w:sz w:val="24"/>
          <w:szCs w:val="24"/>
          <w:highlight w:val="none"/>
        </w:rPr>
        <w:t>九、争议解决办法</w:t>
      </w:r>
    </w:p>
    <w:p w14:paraId="4F002D08">
      <w:pPr>
        <w:keepNext w:val="0"/>
        <w:keepLines w:val="0"/>
        <w:pageBreakBefore w:val="0"/>
        <w:widowControl/>
        <w:kinsoku/>
        <w:wordWrap/>
        <w:overflowPunct/>
        <w:topLinePunct w:val="0"/>
        <w:autoSpaceDE/>
        <w:autoSpaceDN/>
        <w:bidi w:val="0"/>
        <w:spacing w:line="480" w:lineRule="exact"/>
        <w:ind w:firstLine="480" w:firstLineChars="200"/>
        <w:jc w:val="left"/>
        <w:textAlignment w:val="baseline"/>
        <w:rPr>
          <w:rStyle w:val="31"/>
          <w:rFonts w:hint="eastAsia" w:ascii="宋体" w:hAnsi="宋体" w:eastAsia="宋体" w:cs="宋体"/>
          <w:color w:val="auto"/>
          <w:kern w:val="0"/>
          <w:sz w:val="24"/>
          <w:szCs w:val="24"/>
          <w:highlight w:val="none"/>
        </w:rPr>
      </w:pPr>
      <w:r>
        <w:rPr>
          <w:rStyle w:val="31"/>
          <w:rFonts w:hint="eastAsia" w:ascii="宋体" w:hAnsi="宋体" w:eastAsia="宋体" w:cs="宋体"/>
          <w:color w:val="auto"/>
          <w:kern w:val="0"/>
          <w:sz w:val="24"/>
          <w:szCs w:val="24"/>
          <w:highlight w:val="none"/>
        </w:rPr>
        <w:t>协议实施过程中，若有违约行为并造成对方损失的，由双方商议解决；如双方无法协商一致，可依法向工程项目所在地人民法院起诉。</w:t>
      </w:r>
    </w:p>
    <w:p w14:paraId="573ADEE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b/>
          <w:bCs/>
          <w:color w:val="auto"/>
          <w:sz w:val="24"/>
          <w:highlight w:val="none"/>
          <w:lang w:eastAsia="zh-CN"/>
        </w:rPr>
      </w:pPr>
      <w:r>
        <w:rPr>
          <w:rFonts w:hint="eastAsia"/>
          <w:b/>
          <w:bCs/>
          <w:color w:val="auto"/>
          <w:sz w:val="24"/>
          <w:highlight w:val="none"/>
          <w:lang w:eastAsia="zh-CN"/>
        </w:rPr>
        <w:t>十、其他事宜：</w:t>
      </w:r>
    </w:p>
    <w:p w14:paraId="7787F80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1.协议未尽事宜，双方协商解决。</w:t>
      </w:r>
    </w:p>
    <w:p w14:paraId="77EF24E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2.本协议壹式伍份，甲方执叁份，乙方执贰份。协议经双方盖章后生效，工程竣工并结清工程款以及保修期完结后自动失效。</w:t>
      </w:r>
    </w:p>
    <w:p w14:paraId="18A53FD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olor w:val="auto"/>
          <w:sz w:val="24"/>
          <w:highlight w:val="none"/>
          <w:lang w:eastAsia="zh-CN"/>
        </w:rPr>
      </w:pPr>
      <w:r>
        <w:rPr>
          <w:rFonts w:hint="eastAsia"/>
          <w:color w:val="auto"/>
          <w:sz w:val="24"/>
          <w:highlight w:val="none"/>
          <w:lang w:eastAsia="zh-CN"/>
        </w:rPr>
        <w:t>3.承包人送审造价核减（增）率在超过5%以内的，由发包人支付评审费用；承包人送审造价核减（增）率超过5%的不超过10%，由承包人支付超过5%的部分评审费用；承包人送审造价核减（增）率超过10%的，由承包人支付全部评审费用。承包人在发包人出具审核结果前，需足额支付超出部分评审费方可领取结算审核报告。</w:t>
      </w:r>
    </w:p>
    <w:p w14:paraId="68DE7007">
      <w:pPr>
        <w:pStyle w:val="2"/>
        <w:jc w:val="center"/>
        <w:rPr>
          <w:rFonts w:hint="eastAsia"/>
          <w:color w:val="auto"/>
          <w:sz w:val="30"/>
          <w:szCs w:val="30"/>
          <w:highlight w:val="none"/>
        </w:rPr>
      </w:pPr>
    </w:p>
    <w:p w14:paraId="2E289012">
      <w:pPr>
        <w:rPr>
          <w:rFonts w:hint="eastAsia"/>
          <w:color w:val="auto"/>
          <w:sz w:val="30"/>
          <w:szCs w:val="30"/>
          <w:highlight w:val="none"/>
        </w:rPr>
      </w:pPr>
      <w:r>
        <w:rPr>
          <w:rFonts w:hint="eastAsia"/>
          <w:color w:val="auto"/>
          <w:sz w:val="30"/>
          <w:szCs w:val="30"/>
          <w:highlight w:val="none"/>
        </w:rPr>
        <w:br w:type="page"/>
      </w:r>
    </w:p>
    <w:p w14:paraId="29D116A4">
      <w:pPr>
        <w:pStyle w:val="2"/>
        <w:numPr>
          <w:ilvl w:val="0"/>
          <w:numId w:val="2"/>
        </w:numPr>
        <w:ind w:left="218" w:leftChars="0" w:firstLine="0" w:firstLineChars="0"/>
        <w:jc w:val="center"/>
        <w:rPr>
          <w:rFonts w:hint="eastAsia"/>
          <w:color w:val="auto"/>
          <w:sz w:val="30"/>
          <w:szCs w:val="30"/>
          <w:highlight w:val="none"/>
          <w:lang w:eastAsia="zh-CN"/>
        </w:rPr>
      </w:pPr>
      <w:r>
        <w:rPr>
          <w:rFonts w:hint="eastAsia"/>
          <w:color w:val="auto"/>
          <w:sz w:val="30"/>
          <w:szCs w:val="30"/>
          <w:highlight w:val="none"/>
        </w:rPr>
        <w:t xml:space="preserve"> </w:t>
      </w:r>
      <w:r>
        <w:rPr>
          <w:rFonts w:hint="eastAsia"/>
          <w:color w:val="auto"/>
          <w:sz w:val="30"/>
          <w:szCs w:val="30"/>
          <w:highlight w:val="none"/>
          <w:lang w:val="en-US" w:eastAsia="zh-CN"/>
        </w:rPr>
        <w:t>响应</w:t>
      </w:r>
      <w:r>
        <w:rPr>
          <w:rFonts w:hint="eastAsia"/>
          <w:color w:val="auto"/>
          <w:sz w:val="30"/>
          <w:szCs w:val="30"/>
          <w:highlight w:val="none"/>
        </w:rPr>
        <w:t>文件</w:t>
      </w:r>
      <w:r>
        <w:rPr>
          <w:rFonts w:hint="eastAsia"/>
          <w:color w:val="auto"/>
          <w:sz w:val="30"/>
          <w:szCs w:val="30"/>
          <w:highlight w:val="none"/>
          <w:lang w:eastAsia="zh-CN"/>
        </w:rPr>
        <w:t>（</w:t>
      </w:r>
      <w:r>
        <w:rPr>
          <w:rFonts w:hint="eastAsia"/>
          <w:color w:val="auto"/>
          <w:sz w:val="30"/>
          <w:szCs w:val="30"/>
          <w:highlight w:val="none"/>
        </w:rPr>
        <w:t>格式</w:t>
      </w:r>
      <w:r>
        <w:rPr>
          <w:rFonts w:hint="eastAsia"/>
          <w:color w:val="auto"/>
          <w:sz w:val="30"/>
          <w:szCs w:val="30"/>
          <w:highlight w:val="none"/>
          <w:lang w:eastAsia="zh-CN"/>
        </w:rPr>
        <w:t>）</w:t>
      </w:r>
    </w:p>
    <w:p w14:paraId="1DCD7EA6">
      <w:pPr>
        <w:numPr>
          <w:ilvl w:val="0"/>
          <w:numId w:val="0"/>
        </w:numPr>
        <w:ind w:left="218" w:leftChars="0"/>
        <w:rPr>
          <w:rFonts w:hint="eastAsia"/>
          <w:color w:val="auto"/>
          <w:highlight w:val="none"/>
          <w:lang w:eastAsia="zh-CN"/>
        </w:rPr>
      </w:pPr>
    </w:p>
    <w:p w14:paraId="2E1FCA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资格性响应证明材料</w:t>
      </w:r>
      <w:r>
        <w:rPr>
          <w:rFonts w:hint="eastAsia" w:ascii="宋体" w:hAnsi="宋体" w:eastAsia="宋体" w:cs="宋体"/>
          <w:b/>
          <w:bCs/>
          <w:color w:val="auto"/>
          <w:sz w:val="24"/>
          <w:szCs w:val="24"/>
          <w:highlight w:val="none"/>
          <w:lang w:val="en-US" w:eastAsia="zh-CN"/>
        </w:rPr>
        <w:t>目录</w:t>
      </w:r>
    </w:p>
    <w:p w14:paraId="51B500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响应函</w:t>
      </w:r>
      <w:r>
        <w:rPr>
          <w:rFonts w:hint="eastAsia" w:ascii="宋体" w:hAnsi="宋体" w:eastAsia="宋体" w:cs="宋体"/>
          <w:color w:val="auto"/>
          <w:sz w:val="24"/>
          <w:szCs w:val="24"/>
          <w:highlight w:val="none"/>
          <w:lang w:val="en-US" w:eastAsia="zh-CN"/>
        </w:rPr>
        <w:t>及响应函附录</w:t>
      </w:r>
      <w:r>
        <w:rPr>
          <w:rFonts w:hint="eastAsia" w:ascii="宋体" w:hAnsi="宋体" w:eastAsia="宋体" w:cs="宋体"/>
          <w:b/>
          <w:color w:val="auto"/>
          <w:sz w:val="24"/>
          <w:szCs w:val="24"/>
          <w:highlight w:val="none"/>
        </w:rPr>
        <w:t>（必须提供）</w:t>
      </w:r>
    </w:p>
    <w:p w14:paraId="50F4F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供应商有效的营业执照副本复印件</w:t>
      </w:r>
      <w:r>
        <w:rPr>
          <w:rFonts w:hint="eastAsia" w:ascii="宋体" w:hAnsi="宋体" w:eastAsia="宋体" w:cs="宋体"/>
          <w:b/>
          <w:color w:val="auto"/>
          <w:sz w:val="24"/>
          <w:szCs w:val="24"/>
          <w:highlight w:val="none"/>
        </w:rPr>
        <w:t>（必须提供）</w:t>
      </w:r>
    </w:p>
    <w:p w14:paraId="5A4278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法定代表人（负责人）身份证</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b/>
          <w:color w:val="auto"/>
          <w:sz w:val="24"/>
          <w:szCs w:val="24"/>
          <w:highlight w:val="none"/>
        </w:rPr>
        <w:t>（必须提供）</w:t>
      </w:r>
    </w:p>
    <w:p w14:paraId="64286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法定代表人授权委托书原件、委托代理人身份证正反面复印件</w:t>
      </w:r>
      <w:r>
        <w:rPr>
          <w:rFonts w:hint="eastAsia" w:ascii="宋体" w:hAnsi="宋体" w:eastAsia="宋体" w:cs="宋体"/>
          <w:b/>
          <w:color w:val="auto"/>
          <w:sz w:val="24"/>
          <w:szCs w:val="24"/>
          <w:highlight w:val="none"/>
        </w:rPr>
        <w:t>（必须提供）</w:t>
      </w:r>
    </w:p>
    <w:p w14:paraId="1FE2C778">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供应商电力工程或输变电工程三级</w:t>
      </w:r>
      <w:r>
        <w:rPr>
          <w:rFonts w:hint="eastAsia" w:ascii="宋体" w:hAnsi="宋体" w:eastAsia="宋体" w:cs="宋体"/>
          <w:b w:val="0"/>
          <w:bCs w:val="0"/>
          <w:color w:val="auto"/>
          <w:sz w:val="24"/>
          <w:szCs w:val="24"/>
          <w:highlight w:val="none"/>
        </w:rPr>
        <w:t>及以上资质</w:t>
      </w:r>
      <w:r>
        <w:rPr>
          <w:rFonts w:hint="eastAsia" w:ascii="宋体" w:hAnsi="宋体" w:eastAsia="宋体" w:cs="宋体"/>
          <w:b w:val="0"/>
          <w:bCs w:val="0"/>
          <w:color w:val="auto"/>
          <w:sz w:val="24"/>
          <w:szCs w:val="24"/>
          <w:highlight w:val="none"/>
          <w:lang w:val="en-US" w:eastAsia="zh-CN"/>
        </w:rPr>
        <w:t>证书复印件</w:t>
      </w:r>
      <w:r>
        <w:rPr>
          <w:rFonts w:hint="eastAsia" w:ascii="宋体" w:hAnsi="宋体" w:eastAsia="宋体" w:cs="宋体"/>
          <w:b/>
          <w:color w:val="auto"/>
          <w:sz w:val="24"/>
          <w:szCs w:val="24"/>
          <w:highlight w:val="none"/>
        </w:rPr>
        <w:t>（必须提供）</w:t>
      </w:r>
    </w:p>
    <w:p w14:paraId="51115945">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项目负责人</w:t>
      </w:r>
      <w:r>
        <w:rPr>
          <w:rFonts w:hint="eastAsia" w:ascii="宋体" w:hAnsi="宋体" w:eastAsia="宋体" w:cs="宋体"/>
          <w:b w:val="0"/>
          <w:bCs w:val="0"/>
          <w:color w:val="auto"/>
          <w:sz w:val="24"/>
          <w:szCs w:val="24"/>
          <w:highlight w:val="none"/>
          <w:lang w:val="en-US" w:eastAsia="zh-CN"/>
        </w:rPr>
        <w:t>机电工程专业贰级及以上注册建造师资格、安全生产考核合格证（B证）复印件，</w:t>
      </w:r>
      <w:r>
        <w:rPr>
          <w:rFonts w:hint="eastAsia" w:ascii="宋体" w:hAnsi="宋体" w:eastAsia="宋体" w:cs="宋体"/>
          <w:color w:val="auto"/>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color w:val="auto"/>
          <w:sz w:val="24"/>
          <w:szCs w:val="24"/>
          <w:highlight w:val="none"/>
        </w:rPr>
        <w:t>（必须提供）</w:t>
      </w:r>
    </w:p>
    <w:p w14:paraId="7CBA87B4">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default" w:eastAsia="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cs="宋体"/>
          <w:b w:val="0"/>
          <w:bCs/>
          <w:color w:val="auto"/>
          <w:kern w:val="0"/>
          <w:sz w:val="24"/>
          <w:szCs w:val="24"/>
          <w:highlight w:val="none"/>
          <w:lang w:val="en-US" w:eastAsia="zh-CN"/>
        </w:rPr>
        <w:t>专职安全生产管理人员安全生产考核合格证书（C类）</w:t>
      </w:r>
      <w:r>
        <w:rPr>
          <w:rFonts w:hint="eastAsia" w:ascii="宋体" w:hAnsi="宋体" w:eastAsia="宋体" w:cs="宋体"/>
          <w:b w:val="0"/>
          <w:bCs w:val="0"/>
          <w:color w:val="auto"/>
          <w:sz w:val="24"/>
          <w:szCs w:val="24"/>
          <w:highlight w:val="none"/>
          <w:lang w:val="en-US" w:eastAsia="zh-CN"/>
        </w:rPr>
        <w:t>复印件，</w:t>
      </w:r>
      <w:r>
        <w:rPr>
          <w:rFonts w:hint="eastAsia" w:ascii="宋体" w:hAnsi="宋体" w:eastAsia="宋体" w:cs="宋体"/>
          <w:color w:val="auto"/>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color w:val="auto"/>
          <w:sz w:val="24"/>
          <w:szCs w:val="24"/>
          <w:highlight w:val="none"/>
        </w:rPr>
        <w:t>（必须提供）</w:t>
      </w:r>
    </w:p>
    <w:p w14:paraId="4EF17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供应商参加政府采购活动前3年内在经营活动中没有重大违法记录及有关信用信息的书面声明（</w:t>
      </w:r>
      <w:r>
        <w:rPr>
          <w:rFonts w:hint="eastAsia" w:ascii="宋体" w:hAnsi="宋体" w:eastAsia="宋体" w:cs="宋体"/>
          <w:b/>
          <w:color w:val="auto"/>
          <w:sz w:val="24"/>
          <w:szCs w:val="24"/>
          <w:highlight w:val="none"/>
        </w:rPr>
        <w:t>必须提供）</w:t>
      </w:r>
    </w:p>
    <w:p w14:paraId="54AF7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关于政府采购活动中信用信息记录的书面声明、信用中国(www.creditchina.gov.cn)</w:t>
      </w:r>
      <w:r>
        <w:rPr>
          <w:rFonts w:hint="eastAsia" w:ascii="宋体" w:hAnsi="宋体" w:eastAsia="宋体" w:cs="宋体"/>
          <w:color w:val="auto"/>
          <w:sz w:val="24"/>
          <w:szCs w:val="24"/>
          <w:highlight w:val="none"/>
          <w:lang w:eastAsia="zh-CN"/>
        </w:rPr>
        <w:t>以及中国政府采购网(www.ccgp.gov.cn)”上打印的信用查询记录相关信息</w:t>
      </w:r>
      <w:r>
        <w:rPr>
          <w:rFonts w:hint="eastAsia" w:ascii="宋体" w:hAnsi="宋体" w:eastAsia="宋体" w:cs="宋体"/>
          <w:b/>
          <w:color w:val="auto"/>
          <w:sz w:val="24"/>
          <w:szCs w:val="24"/>
          <w:highlight w:val="none"/>
        </w:rPr>
        <w:t>（必须提供）</w:t>
      </w:r>
    </w:p>
    <w:p w14:paraId="3ED3F01C">
      <w:pPr>
        <w:pStyle w:val="13"/>
        <w:spacing w:line="440" w:lineRule="exact"/>
        <w:ind w:firstLine="590" w:firstLineChars="196"/>
        <w:jc w:val="center"/>
        <w:rPr>
          <w:rFonts w:hAnsi="宋体" w:cs="宋体"/>
          <w:b/>
          <w:color w:val="auto"/>
          <w:sz w:val="30"/>
          <w:szCs w:val="30"/>
          <w:highlight w:val="none"/>
        </w:rPr>
      </w:pPr>
    </w:p>
    <w:p w14:paraId="13C324D1">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0110F254">
      <w:pPr>
        <w:pStyle w:val="3"/>
        <w:spacing w:line="400" w:lineRule="exact"/>
        <w:jc w:val="both"/>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1.响应函及响应函附录(必须提供)</w:t>
      </w:r>
    </w:p>
    <w:p w14:paraId="2F5972CE">
      <w:pPr>
        <w:spacing w:line="400" w:lineRule="exact"/>
        <w:jc w:val="center"/>
        <w:rPr>
          <w:rFonts w:hint="eastAsia" w:ascii="宋体" w:hAnsi="宋体" w:cs="宋体"/>
          <w:b/>
          <w:color w:val="auto"/>
          <w:kern w:val="0"/>
          <w:sz w:val="28"/>
          <w:szCs w:val="28"/>
          <w:highlight w:val="none"/>
        </w:rPr>
      </w:pPr>
    </w:p>
    <w:p w14:paraId="6685ED50">
      <w:pPr>
        <w:spacing w:line="400" w:lineRule="exact"/>
        <w:jc w:val="center"/>
        <w:rPr>
          <w:rFonts w:hint="default"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rPr>
        <w:t>响应函</w:t>
      </w:r>
      <w:r>
        <w:rPr>
          <w:rFonts w:hint="eastAsia" w:ascii="宋体" w:hAnsi="宋体" w:cs="宋体"/>
          <w:b/>
          <w:color w:val="auto"/>
          <w:kern w:val="0"/>
          <w:sz w:val="28"/>
          <w:szCs w:val="28"/>
          <w:highlight w:val="none"/>
          <w:lang w:val="en-US" w:eastAsia="zh-CN"/>
        </w:rPr>
        <w:t>(格式)</w:t>
      </w:r>
    </w:p>
    <w:p w14:paraId="0BD8236B">
      <w:pPr>
        <w:spacing w:line="460" w:lineRule="exact"/>
        <w:rPr>
          <w:rFonts w:ascii="宋体" w:hAnsi="宋体" w:cs="宋体"/>
          <w:color w:val="auto"/>
          <w:kern w:val="0"/>
          <w:sz w:val="24"/>
          <w:highlight w:val="none"/>
          <w:u w:val="single"/>
        </w:rPr>
      </w:pPr>
    </w:p>
    <w:p w14:paraId="307FE45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（采购人名称）：</w:t>
      </w:r>
    </w:p>
    <w:p w14:paraId="758F88B7">
      <w:pPr>
        <w:tabs>
          <w:tab w:val="left" w:pos="7560"/>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1.根据你方项目编号为</w:t>
      </w:r>
      <w:r>
        <w:rPr>
          <w:rFonts w:hint="eastAsia" w:ascii="宋体" w:hAnsi="宋体" w:cs="宋体"/>
          <w:color w:val="auto"/>
          <w:sz w:val="24"/>
          <w:highlight w:val="none"/>
          <w:u w:val="single"/>
        </w:rPr>
        <w:t xml:space="preserve">           （ 项目编号）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元)（其中：投标报价（大写）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元)、安全文明施工费¥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元、规费¥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元、增值税¥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元、暂列金额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03B87580">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2.我方已详细审核全部议价文件，包括修改文件（如有时）及有关附件。</w:t>
      </w:r>
    </w:p>
    <w:p w14:paraId="2551FF57">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3.我方承认响应函附录是我方响应函的组成部分。</w:t>
      </w:r>
    </w:p>
    <w:p w14:paraId="42DA56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4.一旦我方中标，我方保证在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天（日历天）内竣工并移交整个工程。</w:t>
      </w:r>
    </w:p>
    <w:p w14:paraId="462F2D6C">
      <w:pPr>
        <w:spacing w:line="440" w:lineRule="exact"/>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技术负责人：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安全员：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质量员：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B2C3861">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5.如果我方中标，我方将按照文件规定提交安全风险金（履约保证金）作为履约担保。</w:t>
      </w:r>
    </w:p>
    <w:p w14:paraId="5A926438">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6.我方同意所提交的报价文件在议价文件的供应商响应有效期内有效，在此期间内如果中标，我方将受此约束。</w:t>
      </w:r>
    </w:p>
    <w:p w14:paraId="23A17AAA">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7.除非另外达成协议并生效，你方的成交通知书和本议价文件将成为约束双方的合同文件的组成部分。</w:t>
      </w:r>
    </w:p>
    <w:p w14:paraId="18762F94">
      <w:pPr>
        <w:spacing w:line="440" w:lineRule="exact"/>
        <w:rPr>
          <w:rFonts w:ascii="宋体" w:hAnsi="宋体" w:cs="宋体"/>
          <w:color w:val="auto"/>
          <w:kern w:val="0"/>
          <w:sz w:val="24"/>
          <w:highlight w:val="none"/>
        </w:rPr>
      </w:pPr>
    </w:p>
    <w:p w14:paraId="656A7BE1">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spacing w:val="-1"/>
          <w:kern w:val="0"/>
          <w:sz w:val="24"/>
          <w:highlight w:val="none"/>
        </w:rPr>
        <w:t>：</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（盖单位公章） </w:t>
      </w:r>
    </w:p>
    <w:p w14:paraId="50BB5777">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（签</w:t>
      </w:r>
      <w:r>
        <w:rPr>
          <w:rFonts w:hint="eastAsia" w:ascii="宋体" w:hAnsi="宋体" w:cs="宋体"/>
          <w:color w:val="auto"/>
          <w:spacing w:val="-1"/>
          <w:kern w:val="0"/>
          <w:sz w:val="24"/>
          <w:highlight w:val="none"/>
        </w:rPr>
        <w:t>字或盖章</w:t>
      </w:r>
      <w:r>
        <w:rPr>
          <w:rFonts w:hint="eastAsia" w:ascii="宋体" w:hAnsi="宋体" w:cs="宋体"/>
          <w:color w:val="auto"/>
          <w:kern w:val="0"/>
          <w:sz w:val="24"/>
          <w:highlight w:val="none"/>
        </w:rPr>
        <w:t xml:space="preserve">） </w:t>
      </w:r>
    </w:p>
    <w:p w14:paraId="4ED0C6B0">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10E6D000">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522B97B4">
      <w:pPr>
        <w:spacing w:line="440" w:lineRule="exact"/>
        <w:ind w:firstLine="2160" w:firstLineChars="9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54291B48">
      <w:pPr>
        <w:spacing w:line="440" w:lineRule="exact"/>
        <w:ind w:firstLine="2142" w:firstLineChars="900"/>
        <w:jc w:val="left"/>
        <w:rPr>
          <w:rFonts w:ascii="宋体" w:hAnsi="宋体" w:cs="宋体"/>
          <w:color w:val="auto"/>
          <w:kern w:val="0"/>
          <w:sz w:val="24"/>
          <w:highlight w:val="none"/>
        </w:rPr>
      </w:pPr>
      <w:r>
        <w:rPr>
          <w:rFonts w:hint="eastAsia" w:ascii="宋体" w:hAnsi="宋体" w:cs="宋体"/>
          <w:color w:val="auto"/>
          <w:spacing w:val="-1"/>
          <w:kern w:val="0"/>
          <w:sz w:val="24"/>
          <w:highlight w:val="none"/>
          <w:u w:val="single"/>
        </w:rPr>
        <w:t xml:space="preserve">         </w:t>
      </w:r>
      <w:r>
        <w:rPr>
          <w:rFonts w:hint="eastAsia" w:ascii="宋体" w:hAnsi="宋体" w:cs="宋体"/>
          <w:color w:val="auto"/>
          <w:spacing w:val="-1"/>
          <w:kern w:val="0"/>
          <w:sz w:val="24"/>
          <w:highlight w:val="none"/>
        </w:rPr>
        <w:t>年</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月</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日</w:t>
      </w:r>
    </w:p>
    <w:p w14:paraId="1FBA3598">
      <w:pPr>
        <w:rPr>
          <w:rFonts w:ascii="黑体" w:hAnsi="黑体" w:eastAsia="黑体" w:cs="黑体"/>
          <w:b/>
          <w:color w:val="auto"/>
          <w:kern w:val="0"/>
          <w:sz w:val="28"/>
          <w:szCs w:val="28"/>
          <w:highlight w:val="none"/>
        </w:rPr>
      </w:pPr>
    </w:p>
    <w:p w14:paraId="6AA90B05">
      <w:pPr>
        <w:jc w:val="center"/>
        <w:rPr>
          <w:rFonts w:ascii="宋体" w:hAnsi="宋体" w:cs="宋体"/>
          <w:b/>
          <w:color w:val="auto"/>
          <w:kern w:val="0"/>
          <w:sz w:val="28"/>
          <w:szCs w:val="28"/>
          <w:highlight w:val="none"/>
        </w:rPr>
      </w:pPr>
    </w:p>
    <w:p w14:paraId="79C92F6C">
      <w:pPr>
        <w:jc w:val="center"/>
        <w:rPr>
          <w:rFonts w:ascii="宋体" w:hAnsi="宋体" w:cs="宋体"/>
          <w:b/>
          <w:color w:val="auto"/>
          <w:kern w:val="0"/>
          <w:sz w:val="28"/>
          <w:szCs w:val="28"/>
          <w:highlight w:val="none"/>
        </w:rPr>
      </w:pPr>
    </w:p>
    <w:p w14:paraId="1272377D">
      <w:pPr>
        <w:jc w:val="center"/>
        <w:rPr>
          <w:rFonts w:ascii="宋体" w:hAnsi="宋体" w:cs="宋体"/>
          <w:b/>
          <w:color w:val="auto"/>
          <w:kern w:val="0"/>
          <w:sz w:val="28"/>
          <w:szCs w:val="28"/>
          <w:highlight w:val="none"/>
        </w:rPr>
      </w:pPr>
    </w:p>
    <w:p w14:paraId="0F4B7A11">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响应函附录</w:t>
      </w:r>
    </w:p>
    <w:p w14:paraId="01BA3DA5">
      <w:pPr>
        <w:pStyle w:val="16"/>
        <w:rPr>
          <w:rFonts w:ascii="黑体" w:hAnsi="黑体" w:eastAsia="黑体" w:cs="黑体"/>
          <w:b/>
          <w:color w:val="auto"/>
          <w:kern w:val="0"/>
          <w:szCs w:val="28"/>
          <w:highlight w:val="none"/>
        </w:rPr>
      </w:pPr>
    </w:p>
    <w:p w14:paraId="1B6D2180">
      <w:pPr>
        <w:pStyle w:val="17"/>
        <w:rPr>
          <w:color w:val="auto"/>
          <w:highlight w:val="none"/>
        </w:rPr>
      </w:pP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4020B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9D12D36">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2B400F49">
            <w:pPr>
              <w:jc w:val="center"/>
              <w:rPr>
                <w:rFonts w:ascii="宋体" w:hAnsi="宋体" w:cs="宋体"/>
                <w:color w:val="auto"/>
                <w:sz w:val="24"/>
                <w:highlight w:val="none"/>
              </w:rPr>
            </w:pPr>
            <w:r>
              <w:rPr>
                <w:rFonts w:hint="eastAsia" w:ascii="宋体" w:hAnsi="宋体" w:cs="宋体"/>
                <w:color w:val="auto"/>
                <w:sz w:val="24"/>
                <w:highlight w:val="none"/>
              </w:rPr>
              <w:t>内       容</w:t>
            </w:r>
          </w:p>
        </w:tc>
      </w:tr>
      <w:tr w14:paraId="1316D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4F63BFFB">
            <w:pPr>
              <w:jc w:val="center"/>
              <w:rPr>
                <w:rFonts w:ascii="宋体" w:hAnsi="宋体" w:cs="宋体"/>
                <w:color w:val="auto"/>
                <w:sz w:val="24"/>
                <w:highlight w:val="none"/>
              </w:rPr>
            </w:pPr>
            <w:r>
              <w:rPr>
                <w:rFonts w:hint="eastAsia" w:ascii="宋体" w:hAnsi="宋体" w:cs="宋体"/>
                <w:color w:val="auto"/>
                <w:sz w:val="24"/>
                <w:highlight w:val="none"/>
              </w:rPr>
              <w:t>1</w:t>
            </w:r>
          </w:p>
        </w:tc>
        <w:tc>
          <w:tcPr>
            <w:tcW w:w="7871" w:type="dxa"/>
            <w:tcBorders>
              <w:top w:val="single" w:color="auto" w:sz="6" w:space="0"/>
              <w:left w:val="single" w:color="auto" w:sz="6" w:space="0"/>
              <w:bottom w:val="single" w:color="auto" w:sz="6" w:space="0"/>
              <w:right w:val="single" w:color="auto" w:sz="6" w:space="0"/>
            </w:tcBorders>
            <w:vAlign w:val="center"/>
          </w:tcPr>
          <w:p w14:paraId="1666FCAA">
            <w:pPr>
              <w:rPr>
                <w:rFonts w:ascii="宋体" w:hAnsi="宋体" w:cs="宋体"/>
                <w:color w:val="auto"/>
                <w:sz w:val="24"/>
                <w:highlight w:val="none"/>
              </w:rPr>
            </w:pPr>
            <w:r>
              <w:rPr>
                <w:rFonts w:hint="eastAsia" w:ascii="宋体" w:hAnsi="宋体" w:cs="宋体"/>
                <w:color w:val="auto"/>
                <w:sz w:val="24"/>
                <w:highlight w:val="none"/>
              </w:rPr>
              <w:t>施工企业资质等级：</w:t>
            </w:r>
          </w:p>
        </w:tc>
      </w:tr>
      <w:tr w14:paraId="4E00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1B7DC61">
            <w:pPr>
              <w:jc w:val="center"/>
              <w:rPr>
                <w:rFonts w:ascii="宋体" w:hAnsi="宋体" w:cs="宋体"/>
                <w:color w:val="auto"/>
                <w:sz w:val="24"/>
                <w:highlight w:val="none"/>
              </w:rPr>
            </w:pPr>
            <w:r>
              <w:rPr>
                <w:rFonts w:hint="eastAsia" w:ascii="宋体" w:hAnsi="宋体" w:cs="宋体"/>
                <w:color w:val="auto"/>
                <w:sz w:val="24"/>
                <w:highlight w:val="none"/>
              </w:rPr>
              <w:t>2</w:t>
            </w:r>
          </w:p>
        </w:tc>
        <w:tc>
          <w:tcPr>
            <w:tcW w:w="7871" w:type="dxa"/>
            <w:tcBorders>
              <w:top w:val="single" w:color="auto" w:sz="6" w:space="0"/>
              <w:left w:val="single" w:color="auto" w:sz="6" w:space="0"/>
              <w:bottom w:val="single" w:color="auto" w:sz="6" w:space="0"/>
              <w:right w:val="single" w:color="auto" w:sz="6" w:space="0"/>
            </w:tcBorders>
            <w:vAlign w:val="center"/>
          </w:tcPr>
          <w:p w14:paraId="60DD1E61">
            <w:pPr>
              <w:rPr>
                <w:rFonts w:ascii="宋体" w:hAnsi="宋体" w:cs="宋体"/>
                <w:color w:val="auto"/>
                <w:sz w:val="24"/>
                <w:highlight w:val="none"/>
              </w:rPr>
            </w:pPr>
            <w:r>
              <w:rPr>
                <w:rFonts w:hint="eastAsia" w:ascii="宋体" w:hAnsi="宋体" w:cs="宋体"/>
                <w:color w:val="auto"/>
                <w:sz w:val="24"/>
                <w:highlight w:val="none"/>
              </w:rPr>
              <w:t>项目经理姓名：</w:t>
            </w:r>
          </w:p>
          <w:p w14:paraId="0D2C1806">
            <w:pPr>
              <w:rPr>
                <w:rFonts w:ascii="宋体" w:hAnsi="宋体" w:cs="宋体"/>
                <w:color w:val="auto"/>
                <w:sz w:val="24"/>
                <w:highlight w:val="none"/>
              </w:rPr>
            </w:pPr>
            <w:r>
              <w:rPr>
                <w:rFonts w:hint="eastAsia" w:ascii="宋体" w:hAnsi="宋体" w:cs="宋体"/>
                <w:color w:val="auto"/>
                <w:sz w:val="24"/>
                <w:highlight w:val="none"/>
              </w:rPr>
              <w:t>注册建造师证书专业、等级：</w:t>
            </w:r>
          </w:p>
        </w:tc>
      </w:tr>
      <w:tr w14:paraId="590CB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8742E15">
            <w:pPr>
              <w:jc w:val="center"/>
              <w:rPr>
                <w:rFonts w:ascii="宋体" w:hAnsi="宋体" w:cs="宋体"/>
                <w:color w:val="auto"/>
                <w:sz w:val="24"/>
                <w:highlight w:val="none"/>
              </w:rPr>
            </w:pPr>
            <w:r>
              <w:rPr>
                <w:rFonts w:hint="eastAsia" w:ascii="宋体" w:hAnsi="宋体" w:cs="宋体"/>
                <w:color w:val="auto"/>
                <w:sz w:val="24"/>
                <w:highlight w:val="none"/>
              </w:rPr>
              <w:t>3</w:t>
            </w:r>
          </w:p>
        </w:tc>
        <w:tc>
          <w:tcPr>
            <w:tcW w:w="7871" w:type="dxa"/>
            <w:tcBorders>
              <w:top w:val="single" w:color="auto" w:sz="6" w:space="0"/>
              <w:left w:val="single" w:color="auto" w:sz="6" w:space="0"/>
              <w:bottom w:val="single" w:color="auto" w:sz="6" w:space="0"/>
              <w:right w:val="single" w:color="auto" w:sz="6" w:space="0"/>
            </w:tcBorders>
            <w:vAlign w:val="center"/>
          </w:tcPr>
          <w:p w14:paraId="5597A24C">
            <w:pPr>
              <w:rPr>
                <w:rFonts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w:t>
            </w:r>
          </w:p>
        </w:tc>
      </w:tr>
      <w:tr w14:paraId="4B5B4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BA5AE73">
            <w:pPr>
              <w:jc w:val="center"/>
              <w:rPr>
                <w:rFonts w:ascii="宋体" w:hAnsi="宋体" w:cs="宋体"/>
                <w:color w:val="auto"/>
                <w:sz w:val="24"/>
                <w:highlight w:val="none"/>
              </w:rPr>
            </w:pPr>
            <w:r>
              <w:rPr>
                <w:rFonts w:hint="eastAsia" w:ascii="宋体" w:hAnsi="宋体" w:cs="宋体"/>
                <w:color w:val="auto"/>
                <w:sz w:val="24"/>
                <w:highlight w:val="none"/>
              </w:rPr>
              <w:t>4</w:t>
            </w:r>
          </w:p>
        </w:tc>
        <w:tc>
          <w:tcPr>
            <w:tcW w:w="7871" w:type="dxa"/>
            <w:tcBorders>
              <w:top w:val="single" w:color="auto" w:sz="6" w:space="0"/>
              <w:left w:val="single" w:color="auto" w:sz="6" w:space="0"/>
              <w:bottom w:val="single" w:color="auto" w:sz="6" w:space="0"/>
              <w:right w:val="single" w:color="auto" w:sz="6" w:space="0"/>
            </w:tcBorders>
            <w:vAlign w:val="center"/>
          </w:tcPr>
          <w:p w14:paraId="2B0A04C1">
            <w:pPr>
              <w:rPr>
                <w:rFonts w:ascii="宋体" w:hAnsi="宋体" w:cs="宋体"/>
                <w:color w:val="auto"/>
                <w:sz w:val="24"/>
                <w:highlight w:val="none"/>
              </w:rPr>
            </w:pPr>
            <w:r>
              <w:rPr>
                <w:rFonts w:hint="eastAsia" w:ascii="宋体" w:hAnsi="宋体" w:cs="宋体"/>
                <w:color w:val="auto"/>
                <w:sz w:val="24"/>
                <w:highlight w:val="none"/>
              </w:rPr>
              <w:t>质量等级：</w:t>
            </w:r>
          </w:p>
        </w:tc>
      </w:tr>
      <w:tr w14:paraId="79CD1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F1AA87C">
            <w:pPr>
              <w:jc w:val="center"/>
              <w:rPr>
                <w:rFonts w:ascii="宋体" w:hAnsi="宋体" w:cs="宋体"/>
                <w:color w:val="auto"/>
                <w:sz w:val="24"/>
                <w:highlight w:val="none"/>
              </w:rPr>
            </w:pPr>
            <w:r>
              <w:rPr>
                <w:rFonts w:hint="eastAsia" w:ascii="宋体" w:hAnsi="宋体" w:cs="宋体"/>
                <w:color w:val="auto"/>
                <w:sz w:val="24"/>
                <w:highlight w:val="none"/>
              </w:rPr>
              <w:t>5</w:t>
            </w:r>
          </w:p>
        </w:tc>
        <w:tc>
          <w:tcPr>
            <w:tcW w:w="7871" w:type="dxa"/>
            <w:tcBorders>
              <w:top w:val="single" w:color="auto" w:sz="6" w:space="0"/>
              <w:left w:val="single" w:color="auto" w:sz="6" w:space="0"/>
              <w:bottom w:val="single" w:color="auto" w:sz="6" w:space="0"/>
              <w:right w:val="single" w:color="auto" w:sz="6" w:space="0"/>
            </w:tcBorders>
            <w:vAlign w:val="center"/>
          </w:tcPr>
          <w:p w14:paraId="487243E2">
            <w:pPr>
              <w:rPr>
                <w:rFonts w:ascii="宋体" w:hAnsi="宋体" w:cs="宋体"/>
                <w:color w:val="auto"/>
                <w:sz w:val="24"/>
                <w:highlight w:val="none"/>
              </w:rPr>
            </w:pPr>
            <w:r>
              <w:rPr>
                <w:rFonts w:hint="eastAsia" w:ascii="宋体" w:hAnsi="宋体" w:cs="宋体"/>
                <w:color w:val="auto"/>
                <w:sz w:val="24"/>
                <w:highlight w:val="none"/>
              </w:rPr>
              <w:t>其    他：</w:t>
            </w:r>
          </w:p>
        </w:tc>
      </w:tr>
    </w:tbl>
    <w:p w14:paraId="572AF030">
      <w:pPr>
        <w:spacing w:line="480" w:lineRule="exact"/>
        <w:rPr>
          <w:rFonts w:ascii="宋体" w:hAnsi="宋体" w:cs="宋体"/>
          <w:color w:val="auto"/>
          <w:sz w:val="24"/>
          <w:highlight w:val="none"/>
        </w:rPr>
      </w:pPr>
    </w:p>
    <w:p w14:paraId="18639B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供应商：                      （盖章）</w:t>
      </w:r>
    </w:p>
    <w:p w14:paraId="555EA5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（签字或盖章）</w:t>
      </w:r>
    </w:p>
    <w:p w14:paraId="18A1B16C">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1FBBB64">
      <w:pPr>
        <w:rPr>
          <w:color w:val="auto"/>
          <w:highlight w:val="none"/>
        </w:rPr>
      </w:pPr>
    </w:p>
    <w:p w14:paraId="0D7A859B">
      <w:pPr>
        <w:rPr>
          <w:color w:val="auto"/>
          <w:highlight w:val="none"/>
        </w:rPr>
      </w:pPr>
      <w:r>
        <w:rPr>
          <w:color w:val="auto"/>
          <w:highlight w:val="none"/>
        </w:rPr>
        <w:br w:type="page"/>
      </w:r>
    </w:p>
    <w:p w14:paraId="2075D8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供应商有效的营业执照副本复印件（必须提供）</w:t>
      </w:r>
    </w:p>
    <w:p w14:paraId="44F29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3F0BF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3DDC2C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法定代表人（负责人）身份证</w:t>
      </w:r>
      <w:r>
        <w:rPr>
          <w:rFonts w:hint="eastAsia" w:ascii="宋体" w:hAnsi="宋体" w:eastAsia="宋体" w:cs="宋体"/>
          <w:b/>
          <w:bCs/>
          <w:color w:val="auto"/>
          <w:sz w:val="24"/>
          <w:szCs w:val="24"/>
          <w:highlight w:val="none"/>
          <w:lang w:val="en-US" w:eastAsia="zh-CN"/>
        </w:rPr>
        <w:t>正反面</w:t>
      </w:r>
      <w:r>
        <w:rPr>
          <w:rFonts w:hint="eastAsia" w:ascii="宋体" w:hAnsi="宋体" w:eastAsia="宋体" w:cs="宋体"/>
          <w:b/>
          <w:bCs/>
          <w:color w:val="auto"/>
          <w:sz w:val="24"/>
          <w:szCs w:val="24"/>
          <w:highlight w:val="none"/>
        </w:rPr>
        <w:t>复印件（必须提供）</w:t>
      </w:r>
    </w:p>
    <w:p w14:paraId="2723BC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2B8AA5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098E8D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法定代表人授权委托书原件、委托代理人身份证正反面复印件（必须提供）</w:t>
      </w:r>
    </w:p>
    <w:p w14:paraId="16A3D962">
      <w:pPr>
        <w:pStyle w:val="13"/>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法人授权委托书（格式）</w:t>
      </w:r>
    </w:p>
    <w:p w14:paraId="26D74258">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2B18F739">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77D10398">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项目的议价采购活动，并代表我方全权办理针对上述项目的具体事务和签署相关文件。</w:t>
      </w:r>
    </w:p>
    <w:p w14:paraId="2883DFC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我方对被授权人的签字事项负全部责任。</w:t>
      </w:r>
    </w:p>
    <w:p w14:paraId="501E3D93">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授权委托代理期限：从  年  月  日起至     年  月 日止。</w:t>
      </w:r>
    </w:p>
    <w:p w14:paraId="6095CDB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代理人无转委托权,特此委托。 </w:t>
      </w:r>
    </w:p>
    <w:p w14:paraId="6E01BAAC">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5363467A">
      <w:pPr>
        <w:snapToGrid w:val="0"/>
        <w:spacing w:line="440" w:lineRule="exact"/>
        <w:ind w:firstLine="420"/>
        <w:jc w:val="left"/>
        <w:rPr>
          <w:rFonts w:ascii="宋体" w:hAnsi="宋体" w:cs="宋体"/>
          <w:color w:val="auto"/>
          <w:sz w:val="24"/>
          <w:highlight w:val="none"/>
        </w:rPr>
      </w:pPr>
    </w:p>
    <w:p w14:paraId="2293A90A">
      <w:pPr>
        <w:snapToGrid w:val="0"/>
        <w:spacing w:line="440" w:lineRule="exact"/>
        <w:ind w:firstLine="420"/>
        <w:jc w:val="left"/>
        <w:rPr>
          <w:rFonts w:ascii="宋体" w:hAnsi="宋体" w:cs="宋体"/>
          <w:color w:val="auto"/>
          <w:sz w:val="24"/>
          <w:highlight w:val="none"/>
        </w:rPr>
      </w:pPr>
    </w:p>
    <w:p w14:paraId="227D0024">
      <w:pPr>
        <w:snapToGrid w:val="0"/>
        <w:spacing w:line="440" w:lineRule="exact"/>
        <w:ind w:firstLine="420"/>
        <w:jc w:val="left"/>
        <w:rPr>
          <w:rFonts w:hint="eastAsia" w:ascii="宋体" w:hAnsi="宋体" w:cs="宋体"/>
          <w:color w:val="auto"/>
          <w:sz w:val="24"/>
          <w:highlight w:val="none"/>
        </w:rPr>
      </w:pPr>
    </w:p>
    <w:p w14:paraId="15C89BA2">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4C0755C4">
      <w:pPr>
        <w:snapToGrid w:val="0"/>
        <w:spacing w:line="440" w:lineRule="exact"/>
        <w:ind w:firstLine="420"/>
        <w:jc w:val="left"/>
        <w:rPr>
          <w:rFonts w:ascii="宋体" w:hAnsi="宋体" w:cs="宋体"/>
          <w:color w:val="auto"/>
          <w:sz w:val="24"/>
          <w:highlight w:val="none"/>
        </w:rPr>
      </w:pPr>
    </w:p>
    <w:p w14:paraId="507217B8">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法定代表人（负责人）签字或盖章：  </w:t>
      </w:r>
    </w:p>
    <w:p w14:paraId="4404CDAD">
      <w:pPr>
        <w:snapToGrid w:val="0"/>
        <w:spacing w:line="440" w:lineRule="exact"/>
        <w:ind w:firstLine="480" w:firstLineChars="200"/>
        <w:jc w:val="left"/>
        <w:rPr>
          <w:rFonts w:ascii="宋体" w:hAnsi="宋体" w:cs="宋体"/>
          <w:color w:val="auto"/>
          <w:sz w:val="24"/>
          <w:highlight w:val="none"/>
        </w:rPr>
      </w:pPr>
    </w:p>
    <w:p w14:paraId="07534BE7">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4F547EE9">
      <w:pPr>
        <w:pStyle w:val="13"/>
        <w:spacing w:line="400" w:lineRule="exact"/>
        <w:ind w:firstLine="602" w:firstLineChars="250"/>
        <w:rPr>
          <w:rFonts w:hint="eastAsia"/>
          <w:b/>
          <w:bCs w:val="0"/>
          <w:color w:val="auto"/>
          <w:sz w:val="24"/>
          <w:szCs w:val="24"/>
          <w:highlight w:val="none"/>
        </w:rPr>
      </w:pPr>
    </w:p>
    <w:p w14:paraId="1D9DC481">
      <w:pPr>
        <w:pStyle w:val="13"/>
        <w:spacing w:line="400" w:lineRule="exact"/>
        <w:ind w:firstLine="602" w:firstLineChars="250"/>
        <w:rPr>
          <w:rFonts w:hint="eastAsia"/>
          <w:b/>
          <w:bCs w:val="0"/>
          <w:color w:val="auto"/>
          <w:sz w:val="24"/>
          <w:szCs w:val="24"/>
          <w:highlight w:val="none"/>
          <w:lang w:eastAsia="zh-CN"/>
        </w:rPr>
      </w:pPr>
      <w:r>
        <w:rPr>
          <w:rFonts w:hint="eastAsia"/>
          <w:b/>
          <w:bCs w:val="0"/>
          <w:color w:val="auto"/>
          <w:sz w:val="24"/>
          <w:szCs w:val="24"/>
          <w:highlight w:val="none"/>
        </w:rPr>
        <w:t>注：</w:t>
      </w:r>
    </w:p>
    <w:p w14:paraId="5DB0E162">
      <w:pPr>
        <w:pStyle w:val="13"/>
        <w:spacing w:line="400" w:lineRule="exact"/>
        <w:ind w:firstLine="602" w:firstLineChars="250"/>
        <w:rPr>
          <w:rFonts w:hint="eastAsia"/>
          <w:b/>
          <w:bCs w:val="0"/>
          <w:color w:val="auto"/>
          <w:sz w:val="24"/>
          <w:szCs w:val="24"/>
          <w:highlight w:val="none"/>
        </w:rPr>
      </w:pPr>
      <w:r>
        <w:rPr>
          <w:rFonts w:hint="eastAsia"/>
          <w:b/>
          <w:bCs w:val="0"/>
          <w:color w:val="auto"/>
          <w:sz w:val="24"/>
          <w:szCs w:val="24"/>
          <w:highlight w:val="none"/>
        </w:rPr>
        <w:t>1.此授权委托书必须由法定代表人及相应的授权委托代理人</w:t>
      </w:r>
      <w:r>
        <w:rPr>
          <w:rFonts w:hint="eastAsia"/>
          <w:b/>
          <w:bCs w:val="0"/>
          <w:color w:val="auto"/>
          <w:sz w:val="24"/>
          <w:szCs w:val="24"/>
          <w:highlight w:val="none"/>
          <w:lang w:eastAsia="zh-CN"/>
        </w:rPr>
        <w:t>按“格式”规定</w:t>
      </w:r>
      <w:r>
        <w:rPr>
          <w:rFonts w:hint="eastAsia"/>
          <w:b/>
          <w:bCs w:val="0"/>
          <w:color w:val="auto"/>
          <w:sz w:val="24"/>
          <w:szCs w:val="24"/>
          <w:highlight w:val="none"/>
        </w:rPr>
        <w:t>签名</w:t>
      </w:r>
      <w:r>
        <w:rPr>
          <w:rFonts w:hint="eastAsia"/>
          <w:b/>
          <w:bCs w:val="0"/>
          <w:color w:val="auto"/>
          <w:sz w:val="24"/>
          <w:szCs w:val="24"/>
          <w:highlight w:val="none"/>
          <w:lang w:eastAsia="zh-CN"/>
        </w:rPr>
        <w:t>（盖印章）</w:t>
      </w:r>
      <w:r>
        <w:rPr>
          <w:rFonts w:hint="eastAsia"/>
          <w:b/>
          <w:bCs w:val="0"/>
          <w:color w:val="auto"/>
          <w:sz w:val="24"/>
          <w:szCs w:val="24"/>
          <w:highlight w:val="none"/>
        </w:rPr>
        <w:t>并加盖供应商公章，且不得改变以上格式，否则，响应文件按无效处理。</w:t>
      </w:r>
    </w:p>
    <w:p w14:paraId="42DD71E5">
      <w:pPr>
        <w:pStyle w:val="13"/>
        <w:spacing w:line="400" w:lineRule="exact"/>
        <w:ind w:firstLine="602" w:firstLineChars="250"/>
        <w:rPr>
          <w:b/>
          <w:bCs w:val="0"/>
          <w:color w:val="auto"/>
          <w:sz w:val="24"/>
          <w:szCs w:val="24"/>
          <w:highlight w:val="none"/>
        </w:rPr>
      </w:pPr>
      <w:r>
        <w:rPr>
          <w:rFonts w:hint="eastAsia"/>
          <w:b/>
          <w:bCs w:val="0"/>
          <w:color w:val="auto"/>
          <w:sz w:val="24"/>
          <w:szCs w:val="24"/>
          <w:highlight w:val="none"/>
        </w:rPr>
        <w:t>2.</w:t>
      </w:r>
      <w:r>
        <w:rPr>
          <w:rFonts w:hint="eastAsia"/>
          <w:b/>
          <w:bCs w:val="0"/>
          <w:color w:val="auto"/>
          <w:sz w:val="24"/>
          <w:szCs w:val="24"/>
          <w:highlight w:val="none"/>
          <w:lang w:eastAsia="zh-CN"/>
        </w:rPr>
        <w:t>附</w:t>
      </w:r>
      <w:r>
        <w:rPr>
          <w:rFonts w:hint="eastAsia"/>
          <w:b/>
          <w:bCs w:val="0"/>
          <w:color w:val="auto"/>
          <w:sz w:val="24"/>
          <w:szCs w:val="24"/>
          <w:highlight w:val="none"/>
        </w:rPr>
        <w:t>委托代理人身份证正反面复印件。</w:t>
      </w:r>
    </w:p>
    <w:p w14:paraId="7E490C7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491A1F3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38660C8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5.供应商电力工程或输变电工程三级</w:t>
      </w:r>
      <w:r>
        <w:rPr>
          <w:rFonts w:hint="eastAsia" w:ascii="宋体" w:hAnsi="宋体" w:eastAsia="宋体" w:cs="宋体"/>
          <w:b/>
          <w:bCs/>
          <w:color w:val="auto"/>
          <w:sz w:val="24"/>
          <w:szCs w:val="24"/>
          <w:highlight w:val="none"/>
        </w:rPr>
        <w:t>及以上资质</w:t>
      </w:r>
      <w:r>
        <w:rPr>
          <w:rFonts w:hint="eastAsia" w:ascii="宋体" w:hAnsi="宋体" w:eastAsia="宋体" w:cs="宋体"/>
          <w:b/>
          <w:bCs/>
          <w:color w:val="auto"/>
          <w:sz w:val="24"/>
          <w:szCs w:val="24"/>
          <w:highlight w:val="none"/>
          <w:lang w:val="en-US" w:eastAsia="zh-CN"/>
        </w:rPr>
        <w:t>证书复印件</w:t>
      </w:r>
      <w:r>
        <w:rPr>
          <w:rFonts w:hint="eastAsia" w:ascii="宋体" w:hAnsi="宋体" w:eastAsia="宋体" w:cs="宋体"/>
          <w:b/>
          <w:bCs/>
          <w:color w:val="auto"/>
          <w:sz w:val="24"/>
          <w:szCs w:val="24"/>
          <w:highlight w:val="none"/>
        </w:rPr>
        <w:t>（必须提供）</w:t>
      </w:r>
    </w:p>
    <w:p w14:paraId="316F02F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178693F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06C261D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项目负责人</w:t>
      </w:r>
      <w:r>
        <w:rPr>
          <w:rFonts w:hint="eastAsia" w:ascii="宋体" w:hAnsi="宋体" w:eastAsia="宋体" w:cs="宋体"/>
          <w:b/>
          <w:bCs/>
          <w:color w:val="auto"/>
          <w:sz w:val="24"/>
          <w:szCs w:val="24"/>
          <w:highlight w:val="none"/>
          <w:lang w:val="en-US" w:eastAsia="zh-CN"/>
        </w:rPr>
        <w:t>机电工程专业贰级及以上注册建造师资格、安全生产考核合格证（B证）复印件，以及由县级以上（含县级）社会养老保险经办机构出具的供应商为委托代理人交纳的社保证明（最近半年至少1个月以上）复印件</w:t>
      </w:r>
      <w:r>
        <w:rPr>
          <w:rFonts w:hint="eastAsia" w:ascii="宋体" w:hAnsi="宋体" w:eastAsia="宋体" w:cs="宋体"/>
          <w:b/>
          <w:bCs/>
          <w:color w:val="auto"/>
          <w:sz w:val="24"/>
          <w:szCs w:val="24"/>
          <w:highlight w:val="none"/>
        </w:rPr>
        <w:t>（必须提供）</w:t>
      </w:r>
    </w:p>
    <w:p w14:paraId="103F06F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3E2C566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val="en-US" w:eastAsia="zh-CN"/>
        </w:rPr>
      </w:pPr>
    </w:p>
    <w:p w14:paraId="5602DB1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eastAsia="宋体"/>
          <w:b/>
          <w:bCs/>
          <w:color w:val="auto"/>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cs="宋体"/>
          <w:b/>
          <w:bCs/>
          <w:color w:val="auto"/>
          <w:kern w:val="0"/>
          <w:sz w:val="24"/>
          <w:szCs w:val="24"/>
          <w:highlight w:val="none"/>
          <w:lang w:val="en-US" w:eastAsia="zh-CN"/>
        </w:rPr>
        <w:t>专职安全生产管理人员安全生产考核合格证书（C类）</w:t>
      </w:r>
      <w:r>
        <w:rPr>
          <w:rFonts w:hint="eastAsia" w:ascii="宋体" w:hAnsi="宋体" w:eastAsia="宋体" w:cs="宋体"/>
          <w:b/>
          <w:bCs/>
          <w:color w:val="auto"/>
          <w:sz w:val="24"/>
          <w:szCs w:val="24"/>
          <w:highlight w:val="none"/>
          <w:lang w:val="en-US" w:eastAsia="zh-CN"/>
        </w:rPr>
        <w:t>复印件，以及由县级以上（含县级）社会养老保险经办机构出具的供应商为委托代理人交纳的社保证明（最近半年至少1个月以上）复印件</w:t>
      </w:r>
      <w:r>
        <w:rPr>
          <w:rFonts w:hint="eastAsia" w:ascii="宋体" w:hAnsi="宋体" w:eastAsia="宋体" w:cs="宋体"/>
          <w:b/>
          <w:bCs/>
          <w:color w:val="auto"/>
          <w:sz w:val="24"/>
          <w:szCs w:val="24"/>
          <w:highlight w:val="none"/>
        </w:rPr>
        <w:t>（必须提供）</w:t>
      </w:r>
    </w:p>
    <w:p w14:paraId="13A1A8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07DA2C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0D669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供应商参加政府采购活动前3年内在经营活动中没有重大违法记录及有关信用信息的书面声明（</w:t>
      </w:r>
      <w:r>
        <w:rPr>
          <w:rFonts w:hint="eastAsia" w:ascii="宋体" w:hAnsi="宋体" w:eastAsia="宋体" w:cs="宋体"/>
          <w:b/>
          <w:bCs/>
          <w:color w:val="auto"/>
          <w:sz w:val="24"/>
          <w:szCs w:val="24"/>
          <w:highlight w:val="none"/>
        </w:rPr>
        <w:t>必须提供）</w:t>
      </w:r>
    </w:p>
    <w:p w14:paraId="0C2BBBD5">
      <w:pPr>
        <w:snapToGrid w:val="0"/>
        <w:spacing w:line="400" w:lineRule="exact"/>
        <w:rPr>
          <w:rFonts w:hint="eastAsia" w:ascii="宋体" w:hAnsi="宋体" w:eastAsia="宋体" w:cs="宋体"/>
          <w:b/>
          <w:color w:val="auto"/>
          <w:kern w:val="0"/>
          <w:sz w:val="24"/>
          <w:szCs w:val="24"/>
          <w:highlight w:val="none"/>
        </w:rPr>
      </w:pPr>
    </w:p>
    <w:p w14:paraId="7D50CE18">
      <w:pPr>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致</w:t>
      </w:r>
      <w:r>
        <w:rPr>
          <w:rFonts w:hint="eastAsia" w:ascii="宋体" w:hAnsi="宋体" w:eastAsia="宋体" w:cs="宋体"/>
          <w:color w:val="auto"/>
          <w:kern w:val="0"/>
          <w:sz w:val="24"/>
          <w:szCs w:val="24"/>
          <w:highlight w:val="none"/>
        </w:rPr>
        <w:t>：桂林市人民医院</w:t>
      </w:r>
    </w:p>
    <w:p w14:paraId="75D21F3A">
      <w:pPr>
        <w:rPr>
          <w:rFonts w:hint="eastAsia" w:ascii="宋体" w:hAnsi="宋体" w:eastAsia="宋体" w:cs="宋体"/>
          <w:color w:val="auto"/>
          <w:kern w:val="0"/>
          <w:sz w:val="24"/>
          <w:szCs w:val="24"/>
          <w:highlight w:val="none"/>
        </w:rPr>
      </w:pPr>
    </w:p>
    <w:p w14:paraId="3E243943">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kern w:val="0"/>
          <w:sz w:val="24"/>
          <w:szCs w:val="24"/>
          <w:highlight w:val="none"/>
        </w:rPr>
        <w:t>，完全符合本项目招标文件规定的投标人资格条件，我方对此声明负全部法律责任。</w:t>
      </w:r>
    </w:p>
    <w:p w14:paraId="642939CA">
      <w:pPr>
        <w:snapToGrid w:val="0"/>
        <w:spacing w:before="50" w:after="156" w:afterLines="50" w:line="360" w:lineRule="auto"/>
        <w:jc w:val="left"/>
        <w:rPr>
          <w:rFonts w:hint="eastAsia" w:ascii="宋体" w:hAnsi="宋体" w:eastAsia="宋体" w:cs="宋体"/>
          <w:color w:val="auto"/>
          <w:sz w:val="24"/>
          <w:szCs w:val="24"/>
          <w:highlight w:val="none"/>
        </w:rPr>
      </w:pPr>
    </w:p>
    <w:p w14:paraId="0CBFE33D">
      <w:pPr>
        <w:snapToGrid w:val="0"/>
        <w:spacing w:before="156" w:beforeLines="50"/>
        <w:ind w:left="4860" w:leftChars="2200" w:right="480" w:hanging="240" w:hanging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E32E9F">
      <w:pPr>
        <w:snapToGrid w:val="0"/>
        <w:spacing w:before="156" w:beforeLines="50"/>
        <w:ind w:right="48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r>
        <w:rPr>
          <w:rFonts w:hint="eastAsia" w:ascii="宋体" w:hAnsi="宋体" w:eastAsia="宋体" w:cs="宋体"/>
          <w:color w:val="auto"/>
          <w:sz w:val="24"/>
          <w:szCs w:val="24"/>
          <w:highlight w:val="none"/>
          <w:u w:val="single"/>
        </w:rPr>
        <w:t xml:space="preserve">                 </w:t>
      </w:r>
    </w:p>
    <w:p w14:paraId="7B0FC331">
      <w:pPr>
        <w:snapToGrid w:val="0"/>
        <w:spacing w:before="156" w:beforeLines="50" w:after="50"/>
        <w:ind w:right="900" w:firstLine="5400" w:firstLineChars="2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3883C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561331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7E0BD6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val="en-US" w:eastAsia="zh-CN"/>
        </w:rPr>
        <w:t>关于政府采购活动中信用信息记录的书面声明、信用中国(www.creditchina.gov.cn)</w:t>
      </w:r>
      <w:r>
        <w:rPr>
          <w:rFonts w:hint="eastAsia" w:ascii="宋体" w:hAnsi="宋体" w:eastAsia="宋体" w:cs="宋体"/>
          <w:b/>
          <w:bCs/>
          <w:color w:val="auto"/>
          <w:sz w:val="24"/>
          <w:szCs w:val="24"/>
          <w:highlight w:val="none"/>
          <w:lang w:eastAsia="zh-CN"/>
        </w:rPr>
        <w:t>以及中国政府采购网(www.ccgp.gov.cn)”上打印的信用查询记录相关信息</w:t>
      </w:r>
      <w:r>
        <w:rPr>
          <w:rFonts w:hint="eastAsia" w:ascii="宋体" w:hAnsi="宋体" w:eastAsia="宋体" w:cs="宋体"/>
          <w:b/>
          <w:bCs/>
          <w:color w:val="auto"/>
          <w:sz w:val="24"/>
          <w:szCs w:val="24"/>
          <w:highlight w:val="none"/>
        </w:rPr>
        <w:t>（必须提供）</w:t>
      </w:r>
    </w:p>
    <w:p w14:paraId="77C81F78">
      <w:pPr>
        <w:pStyle w:val="23"/>
        <w:rPr>
          <w:b/>
          <w:bCs/>
          <w:color w:val="auto"/>
          <w:highlight w:val="none"/>
        </w:rPr>
        <w:sectPr>
          <w:footerReference r:id="rId4" w:type="default"/>
          <w:pgSz w:w="11906" w:h="16838"/>
          <w:pgMar w:top="1417" w:right="1417" w:bottom="1417" w:left="1304" w:header="850" w:footer="992" w:gutter="0"/>
          <w:cols w:space="720" w:num="1"/>
          <w:docGrid w:linePitch="312" w:charSpace="0"/>
        </w:sectPr>
      </w:pPr>
    </w:p>
    <w:p w14:paraId="3522D07C">
      <w:pPr>
        <w:pStyle w:val="3"/>
        <w:numPr>
          <w:ilvl w:val="0"/>
          <w:numId w:val="3"/>
        </w:numPr>
        <w:jc w:val="both"/>
        <w:rPr>
          <w:rFonts w:hint="eastAsia" w:ascii="宋体" w:hAnsi="宋体" w:eastAsia="宋体" w:cs="宋体"/>
          <w:color w:val="auto"/>
          <w:sz w:val="28"/>
          <w:szCs w:val="28"/>
          <w:highlight w:val="none"/>
          <w:lang w:val="en-US" w:eastAsia="zh-CN"/>
        </w:rPr>
      </w:pPr>
      <w:bookmarkStart w:id="2" w:name="_Toc25320401"/>
      <w:bookmarkStart w:id="3" w:name="_Toc25320280"/>
      <w:bookmarkStart w:id="4" w:name="_Toc3744"/>
      <w:r>
        <w:rPr>
          <w:rFonts w:hint="eastAsia" w:ascii="宋体" w:hAnsi="宋体" w:eastAsia="宋体" w:cs="宋体"/>
          <w:color w:val="auto"/>
          <w:sz w:val="28"/>
          <w:szCs w:val="28"/>
          <w:highlight w:val="none"/>
          <w:lang w:val="en-US" w:eastAsia="zh-CN"/>
        </w:rPr>
        <w:t>符合性响应证明材料</w:t>
      </w:r>
    </w:p>
    <w:p w14:paraId="1CB087D4">
      <w:pPr>
        <w:spacing w:line="40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1.投标报价汇总表（必须提供）</w:t>
      </w:r>
    </w:p>
    <w:p w14:paraId="4A3357C3">
      <w:pPr>
        <w:spacing w:line="400" w:lineRule="exact"/>
        <w:jc w:val="center"/>
        <w:rPr>
          <w:rFonts w:hint="eastAsia" w:ascii="宋体" w:hAnsi="宋体" w:eastAsia="宋体" w:cs="宋体"/>
          <w:color w:val="auto"/>
          <w:sz w:val="28"/>
          <w:szCs w:val="28"/>
          <w:highlight w:val="none"/>
        </w:rPr>
      </w:pPr>
    </w:p>
    <w:p w14:paraId="0F37EC95">
      <w:pPr>
        <w:spacing w:line="4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报价汇总表</w:t>
      </w:r>
      <w:bookmarkEnd w:id="2"/>
      <w:bookmarkEnd w:id="3"/>
      <w:bookmarkEnd w:id="4"/>
    </w:p>
    <w:p w14:paraId="0F9E6BAC">
      <w:pPr>
        <w:pStyle w:val="16"/>
        <w:ind w:firstLine="0"/>
        <w:rPr>
          <w:color w:val="auto"/>
          <w:highlight w:val="none"/>
        </w:rPr>
      </w:pPr>
    </w:p>
    <w:p w14:paraId="2A9E2072">
      <w:pPr>
        <w:pStyle w:val="29"/>
        <w:ind w:firstLine="0" w:firstLineChars="0"/>
        <w:rPr>
          <w:rFonts w:ascii="黑体" w:hAnsi="黑体" w:eastAsia="黑体" w:cs="黑体"/>
          <w:color w:val="auto"/>
          <w:highlight w:val="none"/>
        </w:rPr>
      </w:pPr>
    </w:p>
    <w:tbl>
      <w:tblPr>
        <w:tblStyle w:val="18"/>
        <w:tblW w:w="8879" w:type="dxa"/>
        <w:tblInd w:w="-31" w:type="dxa"/>
        <w:tblLayout w:type="fixed"/>
        <w:tblCellMar>
          <w:top w:w="0" w:type="dxa"/>
          <w:left w:w="108" w:type="dxa"/>
          <w:bottom w:w="0" w:type="dxa"/>
          <w:right w:w="108" w:type="dxa"/>
        </w:tblCellMar>
      </w:tblPr>
      <w:tblGrid>
        <w:gridCol w:w="505"/>
        <w:gridCol w:w="5797"/>
        <w:gridCol w:w="2577"/>
      </w:tblGrid>
      <w:tr w14:paraId="3B0F1610">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5054DF4A">
            <w:pPr>
              <w:rPr>
                <w:rFonts w:ascii="宋体" w:hAnsi="宋体" w:cs="宋体"/>
                <w:color w:val="auto"/>
                <w:kern w:val="0"/>
                <w:sz w:val="24"/>
                <w:highlight w:val="none"/>
              </w:rPr>
            </w:pPr>
            <w:r>
              <w:rPr>
                <w:rFonts w:hint="eastAsia" w:ascii="宋体" w:hAnsi="宋体" w:cs="宋体"/>
                <w:color w:val="auto"/>
                <w:kern w:val="0"/>
                <w:sz w:val="24"/>
                <w:highlight w:val="none"/>
              </w:rPr>
              <w:t>工程名称:</w:t>
            </w:r>
            <w:r>
              <w:rPr>
                <w:rFonts w:hint="eastAsia" w:ascii="宋体" w:hAnsi="宋体" w:cs="宋体"/>
                <w:color w:val="auto"/>
                <w:kern w:val="0"/>
                <w:sz w:val="24"/>
                <w:highlight w:val="none"/>
                <w:u w:val="single"/>
              </w:rPr>
              <w:t xml:space="preserve">                 项目备案编号：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币种：人民币</w:t>
            </w:r>
          </w:p>
        </w:tc>
      </w:tr>
      <w:tr w14:paraId="43257956">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697F317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09AF0B55">
            <w:pPr>
              <w:spacing w:line="400" w:lineRule="exact"/>
              <w:rPr>
                <w:rFonts w:ascii="宋体" w:hAnsi="宋体" w:cs="宋体"/>
                <w:color w:val="auto"/>
                <w:sz w:val="24"/>
                <w:highlight w:val="none"/>
              </w:rPr>
            </w:pPr>
            <w:r>
              <w:rPr>
                <w:rFonts w:hint="eastAsia" w:ascii="宋体" w:hAnsi="宋体" w:cs="宋体"/>
                <w:color w:val="auto"/>
                <w:sz w:val="24"/>
                <w:highlight w:val="none"/>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03B87151">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5DF28BD7">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E0C746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5797" w:type="dxa"/>
            <w:tcBorders>
              <w:top w:val="single" w:color="auto" w:sz="4" w:space="0"/>
              <w:left w:val="nil"/>
              <w:bottom w:val="single" w:color="auto" w:sz="4" w:space="0"/>
              <w:right w:val="single" w:color="auto" w:sz="4" w:space="0"/>
            </w:tcBorders>
            <w:vAlign w:val="center"/>
          </w:tcPr>
          <w:p w14:paraId="6DE753CE">
            <w:pPr>
              <w:spacing w:line="400" w:lineRule="exact"/>
              <w:rPr>
                <w:rFonts w:ascii="宋体" w:hAnsi="宋体" w:cs="宋体"/>
                <w:color w:val="auto"/>
                <w:sz w:val="24"/>
                <w:highlight w:val="none"/>
              </w:rPr>
            </w:pPr>
            <w:r>
              <w:rPr>
                <w:rFonts w:hint="eastAsia" w:ascii="宋体" w:hAnsi="宋体" w:cs="宋体"/>
                <w:color w:val="auto"/>
                <w:sz w:val="24"/>
                <w:highlight w:val="none"/>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07306319">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1FEC22CF">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6E37D50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38C88263">
            <w:pPr>
              <w:spacing w:line="400" w:lineRule="exact"/>
              <w:rPr>
                <w:rFonts w:ascii="宋体" w:hAnsi="宋体" w:cs="宋体"/>
                <w:color w:val="auto"/>
                <w:sz w:val="24"/>
                <w:highlight w:val="none"/>
              </w:rPr>
            </w:pPr>
            <w:r>
              <w:rPr>
                <w:rFonts w:hint="eastAsia" w:ascii="宋体" w:hAnsi="宋体" w:cs="宋体"/>
                <w:color w:val="auto"/>
                <w:sz w:val="24"/>
                <w:highlight w:val="none"/>
              </w:rPr>
              <w:t>安全文明施工费</w:t>
            </w:r>
          </w:p>
        </w:tc>
        <w:tc>
          <w:tcPr>
            <w:tcW w:w="2577" w:type="dxa"/>
            <w:tcBorders>
              <w:top w:val="nil"/>
              <w:left w:val="nil"/>
              <w:bottom w:val="single" w:color="auto" w:sz="4" w:space="0"/>
              <w:right w:val="single" w:color="auto" w:sz="8" w:space="0"/>
            </w:tcBorders>
            <w:vAlign w:val="center"/>
          </w:tcPr>
          <w:p w14:paraId="335DDD8E">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3CC2B140">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465BCDC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5797" w:type="dxa"/>
            <w:tcBorders>
              <w:top w:val="single" w:color="auto" w:sz="4" w:space="0"/>
              <w:left w:val="nil"/>
              <w:bottom w:val="single" w:color="auto" w:sz="4" w:space="0"/>
              <w:right w:val="single" w:color="auto" w:sz="4" w:space="0"/>
            </w:tcBorders>
            <w:vAlign w:val="center"/>
          </w:tcPr>
          <w:p w14:paraId="5DF7F288">
            <w:pPr>
              <w:spacing w:line="400" w:lineRule="exact"/>
              <w:rPr>
                <w:rFonts w:ascii="宋体" w:hAnsi="宋体" w:cs="宋体"/>
                <w:color w:val="auto"/>
                <w:sz w:val="24"/>
                <w:highlight w:val="none"/>
              </w:rPr>
            </w:pPr>
            <w:r>
              <w:rPr>
                <w:rFonts w:hint="eastAsia" w:ascii="宋体" w:hAnsi="宋体" w:cs="宋体"/>
                <w:color w:val="auto"/>
                <w:sz w:val="24"/>
                <w:highlight w:val="none"/>
              </w:rPr>
              <w:t>规费</w:t>
            </w:r>
          </w:p>
        </w:tc>
        <w:tc>
          <w:tcPr>
            <w:tcW w:w="2577" w:type="dxa"/>
            <w:tcBorders>
              <w:top w:val="nil"/>
              <w:left w:val="nil"/>
              <w:bottom w:val="single" w:color="auto" w:sz="4" w:space="0"/>
              <w:right w:val="single" w:color="auto" w:sz="8" w:space="0"/>
            </w:tcBorders>
            <w:vAlign w:val="center"/>
          </w:tcPr>
          <w:p w14:paraId="5025FAD2">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1F2B0DB2">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5B4A852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5797" w:type="dxa"/>
            <w:tcBorders>
              <w:top w:val="single" w:color="auto" w:sz="4" w:space="0"/>
              <w:left w:val="nil"/>
              <w:bottom w:val="single" w:color="auto" w:sz="4" w:space="0"/>
              <w:right w:val="single" w:color="auto" w:sz="4" w:space="0"/>
            </w:tcBorders>
            <w:vAlign w:val="center"/>
          </w:tcPr>
          <w:p w14:paraId="563EA88B">
            <w:pPr>
              <w:spacing w:line="400" w:lineRule="exact"/>
              <w:rPr>
                <w:rFonts w:ascii="宋体" w:hAnsi="宋体" w:cs="宋体"/>
                <w:color w:val="auto"/>
                <w:sz w:val="24"/>
                <w:highlight w:val="none"/>
              </w:rPr>
            </w:pPr>
            <w:r>
              <w:rPr>
                <w:rFonts w:hint="eastAsia" w:ascii="宋体" w:hAnsi="宋体" w:cs="宋体"/>
                <w:color w:val="auto"/>
                <w:sz w:val="24"/>
                <w:highlight w:val="none"/>
              </w:rPr>
              <w:t>增值税</w:t>
            </w:r>
          </w:p>
        </w:tc>
        <w:tc>
          <w:tcPr>
            <w:tcW w:w="2577" w:type="dxa"/>
            <w:tcBorders>
              <w:top w:val="nil"/>
              <w:left w:val="nil"/>
              <w:bottom w:val="single" w:color="auto" w:sz="4" w:space="0"/>
              <w:right w:val="single" w:color="auto" w:sz="8" w:space="0"/>
            </w:tcBorders>
            <w:vAlign w:val="center"/>
          </w:tcPr>
          <w:p w14:paraId="0E52CBA8">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46AA787B">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2235DBA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5797" w:type="dxa"/>
            <w:tcBorders>
              <w:top w:val="single" w:color="auto" w:sz="4" w:space="0"/>
              <w:left w:val="nil"/>
              <w:bottom w:val="single" w:color="auto" w:sz="4" w:space="0"/>
              <w:right w:val="single" w:color="auto" w:sz="4" w:space="0"/>
            </w:tcBorders>
            <w:vAlign w:val="center"/>
          </w:tcPr>
          <w:p w14:paraId="3F66498C">
            <w:pPr>
              <w:spacing w:line="400" w:lineRule="exact"/>
              <w:rPr>
                <w:rFonts w:ascii="宋体" w:hAnsi="宋体" w:cs="宋体"/>
                <w:color w:val="auto"/>
                <w:sz w:val="24"/>
                <w:highlight w:val="none"/>
              </w:rPr>
            </w:pPr>
            <w:r>
              <w:rPr>
                <w:rFonts w:hint="eastAsia" w:ascii="宋体" w:hAnsi="宋体" w:cs="宋体"/>
                <w:color w:val="auto"/>
                <w:sz w:val="24"/>
                <w:highlight w:val="none"/>
              </w:rPr>
              <w:t>暂列金额</w:t>
            </w:r>
          </w:p>
        </w:tc>
        <w:tc>
          <w:tcPr>
            <w:tcW w:w="2577" w:type="dxa"/>
            <w:tcBorders>
              <w:top w:val="nil"/>
              <w:left w:val="nil"/>
              <w:bottom w:val="single" w:color="auto" w:sz="4" w:space="0"/>
              <w:right w:val="single" w:color="auto" w:sz="8" w:space="0"/>
            </w:tcBorders>
            <w:vAlign w:val="center"/>
          </w:tcPr>
          <w:p w14:paraId="52250FC7">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33ACA4FB">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D8BE1F4">
            <w:pPr>
              <w:spacing w:line="400" w:lineRule="exact"/>
              <w:rPr>
                <w:rFonts w:ascii="宋体" w:hAnsi="宋体" w:cs="宋体"/>
                <w:color w:val="auto"/>
                <w:sz w:val="24"/>
                <w:highlight w:val="none"/>
              </w:rPr>
            </w:pPr>
            <w:r>
              <w:rPr>
                <w:rFonts w:hint="eastAsia" w:ascii="宋体" w:hAnsi="宋体" w:cs="宋体"/>
                <w:color w:val="auto"/>
                <w:sz w:val="24"/>
                <w:highlight w:val="none"/>
              </w:rPr>
              <w:t>承诺工期</w:t>
            </w:r>
          </w:p>
        </w:tc>
        <w:tc>
          <w:tcPr>
            <w:tcW w:w="2577" w:type="dxa"/>
            <w:tcBorders>
              <w:top w:val="nil"/>
              <w:left w:val="nil"/>
              <w:bottom w:val="single" w:color="auto" w:sz="4" w:space="0"/>
              <w:right w:val="single" w:color="auto" w:sz="8" w:space="0"/>
            </w:tcBorders>
            <w:vAlign w:val="center"/>
          </w:tcPr>
          <w:p w14:paraId="5219F728">
            <w:pPr>
              <w:spacing w:line="400" w:lineRule="exact"/>
              <w:jc w:val="right"/>
              <w:rPr>
                <w:rFonts w:ascii="宋体" w:hAnsi="宋体" w:cs="宋体"/>
                <w:color w:val="auto"/>
                <w:sz w:val="24"/>
                <w:highlight w:val="none"/>
              </w:rPr>
            </w:pPr>
            <w:r>
              <w:rPr>
                <w:rFonts w:hint="eastAsia" w:ascii="宋体" w:hAnsi="宋体" w:cs="宋体"/>
                <w:color w:val="auto"/>
                <w:sz w:val="24"/>
                <w:highlight w:val="none"/>
              </w:rPr>
              <w:t>天（日历天）</w:t>
            </w:r>
          </w:p>
        </w:tc>
      </w:tr>
      <w:tr w14:paraId="6337B9B9">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C8CC7CC">
            <w:pPr>
              <w:spacing w:line="400" w:lineRule="exact"/>
              <w:rPr>
                <w:rFonts w:ascii="宋体" w:hAnsi="宋体" w:cs="宋体"/>
                <w:color w:val="auto"/>
                <w:sz w:val="24"/>
                <w:highlight w:val="none"/>
              </w:rPr>
            </w:pPr>
            <w:r>
              <w:rPr>
                <w:rFonts w:hint="eastAsia" w:ascii="宋体" w:hAnsi="宋体" w:cs="宋体"/>
                <w:color w:val="auto"/>
                <w:sz w:val="24"/>
                <w:highlight w:val="none"/>
              </w:rPr>
              <w:t>承诺质量等级</w:t>
            </w:r>
          </w:p>
        </w:tc>
        <w:tc>
          <w:tcPr>
            <w:tcW w:w="2577" w:type="dxa"/>
            <w:tcBorders>
              <w:top w:val="nil"/>
              <w:left w:val="nil"/>
              <w:bottom w:val="single" w:color="auto" w:sz="4" w:space="0"/>
              <w:right w:val="single" w:color="auto" w:sz="8" w:space="0"/>
            </w:tcBorders>
            <w:vAlign w:val="center"/>
          </w:tcPr>
          <w:p w14:paraId="7B713C3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w:t>
            </w:r>
          </w:p>
        </w:tc>
      </w:tr>
      <w:tr w14:paraId="64E85FDA">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4C7FBE18">
            <w:pPr>
              <w:tabs>
                <w:tab w:val="left" w:pos="128"/>
              </w:tabs>
              <w:spacing w:before="167" w:line="315" w:lineRule="auto"/>
              <w:ind w:right="76" w:firstLine="489"/>
              <w:rPr>
                <w:rFonts w:ascii="宋体" w:hAnsi="宋体" w:cs="宋体"/>
                <w:color w:val="auto"/>
                <w:sz w:val="24"/>
                <w:highlight w:val="none"/>
              </w:rPr>
            </w:pPr>
            <w:r>
              <w:rPr>
                <w:rFonts w:hint="eastAsia" w:ascii="宋体" w:hAnsi="宋体" w:cs="宋体"/>
                <w:color w:val="auto"/>
                <w:sz w:val="24"/>
                <w:highlight w:val="none"/>
              </w:rPr>
              <w:t>注：安全文明施工费按《建设工程工程量清单计价规范》（GB50500-2013）、《&lt;建设工程工程量清单计价规范(GB50500-2013)&gt;广西壮族自治区实施细则》规定执行。均作为不可竞争费用单列。</w:t>
            </w:r>
          </w:p>
        </w:tc>
      </w:tr>
      <w:tr w14:paraId="18235A6F">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7A43FDA">
            <w:pPr>
              <w:spacing w:line="400" w:lineRule="exact"/>
              <w:rPr>
                <w:rFonts w:ascii="宋体" w:hAnsi="宋体" w:cs="宋体"/>
                <w:color w:val="auto"/>
                <w:sz w:val="24"/>
                <w:highlight w:val="none"/>
              </w:rPr>
            </w:pPr>
            <w:r>
              <w:rPr>
                <w:rFonts w:hint="eastAsia" w:ascii="宋体" w:hAnsi="宋体" w:cs="宋体"/>
                <w:color w:val="auto"/>
                <w:sz w:val="24"/>
                <w:highlight w:val="none"/>
              </w:rPr>
              <w:t>供应商单位：（盖公章）</w:t>
            </w:r>
          </w:p>
          <w:p w14:paraId="398A218E">
            <w:pPr>
              <w:spacing w:line="400" w:lineRule="exact"/>
              <w:rPr>
                <w:rFonts w:ascii="宋体" w:hAnsi="宋体" w:cs="宋体"/>
                <w:color w:val="auto"/>
                <w:sz w:val="24"/>
                <w:highlight w:val="none"/>
              </w:rPr>
            </w:pPr>
          </w:p>
          <w:p w14:paraId="7D0D7AA0">
            <w:pPr>
              <w:spacing w:line="400" w:lineRule="exact"/>
              <w:rPr>
                <w:rFonts w:ascii="宋体" w:hAnsi="宋体" w:cs="宋体"/>
                <w:color w:val="auto"/>
                <w:sz w:val="24"/>
                <w:highlight w:val="none"/>
              </w:rPr>
            </w:pPr>
            <w:r>
              <w:rPr>
                <w:rFonts w:hint="eastAsia" w:ascii="宋体" w:hAnsi="宋体" w:cs="宋体"/>
                <w:color w:val="auto"/>
                <w:sz w:val="24"/>
                <w:highlight w:val="none"/>
              </w:rPr>
              <w:t>法定代表人或其委托代理人（签</w:t>
            </w:r>
            <w:r>
              <w:rPr>
                <w:rFonts w:hint="eastAsia" w:ascii="宋体" w:hAnsi="宋体" w:cs="宋体"/>
                <w:color w:val="auto"/>
                <w:spacing w:val="-1"/>
                <w:sz w:val="24"/>
                <w:highlight w:val="none"/>
              </w:rPr>
              <w:t>字</w:t>
            </w:r>
            <w:r>
              <w:rPr>
                <w:rFonts w:hint="eastAsia" w:ascii="宋体" w:hAnsi="宋体" w:cs="宋体"/>
                <w:color w:val="auto"/>
                <w:sz w:val="24"/>
                <w:highlight w:val="none"/>
              </w:rPr>
              <w:t>）：</w:t>
            </w:r>
          </w:p>
          <w:p w14:paraId="503F2477">
            <w:pPr>
              <w:spacing w:line="400" w:lineRule="exact"/>
              <w:rPr>
                <w:rFonts w:ascii="宋体" w:hAnsi="宋体" w:cs="宋体"/>
                <w:color w:val="auto"/>
                <w:sz w:val="24"/>
                <w:highlight w:val="none"/>
              </w:rPr>
            </w:pPr>
          </w:p>
          <w:p w14:paraId="189CDB40">
            <w:pPr>
              <w:spacing w:line="400" w:lineRule="exact"/>
              <w:rPr>
                <w:rFonts w:ascii="宋体" w:hAnsi="宋体" w:cs="宋体"/>
                <w:color w:val="auto"/>
                <w:sz w:val="24"/>
                <w:highlight w:val="none"/>
              </w:rPr>
            </w:pPr>
            <w:r>
              <w:rPr>
                <w:rFonts w:hint="eastAsia" w:ascii="宋体" w:hAnsi="宋体" w:cs="宋体"/>
                <w:color w:val="auto"/>
                <w:sz w:val="24"/>
                <w:highlight w:val="none"/>
              </w:rPr>
              <w:t>年       月     日</w:t>
            </w:r>
          </w:p>
        </w:tc>
      </w:tr>
    </w:tbl>
    <w:p w14:paraId="2D23837C">
      <w:pPr>
        <w:rPr>
          <w:rFonts w:ascii="宋体" w:hAnsi="宋体" w:cs="宋体"/>
          <w:color w:val="auto"/>
          <w:sz w:val="24"/>
          <w:highlight w:val="none"/>
        </w:rPr>
      </w:pPr>
    </w:p>
    <w:p w14:paraId="2835F441">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注：1.供应商必须就“项目采购需求”中全部内容作完整唯一报价方案，漏项报价的或有选择的或有条件的报价，其响应文件将视为无效。 </w:t>
      </w:r>
    </w:p>
    <w:p w14:paraId="03BDEB73">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    2.供应商应根据所提供服务如实填写</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报价表的各项内容。</w:t>
      </w:r>
    </w:p>
    <w:p w14:paraId="52F171B7">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 xml:space="preserve">    3.</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报价表须由法定代表人或相应的委托代理人签名并加盖供应商公章。</w:t>
      </w:r>
    </w:p>
    <w:p w14:paraId="249ECEF9">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6DA6CA66">
      <w:pPr>
        <w:spacing w:line="380" w:lineRule="exact"/>
        <w:rPr>
          <w:rFonts w:ascii="黑体" w:hAnsi="黑体" w:eastAsia="黑体" w:cs="黑体"/>
          <w:b/>
          <w:bCs/>
          <w:color w:val="auto"/>
          <w:szCs w:val="21"/>
          <w:highlight w:val="none"/>
        </w:rPr>
      </w:pPr>
      <w:r>
        <w:rPr>
          <w:rFonts w:hint="eastAsia" w:ascii="宋体" w:hAnsi="宋体" w:cs="宋体"/>
          <w:b/>
          <w:color w:val="auto"/>
          <w:sz w:val="28"/>
          <w:szCs w:val="28"/>
          <w:highlight w:val="none"/>
        </w:rPr>
        <w:br w:type="page"/>
      </w:r>
    </w:p>
    <w:p w14:paraId="5BEA4D0F">
      <w:pPr>
        <w:pStyle w:val="13"/>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color w:val="auto"/>
          <w:sz w:val="24"/>
          <w:szCs w:val="24"/>
          <w:highlight w:val="none"/>
          <w:lang w:val="en-US" w:eastAsia="zh-CN"/>
        </w:rPr>
        <w:t>项目采购需求</w:t>
      </w:r>
      <w:r>
        <w:rPr>
          <w:rFonts w:hint="eastAsia" w:ascii="宋体" w:hAnsi="宋体" w:eastAsia="宋体" w:cs="宋体"/>
          <w:b/>
          <w:color w:val="auto"/>
          <w:sz w:val="24"/>
          <w:szCs w:val="24"/>
          <w:highlight w:val="none"/>
          <w:lang w:eastAsia="zh-CN"/>
        </w:rPr>
        <w:t>响应表</w:t>
      </w:r>
      <w:r>
        <w:rPr>
          <w:rFonts w:hint="eastAsia" w:ascii="宋体" w:hAnsi="宋体" w:eastAsia="宋体" w:cs="宋体"/>
          <w:b/>
          <w:bCs/>
          <w:color w:val="auto"/>
          <w:sz w:val="24"/>
          <w:szCs w:val="24"/>
          <w:highlight w:val="none"/>
        </w:rPr>
        <w:t>（格式）</w:t>
      </w:r>
    </w:p>
    <w:p w14:paraId="6ECB5B20">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lang w:val="en-US" w:eastAsia="zh-CN"/>
        </w:rPr>
      </w:pPr>
    </w:p>
    <w:p w14:paraId="475F18EB">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项目采购需求</w:t>
      </w:r>
      <w:r>
        <w:rPr>
          <w:rFonts w:hint="eastAsia" w:ascii="宋体" w:hAnsi="宋体" w:eastAsia="宋体" w:cs="宋体"/>
          <w:b/>
          <w:color w:val="auto"/>
          <w:sz w:val="24"/>
          <w:szCs w:val="24"/>
          <w:highlight w:val="none"/>
          <w:lang w:eastAsia="zh-CN"/>
        </w:rPr>
        <w:t>响应表</w:t>
      </w:r>
    </w:p>
    <w:p w14:paraId="5E7FA278">
      <w:pPr>
        <w:pStyle w:val="5"/>
        <w:rPr>
          <w:rFonts w:hint="eastAsia"/>
          <w:color w:val="auto"/>
          <w:highlight w:val="none"/>
          <w:lang w:eastAsia="zh-CN"/>
        </w:rPr>
      </w:pPr>
    </w:p>
    <w:tbl>
      <w:tblPr>
        <w:tblStyle w:val="18"/>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2940"/>
        <w:gridCol w:w="3662"/>
      </w:tblGrid>
      <w:tr w14:paraId="61BD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929" w:type="dxa"/>
            <w:noWrap w:val="0"/>
            <w:vAlign w:val="center"/>
          </w:tcPr>
          <w:p w14:paraId="1FB02B6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2940" w:type="dxa"/>
            <w:noWrap w:val="0"/>
            <w:vAlign w:val="center"/>
          </w:tcPr>
          <w:p w14:paraId="2BC15DAD">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项目采购需求要求</w:t>
            </w:r>
          </w:p>
        </w:tc>
        <w:tc>
          <w:tcPr>
            <w:tcW w:w="3662" w:type="dxa"/>
            <w:noWrap w:val="0"/>
            <w:vAlign w:val="center"/>
          </w:tcPr>
          <w:p w14:paraId="77FE0A2D">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供应商响应文件的响应情况</w:t>
            </w:r>
          </w:p>
        </w:tc>
      </w:tr>
      <w:tr w14:paraId="5872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929" w:type="dxa"/>
            <w:noWrap w:val="0"/>
            <w:vAlign w:val="center"/>
          </w:tcPr>
          <w:p w14:paraId="58ED8F4C">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tc>
        <w:tc>
          <w:tcPr>
            <w:tcW w:w="2940" w:type="dxa"/>
            <w:noWrap w:val="0"/>
            <w:vAlign w:val="center"/>
          </w:tcPr>
          <w:p w14:paraId="6965FB7C">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62A65EA3">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193C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29" w:type="dxa"/>
            <w:noWrap w:val="0"/>
            <w:vAlign w:val="center"/>
          </w:tcPr>
          <w:p w14:paraId="4FF14E97">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cs="宋体"/>
                <w:b/>
                <w:bCs/>
                <w:color w:val="auto"/>
                <w:sz w:val="24"/>
                <w:highlight w:val="none"/>
              </w:rPr>
              <w:t>供应商资质条件要求</w:t>
            </w:r>
          </w:p>
        </w:tc>
        <w:tc>
          <w:tcPr>
            <w:tcW w:w="2940" w:type="dxa"/>
            <w:noWrap w:val="0"/>
            <w:vAlign w:val="center"/>
          </w:tcPr>
          <w:p w14:paraId="13AF5A08">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053FCC13">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5924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004CA8D5">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highlight w:val="none"/>
                <w:lang w:val="en-US" w:eastAsia="zh-CN"/>
              </w:rPr>
              <w:t>技术要求</w:t>
            </w:r>
          </w:p>
        </w:tc>
        <w:tc>
          <w:tcPr>
            <w:tcW w:w="2940" w:type="dxa"/>
            <w:noWrap w:val="0"/>
            <w:vAlign w:val="center"/>
          </w:tcPr>
          <w:p w14:paraId="00F0E0F9">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5F5B2B60">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5C9A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58062C47">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四、付款方式</w:t>
            </w:r>
          </w:p>
        </w:tc>
        <w:tc>
          <w:tcPr>
            <w:tcW w:w="2940" w:type="dxa"/>
            <w:noWrap w:val="0"/>
            <w:vAlign w:val="center"/>
          </w:tcPr>
          <w:p w14:paraId="448E2096">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7A0EC6B7">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49EF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1D59A404">
            <w:pPr>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highlight w:val="none"/>
                <w:lang w:val="en-US" w:eastAsia="zh-CN"/>
              </w:rPr>
              <w:t>五、验收标准</w:t>
            </w:r>
          </w:p>
        </w:tc>
        <w:tc>
          <w:tcPr>
            <w:tcW w:w="2940" w:type="dxa"/>
            <w:noWrap w:val="0"/>
            <w:vAlign w:val="center"/>
          </w:tcPr>
          <w:p w14:paraId="7A0F25CE">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32B7DC42">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05AC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4C1B492C">
            <w:pPr>
              <w:pageBreakBefore w:val="0"/>
              <w:kinsoku/>
              <w:wordWrap/>
              <w:overflowPunct/>
              <w:topLinePunct w:val="0"/>
              <w:autoSpaceDE/>
              <w:autoSpaceDN/>
              <w:bidi w:val="0"/>
              <w:adjustRightInd/>
              <w:spacing w:line="440" w:lineRule="exact"/>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六、保修要求</w:t>
            </w:r>
          </w:p>
        </w:tc>
        <w:tc>
          <w:tcPr>
            <w:tcW w:w="2940" w:type="dxa"/>
            <w:noWrap w:val="0"/>
            <w:vAlign w:val="center"/>
          </w:tcPr>
          <w:p w14:paraId="758AB82C">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0CE49F25">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7FEE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56614AA4">
            <w:pPr>
              <w:pageBreakBefore w:val="0"/>
              <w:kinsoku/>
              <w:wordWrap/>
              <w:overflowPunct/>
              <w:topLinePunct w:val="0"/>
              <w:autoSpaceDE/>
              <w:autoSpaceDN/>
              <w:bidi w:val="0"/>
              <w:adjustRightInd/>
              <w:spacing w:line="440" w:lineRule="exact"/>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七、安全文明施工</w:t>
            </w:r>
          </w:p>
        </w:tc>
        <w:tc>
          <w:tcPr>
            <w:tcW w:w="2940" w:type="dxa"/>
            <w:noWrap w:val="0"/>
            <w:vAlign w:val="center"/>
          </w:tcPr>
          <w:p w14:paraId="747351A3">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2653D647">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3231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29" w:type="dxa"/>
            <w:noWrap w:val="0"/>
            <w:vAlign w:val="center"/>
          </w:tcPr>
          <w:p w14:paraId="7E9BFA5F">
            <w:pPr>
              <w:pageBreakBefore w:val="0"/>
              <w:kinsoku/>
              <w:wordWrap/>
              <w:overflowPunct/>
              <w:topLinePunct w:val="0"/>
              <w:autoSpaceDE/>
              <w:autoSpaceDN/>
              <w:bidi w:val="0"/>
              <w:adjustRightInd/>
              <w:spacing w:line="440" w:lineRule="exact"/>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八、违约责任</w:t>
            </w:r>
          </w:p>
        </w:tc>
        <w:tc>
          <w:tcPr>
            <w:tcW w:w="2940" w:type="dxa"/>
            <w:noWrap w:val="0"/>
            <w:vAlign w:val="center"/>
          </w:tcPr>
          <w:p w14:paraId="0017DEEE">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265B6FB8">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796D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929" w:type="dxa"/>
            <w:noWrap w:val="0"/>
            <w:vAlign w:val="center"/>
          </w:tcPr>
          <w:p w14:paraId="267E6E07">
            <w:pPr>
              <w:pStyle w:val="1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四、其他商务要求</w:t>
            </w:r>
          </w:p>
        </w:tc>
        <w:tc>
          <w:tcPr>
            <w:tcW w:w="2940" w:type="dxa"/>
            <w:noWrap w:val="0"/>
            <w:vAlign w:val="center"/>
          </w:tcPr>
          <w:p w14:paraId="23135FA2">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3662" w:type="dxa"/>
            <w:noWrap w:val="0"/>
            <w:vAlign w:val="center"/>
          </w:tcPr>
          <w:p w14:paraId="74B163F7">
            <w:pPr>
              <w:pStyle w:val="13"/>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bl>
    <w:p w14:paraId="506AE031">
      <w:pPr>
        <w:pStyle w:val="13"/>
        <w:keepNext w:val="0"/>
        <w:keepLines w:val="0"/>
        <w:pageBreakBefore w:val="0"/>
        <w:widowControl w:val="0"/>
        <w:kinsoku/>
        <w:wordWrap/>
        <w:overflowPunct/>
        <w:topLinePunct w:val="0"/>
        <w:autoSpaceDE/>
        <w:autoSpaceDN/>
        <w:bidi w:val="0"/>
        <w:spacing w:line="440" w:lineRule="exact"/>
        <w:ind w:right="600"/>
        <w:textAlignment w:val="auto"/>
        <w:rPr>
          <w:rFonts w:hint="eastAsia" w:ascii="宋体" w:hAnsi="宋体" w:eastAsia="宋体" w:cs="宋体"/>
          <w:color w:val="auto"/>
          <w:sz w:val="24"/>
          <w:szCs w:val="24"/>
          <w:highlight w:val="none"/>
          <w:u w:val="single"/>
          <w:lang w:eastAsia="zh-CN"/>
        </w:rPr>
      </w:pPr>
    </w:p>
    <w:p w14:paraId="7BE24DC4">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供法定代表人或被授权人签字:             </w:t>
      </w:r>
    </w:p>
    <w:p w14:paraId="0DFFA8AA">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p>
    <w:p w14:paraId="0D9D56A1">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0E5B13">
      <w:pPr>
        <w:pStyle w:val="13"/>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lang w:eastAsia="zh-CN"/>
        </w:rPr>
      </w:pPr>
    </w:p>
    <w:p w14:paraId="1FEF70D5">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注：本表须由法定代表人或相应的委托代理人签名并加盖供应商公章。</w:t>
      </w:r>
    </w:p>
    <w:p w14:paraId="4EBB74A8">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A028ECA">
      <w:pPr>
        <w:pStyle w:val="23"/>
        <w:rPr>
          <w:rFonts w:hint="eastAsia" w:ascii="宋体" w:hAnsi="宋体" w:eastAsia="宋体" w:cs="宋体"/>
          <w:b/>
          <w:bCs/>
          <w:color w:val="auto"/>
          <w:spacing w:val="-1"/>
          <w:sz w:val="24"/>
          <w:szCs w:val="24"/>
          <w:highlight w:val="none"/>
          <w:lang w:val="en-US" w:eastAsia="zh-CN"/>
        </w:rPr>
      </w:pPr>
    </w:p>
    <w:p w14:paraId="6959ED2B">
      <w:pPr>
        <w:pStyle w:val="23"/>
        <w:rPr>
          <w:rFonts w:hint="eastAsia" w:ascii="宋体" w:hAnsi="宋体" w:eastAsia="宋体" w:cs="宋体"/>
          <w:b/>
          <w:bCs/>
          <w:color w:val="auto"/>
          <w:spacing w:val="-1"/>
          <w:sz w:val="24"/>
          <w:szCs w:val="24"/>
          <w:highlight w:val="none"/>
          <w:lang w:val="en-US" w:eastAsia="zh-CN"/>
        </w:rPr>
      </w:pPr>
    </w:p>
    <w:p w14:paraId="5794CAC7">
      <w:pPr>
        <w:pStyle w:val="23"/>
        <w:rPr>
          <w:rFonts w:hint="eastAsia" w:ascii="宋体" w:hAnsi="宋体" w:eastAsia="宋体" w:cs="宋体"/>
          <w:b/>
          <w:bCs/>
          <w:color w:val="auto"/>
          <w:spacing w:val="-1"/>
          <w:sz w:val="24"/>
          <w:szCs w:val="24"/>
          <w:highlight w:val="none"/>
          <w:lang w:val="en-US" w:eastAsia="zh-CN"/>
        </w:rPr>
      </w:pPr>
    </w:p>
    <w:p w14:paraId="4801A9BF">
      <w:pPr>
        <w:pStyle w:val="23"/>
        <w:rPr>
          <w:rFonts w:hint="eastAsia" w:ascii="宋体" w:hAnsi="宋体" w:eastAsia="宋体" w:cs="宋体"/>
          <w:b/>
          <w:bCs/>
          <w:color w:val="auto"/>
          <w:spacing w:val="-1"/>
          <w:sz w:val="24"/>
          <w:szCs w:val="24"/>
          <w:highlight w:val="none"/>
          <w:lang w:val="en-US" w:eastAsia="zh-CN"/>
        </w:rPr>
      </w:pPr>
    </w:p>
    <w:p w14:paraId="1F2E8938">
      <w:pPr>
        <w:pStyle w:val="13"/>
        <w:keepNext w:val="0"/>
        <w:keepLines w:val="0"/>
        <w:pageBreakBefore w:val="0"/>
        <w:widowControl w:val="0"/>
        <w:kinsoku/>
        <w:wordWrap/>
        <w:overflowPunct/>
        <w:topLinePunct w:val="0"/>
        <w:autoSpaceDE/>
        <w:autoSpaceDN/>
        <w:bidi w:val="0"/>
        <w:spacing w:line="440" w:lineRule="exact"/>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3.已标价工程量清单(必须提供)</w:t>
      </w:r>
    </w:p>
    <w:p w14:paraId="62EB99DA">
      <w:pPr>
        <w:spacing w:line="380" w:lineRule="exact"/>
        <w:jc w:val="center"/>
        <w:rPr>
          <w:rFonts w:hint="eastAsia" w:ascii="宋体" w:hAnsi="宋体" w:cs="宋体"/>
          <w:b/>
          <w:bCs/>
          <w:color w:val="auto"/>
          <w:sz w:val="28"/>
          <w:szCs w:val="28"/>
          <w:highlight w:val="none"/>
        </w:rPr>
      </w:pPr>
    </w:p>
    <w:p w14:paraId="51FB7DEF">
      <w:pPr>
        <w:spacing w:line="38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已标价工程量清单</w:t>
      </w:r>
    </w:p>
    <w:p w14:paraId="610E16FA">
      <w:pPr>
        <w:spacing w:line="380" w:lineRule="exact"/>
        <w:jc w:val="center"/>
        <w:rPr>
          <w:rFonts w:ascii="宋体" w:hAnsi="宋体" w:cs="宋体"/>
          <w:b/>
          <w:bCs/>
          <w:color w:val="auto"/>
          <w:sz w:val="32"/>
          <w:szCs w:val="32"/>
          <w:highlight w:val="none"/>
        </w:rPr>
      </w:pPr>
    </w:p>
    <w:p w14:paraId="16E72AD1">
      <w:pPr>
        <w:spacing w:line="380" w:lineRule="exact"/>
        <w:jc w:val="center"/>
        <w:rPr>
          <w:rFonts w:ascii="宋体" w:hAnsi="宋体" w:cs="宋体"/>
          <w:b/>
          <w:bCs/>
          <w:color w:val="auto"/>
          <w:sz w:val="32"/>
          <w:szCs w:val="32"/>
          <w:highlight w:val="none"/>
        </w:rPr>
      </w:pPr>
    </w:p>
    <w:p w14:paraId="322B0F7E">
      <w:pPr>
        <w:spacing w:line="440" w:lineRule="exact"/>
        <w:rPr>
          <w:rFonts w:ascii="宋体" w:hAnsi="宋体" w:cs="宋体"/>
          <w:color w:val="auto"/>
          <w:sz w:val="24"/>
          <w:highlight w:val="none"/>
        </w:rPr>
      </w:pPr>
      <w:r>
        <w:rPr>
          <w:rFonts w:hint="eastAsia" w:ascii="宋体" w:hAnsi="宋体" w:cs="宋体"/>
          <w:color w:val="auto"/>
          <w:sz w:val="24"/>
          <w:highlight w:val="none"/>
        </w:rPr>
        <w:t>表格：可按《&lt;建设工程工程量清单计价规范&gt;（GB50500-2013）广西壮族自治区实施细则》工程量清单计价表格提供。</w:t>
      </w:r>
    </w:p>
    <w:p w14:paraId="07D1291D">
      <w:pPr>
        <w:rPr>
          <w:color w:val="auto"/>
          <w:highlight w:val="none"/>
        </w:rPr>
      </w:pPr>
    </w:p>
    <w:p w14:paraId="6FABF5A1">
      <w:pPr>
        <w:pStyle w:val="4"/>
        <w:rPr>
          <w:rFonts w:ascii="黑体" w:hAnsi="黑体" w:cs="黑体"/>
          <w:color w:val="auto"/>
          <w:w w:val="99"/>
          <w:sz w:val="28"/>
          <w:szCs w:val="28"/>
          <w:highlight w:val="none"/>
        </w:rPr>
      </w:pPr>
    </w:p>
    <w:p w14:paraId="4496706E">
      <w:pPr>
        <w:pStyle w:val="4"/>
        <w:rPr>
          <w:rFonts w:ascii="黑体" w:hAnsi="黑体" w:cs="黑体"/>
          <w:color w:val="auto"/>
          <w:w w:val="99"/>
          <w:sz w:val="28"/>
          <w:szCs w:val="28"/>
          <w:highlight w:val="none"/>
        </w:rPr>
      </w:pPr>
    </w:p>
    <w:p w14:paraId="34194881">
      <w:pPr>
        <w:rPr>
          <w:color w:val="auto"/>
          <w:highlight w:val="none"/>
        </w:rPr>
      </w:pPr>
    </w:p>
    <w:p w14:paraId="60DCE40E">
      <w:pPr>
        <w:rPr>
          <w:color w:val="auto"/>
          <w:highlight w:val="none"/>
        </w:rPr>
      </w:pPr>
    </w:p>
    <w:p w14:paraId="5EBA71D0">
      <w:pPr>
        <w:rPr>
          <w:color w:val="auto"/>
          <w:highlight w:val="none"/>
        </w:rPr>
      </w:pPr>
    </w:p>
    <w:p w14:paraId="17A22A2F">
      <w:pPr>
        <w:rPr>
          <w:color w:val="auto"/>
          <w:highlight w:val="none"/>
        </w:rPr>
      </w:pPr>
    </w:p>
    <w:p w14:paraId="152C74D6">
      <w:pPr>
        <w:rPr>
          <w:color w:val="auto"/>
          <w:highlight w:val="none"/>
        </w:rPr>
      </w:pPr>
    </w:p>
    <w:p w14:paraId="63F354EE">
      <w:pPr>
        <w:rPr>
          <w:color w:val="auto"/>
          <w:highlight w:val="none"/>
        </w:rPr>
      </w:pPr>
    </w:p>
    <w:p w14:paraId="5D94A793">
      <w:pPr>
        <w:rPr>
          <w:color w:val="auto"/>
          <w:highlight w:val="none"/>
        </w:rPr>
      </w:pPr>
    </w:p>
    <w:p w14:paraId="6A78D51C">
      <w:pPr>
        <w:rPr>
          <w:color w:val="auto"/>
          <w:highlight w:val="none"/>
        </w:rPr>
      </w:pPr>
    </w:p>
    <w:p w14:paraId="10D75473">
      <w:pPr>
        <w:rPr>
          <w:color w:val="auto"/>
          <w:highlight w:val="none"/>
        </w:rPr>
      </w:pPr>
    </w:p>
    <w:p w14:paraId="3C20556E">
      <w:pPr>
        <w:pStyle w:val="4"/>
        <w:rPr>
          <w:rFonts w:ascii="黑体" w:hAnsi="黑体" w:cs="黑体"/>
          <w:color w:val="auto"/>
          <w:w w:val="99"/>
          <w:sz w:val="28"/>
          <w:szCs w:val="28"/>
          <w:highlight w:val="none"/>
        </w:rPr>
      </w:pPr>
    </w:p>
    <w:p w14:paraId="1B889753">
      <w:pPr>
        <w:pStyle w:val="4"/>
        <w:rPr>
          <w:rFonts w:ascii="黑体" w:hAnsi="黑体" w:cs="黑体"/>
          <w:color w:val="auto"/>
          <w:w w:val="99"/>
          <w:sz w:val="28"/>
          <w:szCs w:val="28"/>
          <w:highlight w:val="none"/>
        </w:rPr>
      </w:pPr>
    </w:p>
    <w:p w14:paraId="305F6F7C">
      <w:pPr>
        <w:pStyle w:val="4"/>
        <w:rPr>
          <w:rFonts w:ascii="黑体" w:hAnsi="黑体" w:cs="黑体"/>
          <w:color w:val="auto"/>
          <w:w w:val="99"/>
          <w:sz w:val="28"/>
          <w:szCs w:val="28"/>
          <w:highlight w:val="none"/>
        </w:rPr>
      </w:pPr>
    </w:p>
    <w:p w14:paraId="64A9BCC8">
      <w:pPr>
        <w:pStyle w:val="4"/>
        <w:rPr>
          <w:rFonts w:ascii="黑体" w:hAnsi="黑体" w:cs="黑体"/>
          <w:color w:val="auto"/>
          <w:w w:val="99"/>
          <w:sz w:val="28"/>
          <w:szCs w:val="28"/>
          <w:highlight w:val="none"/>
        </w:rPr>
      </w:pPr>
    </w:p>
    <w:p w14:paraId="0D1172AA">
      <w:pPr>
        <w:pStyle w:val="4"/>
        <w:rPr>
          <w:rFonts w:ascii="黑体" w:hAnsi="黑体" w:cs="黑体"/>
          <w:color w:val="auto"/>
          <w:w w:val="99"/>
          <w:sz w:val="28"/>
          <w:szCs w:val="28"/>
          <w:highlight w:val="none"/>
        </w:rPr>
      </w:pPr>
    </w:p>
    <w:p w14:paraId="30757024">
      <w:pPr>
        <w:pStyle w:val="4"/>
        <w:rPr>
          <w:rFonts w:ascii="黑体" w:hAnsi="黑体" w:cs="黑体"/>
          <w:color w:val="auto"/>
          <w:w w:val="99"/>
          <w:sz w:val="28"/>
          <w:szCs w:val="28"/>
          <w:highlight w:val="none"/>
        </w:rPr>
      </w:pPr>
    </w:p>
    <w:p w14:paraId="7267630F">
      <w:pPr>
        <w:rPr>
          <w:color w:val="auto"/>
          <w:highlight w:val="none"/>
        </w:rPr>
      </w:pPr>
      <w:bookmarkStart w:id="5" w:name="_Toc32172"/>
      <w:bookmarkStart w:id="6" w:name="_Toc25320398"/>
      <w:bookmarkStart w:id="7" w:name="_Toc25320277"/>
    </w:p>
    <w:p w14:paraId="6199B85C">
      <w:pPr>
        <w:rPr>
          <w:color w:val="auto"/>
          <w:highlight w:val="none"/>
        </w:rPr>
      </w:pPr>
    </w:p>
    <w:p w14:paraId="46080A12">
      <w:pPr>
        <w:rPr>
          <w:color w:val="auto"/>
          <w:highlight w:val="none"/>
        </w:rPr>
      </w:pPr>
    </w:p>
    <w:p w14:paraId="5D80C13D">
      <w:pPr>
        <w:rPr>
          <w:color w:val="auto"/>
          <w:highlight w:val="none"/>
        </w:rPr>
      </w:pPr>
    </w:p>
    <w:bookmarkEnd w:id="5"/>
    <w:bookmarkEnd w:id="6"/>
    <w:bookmarkEnd w:id="7"/>
    <w:p w14:paraId="64257D29">
      <w:pPr>
        <w:pStyle w:val="4"/>
        <w:ind w:left="0" w:leftChars="0" w:firstLine="0"/>
        <w:jc w:val="center"/>
        <w:rPr>
          <w:rFonts w:hint="eastAsia" w:ascii="宋体" w:hAnsi="宋体" w:cs="宋体"/>
          <w:b/>
          <w:color w:val="auto"/>
          <w:highlight w:val="none"/>
        </w:rPr>
      </w:pPr>
      <w:r>
        <w:rPr>
          <w:rFonts w:hint="eastAsia" w:ascii="宋体" w:hAnsi="宋体" w:cs="宋体"/>
          <w:b/>
          <w:color w:val="auto"/>
          <w:highlight w:val="none"/>
        </w:rPr>
        <w:br w:type="page"/>
      </w:r>
    </w:p>
    <w:p w14:paraId="35BECD04">
      <w:pPr>
        <w:pStyle w:val="4"/>
        <w:ind w:left="0" w:leftChars="0" w:firstLine="0"/>
        <w:jc w:val="both"/>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安全防护、文明施工措施方案的承诺书</w:t>
      </w:r>
      <w:r>
        <w:rPr>
          <w:rFonts w:hint="eastAsia" w:ascii="宋体" w:hAnsi="宋体" w:eastAsia="宋体" w:cs="宋体"/>
          <w:b/>
          <w:bCs/>
          <w:color w:val="auto"/>
          <w:sz w:val="28"/>
          <w:szCs w:val="28"/>
          <w:highlight w:val="none"/>
          <w:lang w:val="en-US" w:eastAsia="zh-CN"/>
        </w:rPr>
        <w:t>(必须提供)</w:t>
      </w:r>
    </w:p>
    <w:p w14:paraId="37319B1E">
      <w:pPr>
        <w:pStyle w:val="4"/>
        <w:ind w:left="0" w:leftChars="0" w:firstLine="0"/>
        <w:jc w:val="both"/>
        <w:rPr>
          <w:rFonts w:hint="eastAsia" w:ascii="宋体" w:hAnsi="宋体" w:eastAsia="宋体" w:cs="宋体"/>
          <w:b/>
          <w:color w:val="auto"/>
          <w:sz w:val="28"/>
          <w:szCs w:val="28"/>
          <w:highlight w:val="none"/>
          <w:lang w:val="en-US" w:eastAsia="zh-CN"/>
        </w:rPr>
      </w:pPr>
    </w:p>
    <w:p w14:paraId="0FE3B6AE">
      <w:pPr>
        <w:pStyle w:val="4"/>
        <w:ind w:left="0" w:leftChars="0"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安全防护、文明施工措施方案的承诺书</w:t>
      </w:r>
    </w:p>
    <w:p w14:paraId="2B01FF3D">
      <w:pPr>
        <w:pStyle w:val="4"/>
        <w:ind w:firstLine="0"/>
        <w:jc w:val="both"/>
        <w:rPr>
          <w:rFonts w:ascii="黑体" w:hAnsi="黑体" w:eastAsia="黑体" w:cs="黑体"/>
          <w:b/>
          <w:color w:val="auto"/>
          <w:sz w:val="28"/>
          <w:szCs w:val="28"/>
          <w:highlight w:val="none"/>
        </w:rPr>
      </w:pPr>
    </w:p>
    <w:p w14:paraId="243D7F5A">
      <w:pPr>
        <w:tabs>
          <w:tab w:val="center" w:pos="5452"/>
        </w:tabs>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r>
        <w:rPr>
          <w:rFonts w:hint="eastAsia" w:ascii="宋体" w:hAnsi="宋体" w:cs="宋体"/>
          <w:color w:val="auto"/>
          <w:sz w:val="24"/>
          <w:highlight w:val="none"/>
        </w:rPr>
        <w:t>：</w:t>
      </w:r>
    </w:p>
    <w:p w14:paraId="087142C9">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根据桂建质【2015】16号文件规定，我方在此承诺：</w:t>
      </w:r>
    </w:p>
    <w:p w14:paraId="6AB353CD">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1．我方参与议价的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项目，一旦中标，我方保证在施工过程中，严格执行《广西壮族自治区建设工程安全文明施工费使用管理细则》（桂建质【2015】16号）的有关规定，确保建设工程各项安全防护、文明施工措施落实到位。</w:t>
      </w:r>
    </w:p>
    <w:p w14:paraId="0EA5F542">
      <w:pPr>
        <w:tabs>
          <w:tab w:val="center" w:pos="5452"/>
        </w:tabs>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2．如我方在承包的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项目中出现未按桂建质【2015】16号附件一规定执行的情形，我方愿意按照相关规定接受建设单位及有关主管部门的处罚。</w:t>
      </w:r>
    </w:p>
    <w:p w14:paraId="5D53845F">
      <w:pPr>
        <w:tabs>
          <w:tab w:val="center" w:pos="5452"/>
        </w:tabs>
        <w:spacing w:line="440" w:lineRule="exact"/>
        <w:ind w:firstLine="360" w:firstLineChars="150"/>
        <w:rPr>
          <w:rFonts w:ascii="宋体" w:hAnsi="宋体" w:cs="宋体"/>
          <w:color w:val="auto"/>
          <w:sz w:val="24"/>
          <w:highlight w:val="none"/>
        </w:rPr>
      </w:pPr>
    </w:p>
    <w:p w14:paraId="024B32B4">
      <w:pPr>
        <w:tabs>
          <w:tab w:val="center" w:pos="5452"/>
        </w:tabs>
        <w:spacing w:line="440" w:lineRule="exact"/>
        <w:ind w:firstLine="420" w:firstLineChars="150"/>
        <w:jc w:val="right"/>
        <w:rPr>
          <w:rFonts w:ascii="宋体" w:hAnsi="宋体" w:cs="宋体"/>
          <w:color w:val="auto"/>
          <w:sz w:val="28"/>
          <w:szCs w:val="28"/>
          <w:highlight w:val="none"/>
        </w:rPr>
      </w:pPr>
    </w:p>
    <w:p w14:paraId="3911DB99">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（供应商名称）      （盖章）</w:t>
      </w:r>
    </w:p>
    <w:p w14:paraId="48EAE75F">
      <w:pPr>
        <w:tabs>
          <w:tab w:val="center" w:pos="5452"/>
        </w:tabs>
        <w:spacing w:line="440" w:lineRule="exact"/>
        <w:ind w:firstLine="360" w:firstLineChars="150"/>
        <w:jc w:val="right"/>
        <w:rPr>
          <w:rFonts w:ascii="宋体" w:hAnsi="宋体" w:cs="宋体"/>
          <w:color w:val="auto"/>
          <w:sz w:val="24"/>
          <w:highlight w:val="none"/>
        </w:rPr>
      </w:pPr>
    </w:p>
    <w:p w14:paraId="0FD555A9">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14:paraId="1C9EFF64">
      <w:pPr>
        <w:tabs>
          <w:tab w:val="center" w:pos="5452"/>
        </w:tabs>
        <w:spacing w:line="440" w:lineRule="exact"/>
        <w:ind w:firstLine="360" w:firstLineChars="150"/>
        <w:jc w:val="right"/>
        <w:rPr>
          <w:rFonts w:ascii="宋体" w:hAnsi="宋体" w:cs="宋体"/>
          <w:color w:val="auto"/>
          <w:sz w:val="24"/>
          <w:highlight w:val="none"/>
        </w:rPr>
      </w:pPr>
    </w:p>
    <w:p w14:paraId="027129F0">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EA1FF3D">
      <w:pPr>
        <w:spacing w:line="440" w:lineRule="exact"/>
        <w:rPr>
          <w:rFonts w:ascii="宋体" w:hAnsi="宋体" w:cs="宋体"/>
          <w:color w:val="auto"/>
          <w:sz w:val="28"/>
          <w:szCs w:val="28"/>
          <w:highlight w:val="none"/>
        </w:rPr>
      </w:pPr>
    </w:p>
    <w:p w14:paraId="393C4FD8">
      <w:pPr>
        <w:pStyle w:val="3"/>
        <w:spacing w:line="440" w:lineRule="exact"/>
        <w:jc w:val="center"/>
        <w:rPr>
          <w:rFonts w:ascii="宋体" w:hAnsi="宋体" w:eastAsia="宋体" w:cs="宋体"/>
          <w:b w:val="0"/>
          <w:color w:val="auto"/>
          <w:sz w:val="28"/>
          <w:szCs w:val="28"/>
          <w:highlight w:val="none"/>
        </w:rPr>
      </w:pPr>
      <w:bookmarkStart w:id="8" w:name="_Toc25320399"/>
      <w:bookmarkStart w:id="9" w:name="_Toc25320278"/>
      <w:r>
        <w:rPr>
          <w:rFonts w:ascii="宋体" w:hAnsi="宋体" w:eastAsia="宋体" w:cs="宋体"/>
          <w:b w:val="0"/>
          <w:color w:val="auto"/>
          <w:sz w:val="28"/>
          <w:szCs w:val="28"/>
          <w:highlight w:val="none"/>
        </w:rPr>
        <w:br w:type="page"/>
      </w:r>
      <w:bookmarkEnd w:id="8"/>
      <w:bookmarkEnd w:id="9"/>
    </w:p>
    <w:p w14:paraId="3B342751">
      <w:pPr>
        <w:pStyle w:val="3"/>
        <w:spacing w:line="440" w:lineRule="exact"/>
        <w:jc w:val="both"/>
        <w:rPr>
          <w:rFonts w:ascii="宋体" w:hAnsi="宋体" w:eastAsia="宋体" w:cs="宋体"/>
          <w:b w:val="0"/>
          <w:color w:val="auto"/>
          <w:sz w:val="28"/>
          <w:szCs w:val="28"/>
          <w:highlight w:val="none"/>
        </w:rPr>
      </w:pPr>
      <w:r>
        <w:rPr>
          <w:rFonts w:hint="eastAsia" w:ascii="宋体" w:hAnsi="宋体" w:eastAsia="宋体" w:cs="宋体"/>
          <w:b/>
          <w:bCs/>
          <w:color w:val="auto"/>
          <w:sz w:val="28"/>
          <w:szCs w:val="28"/>
          <w:highlight w:val="none"/>
          <w:lang w:val="en-US" w:eastAsia="zh-CN"/>
        </w:rPr>
        <w:t>5.诚信声明(必须提供)</w:t>
      </w:r>
    </w:p>
    <w:p w14:paraId="51F2F77D">
      <w:pPr>
        <w:pStyle w:val="3"/>
        <w:spacing w:line="440" w:lineRule="exact"/>
        <w:jc w:val="center"/>
        <w:rPr>
          <w:rFonts w:hint="eastAsia" w:ascii="宋体" w:hAnsi="宋体" w:eastAsia="宋体" w:cs="宋体"/>
          <w:bCs/>
          <w:color w:val="auto"/>
          <w:sz w:val="28"/>
          <w:szCs w:val="28"/>
          <w:highlight w:val="none"/>
        </w:rPr>
      </w:pPr>
    </w:p>
    <w:p w14:paraId="558F21A1">
      <w:pPr>
        <w:pStyle w:val="3"/>
        <w:spacing w:line="440" w:lineRule="exact"/>
        <w:jc w:val="center"/>
        <w:rPr>
          <w:rFonts w:ascii="宋体" w:hAnsi="宋体" w:eastAsia="宋体" w:cs="宋体"/>
          <w:bCs/>
          <w:color w:val="auto"/>
          <w:w w:val="99"/>
          <w:kern w:val="0"/>
          <w:sz w:val="28"/>
          <w:szCs w:val="28"/>
          <w:highlight w:val="none"/>
        </w:rPr>
      </w:pPr>
      <w:r>
        <w:rPr>
          <w:rFonts w:hint="eastAsia" w:ascii="宋体" w:hAnsi="宋体" w:eastAsia="宋体" w:cs="宋体"/>
          <w:bCs/>
          <w:color w:val="auto"/>
          <w:sz w:val="28"/>
          <w:szCs w:val="28"/>
          <w:highlight w:val="none"/>
        </w:rPr>
        <w:t>诚信声明</w:t>
      </w:r>
    </w:p>
    <w:p w14:paraId="78121BBE">
      <w:pPr>
        <w:spacing w:line="400" w:lineRule="exact"/>
        <w:rPr>
          <w:rFonts w:ascii="宋体" w:hAnsi="宋体" w:cs="宋体"/>
          <w:b/>
          <w:color w:val="auto"/>
          <w:szCs w:val="21"/>
          <w:highlight w:val="none"/>
        </w:rPr>
      </w:pPr>
    </w:p>
    <w:p w14:paraId="652851F9">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声明企业：                        地址：</w:t>
      </w:r>
    </w:p>
    <w:p w14:paraId="156B51D8">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429CB0C3">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12B592D7">
      <w:pPr>
        <w:widowControl/>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工程项目议价工作，作出郑重声明：</w:t>
      </w:r>
    </w:p>
    <w:p w14:paraId="59C4A3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1.响应材料是真实的，对议价要求是清楚的。作为正式供应商，我公司保证不与其他单位围标、串标，不出让报价资格，不向采购人或评审小组成员行贿。</w:t>
      </w:r>
    </w:p>
    <w:p w14:paraId="483D5F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2.我单位无因安全事故、质量事故、投标违规等有不良记录被有关部门处罚仍在受罚期内；</w:t>
      </w:r>
    </w:p>
    <w:p w14:paraId="0162C7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3.我单位无被有关部门责令停业、企业财产被查封、冻结或者处于破产状态的情形存在；</w:t>
      </w:r>
    </w:p>
    <w:p w14:paraId="648CACC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4.我单位没有参加本项目的设计、监理等工作；</w:t>
      </w:r>
    </w:p>
    <w:p w14:paraId="4E9B64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5.我单位无拖欠民工工资记录且未结案的情形存在。</w:t>
      </w:r>
    </w:p>
    <w:p w14:paraId="4372EAF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若违反上述规定一旦查实，本人和本公司愿意接受公开通报，并愿意承担由此带来的法律后果。</w:t>
      </w:r>
    </w:p>
    <w:p w14:paraId="2DDAFC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6F12C605">
      <w:pPr>
        <w:spacing w:line="400" w:lineRule="exact"/>
        <w:rPr>
          <w:rFonts w:ascii="宋体" w:hAnsi="宋体" w:cs="宋体"/>
          <w:color w:val="auto"/>
          <w:sz w:val="24"/>
          <w:highlight w:val="none"/>
        </w:rPr>
      </w:pPr>
    </w:p>
    <w:p w14:paraId="3BA4E72F">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B2F653E">
      <w:pPr>
        <w:widowControl/>
        <w:spacing w:line="400" w:lineRule="exact"/>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供应商单位：                 （盖章）</w:t>
      </w:r>
    </w:p>
    <w:p w14:paraId="0611EEA3">
      <w:pPr>
        <w:widowControl/>
        <w:spacing w:line="400" w:lineRule="exact"/>
        <w:jc w:val="center"/>
        <w:rPr>
          <w:rFonts w:ascii="宋体" w:hAnsi="宋体" w:cs="宋体"/>
          <w:color w:val="auto"/>
          <w:kern w:val="0"/>
          <w:sz w:val="24"/>
          <w:highlight w:val="none"/>
        </w:rPr>
      </w:pPr>
    </w:p>
    <w:p w14:paraId="46993F0D">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p w14:paraId="2557DA90">
      <w:pPr>
        <w:rPr>
          <w:color w:val="auto"/>
          <w:highlight w:val="none"/>
        </w:rPr>
      </w:pPr>
    </w:p>
    <w:p w14:paraId="252E88C0">
      <w:pPr>
        <w:pStyle w:val="3"/>
        <w:spacing w:line="440" w:lineRule="exact"/>
        <w:jc w:val="center"/>
        <w:rPr>
          <w:rFonts w:hint="eastAsia" w:ascii="黑体" w:hAnsi="黑体" w:cs="黑体"/>
          <w:color w:val="auto"/>
          <w:w w:val="99"/>
          <w:kern w:val="0"/>
          <w:sz w:val="28"/>
          <w:szCs w:val="28"/>
          <w:highlight w:val="none"/>
        </w:rPr>
      </w:pPr>
      <w:r>
        <w:rPr>
          <w:rFonts w:hint="eastAsia" w:ascii="黑体" w:hAnsi="黑体" w:cs="黑体"/>
          <w:color w:val="auto"/>
          <w:w w:val="99"/>
          <w:kern w:val="0"/>
          <w:sz w:val="28"/>
          <w:szCs w:val="28"/>
          <w:highlight w:val="none"/>
        </w:rPr>
        <w:br w:type="page"/>
      </w:r>
    </w:p>
    <w:p w14:paraId="1EC303CE">
      <w:pPr>
        <w:pStyle w:val="3"/>
        <w:spacing w:line="440" w:lineRule="exact"/>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6.施工组织设计方案</w:t>
      </w:r>
    </w:p>
    <w:p w14:paraId="69E79BE2">
      <w:pPr>
        <w:pStyle w:val="3"/>
        <w:spacing w:line="440" w:lineRule="exact"/>
        <w:jc w:val="center"/>
        <w:rPr>
          <w:rFonts w:hint="eastAsia" w:ascii="宋体" w:hAnsi="宋体" w:eastAsia="宋体" w:cs="宋体"/>
          <w:color w:val="auto"/>
          <w:w w:val="99"/>
          <w:kern w:val="0"/>
          <w:sz w:val="28"/>
          <w:szCs w:val="28"/>
          <w:highlight w:val="none"/>
        </w:rPr>
      </w:pPr>
    </w:p>
    <w:p w14:paraId="318E8563">
      <w:pPr>
        <w:pStyle w:val="3"/>
        <w:spacing w:line="440" w:lineRule="exact"/>
        <w:jc w:val="center"/>
        <w:rPr>
          <w:rFonts w:hint="eastAsia" w:ascii="宋体" w:hAnsi="宋体" w:eastAsia="宋体" w:cs="宋体"/>
          <w:color w:val="auto"/>
          <w:w w:val="99"/>
          <w:kern w:val="0"/>
          <w:sz w:val="28"/>
          <w:szCs w:val="28"/>
          <w:highlight w:val="none"/>
          <w:lang w:val="en-US" w:eastAsia="zh-CN"/>
        </w:rPr>
      </w:pPr>
      <w:r>
        <w:rPr>
          <w:rFonts w:hint="eastAsia" w:ascii="宋体" w:hAnsi="宋体" w:eastAsia="宋体" w:cs="宋体"/>
          <w:color w:val="auto"/>
          <w:w w:val="99"/>
          <w:kern w:val="0"/>
          <w:sz w:val="28"/>
          <w:szCs w:val="28"/>
          <w:highlight w:val="none"/>
        </w:rPr>
        <w:t>施工组织设计</w:t>
      </w:r>
      <w:r>
        <w:rPr>
          <w:rFonts w:hint="eastAsia" w:ascii="宋体" w:hAnsi="宋体" w:eastAsia="宋体" w:cs="宋体"/>
          <w:color w:val="auto"/>
          <w:w w:val="99"/>
          <w:kern w:val="0"/>
          <w:sz w:val="28"/>
          <w:szCs w:val="28"/>
          <w:highlight w:val="none"/>
          <w:lang w:val="en-US" w:eastAsia="zh-CN"/>
        </w:rPr>
        <w:t>方案</w:t>
      </w:r>
    </w:p>
    <w:p w14:paraId="433D55BA">
      <w:pPr>
        <w:autoSpaceDE w:val="0"/>
        <w:autoSpaceDN w:val="0"/>
        <w:adjustRightInd w:val="0"/>
        <w:spacing w:line="440" w:lineRule="exact"/>
        <w:rPr>
          <w:rFonts w:ascii="宋体" w:hAnsi="宋体" w:cs="宋体"/>
          <w:color w:val="auto"/>
          <w:kern w:val="0"/>
          <w:sz w:val="24"/>
          <w:highlight w:val="none"/>
        </w:rPr>
      </w:pPr>
    </w:p>
    <w:p w14:paraId="0C68AD92">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编制时应按以下章顺序采用文字并结合图表形式进行说明：</w:t>
      </w:r>
    </w:p>
    <w:p w14:paraId="41D2207B">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（1）总体概述</w:t>
      </w:r>
    </w:p>
    <w:p w14:paraId="248932BC">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主要施工方法、</w:t>
      </w:r>
      <w:r>
        <w:rPr>
          <w:rFonts w:hint="eastAsia" w:ascii="宋体" w:hAnsi="宋体" w:cs="宋体"/>
          <w:color w:val="auto"/>
          <w:kern w:val="0"/>
          <w:sz w:val="24"/>
          <w:highlight w:val="none"/>
        </w:rPr>
        <w:t>关键施工技术、工艺及工程实施的重点、难点和解决方案</w:t>
      </w:r>
    </w:p>
    <w:p w14:paraId="4ECC1F4F">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（3）劳动力、材料和机械设备投入计划及其保证措施</w:t>
      </w:r>
    </w:p>
    <w:p w14:paraId="317BBD6D">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（4）施工进度计划和各阶段进度的保证措施</w:t>
      </w:r>
    </w:p>
    <w:p w14:paraId="73F7F86F">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（5）质量保证与承诺和安全文明施工措施</w:t>
      </w:r>
    </w:p>
    <w:p w14:paraId="50D1165B">
      <w:pPr>
        <w:pStyle w:val="8"/>
        <w:spacing w:line="440" w:lineRule="exact"/>
        <w:rPr>
          <w:rFonts w:ascii="宋体" w:hAnsi="宋体" w:cs="宋体"/>
          <w:color w:val="auto"/>
          <w:sz w:val="24"/>
          <w:highlight w:val="none"/>
        </w:rPr>
      </w:pPr>
    </w:p>
    <w:p w14:paraId="6B2C55ED">
      <w:pPr>
        <w:pStyle w:val="8"/>
        <w:spacing w:line="440" w:lineRule="exact"/>
        <w:rPr>
          <w:rFonts w:ascii="宋体" w:hAnsi="宋体" w:cs="宋体"/>
          <w:color w:val="auto"/>
          <w:sz w:val="24"/>
          <w:highlight w:val="none"/>
        </w:rPr>
      </w:pPr>
    </w:p>
    <w:p w14:paraId="6D531184">
      <w:pPr>
        <w:autoSpaceDE w:val="0"/>
        <w:autoSpaceDN w:val="0"/>
        <w:adjustRightInd w:val="0"/>
        <w:spacing w:line="420" w:lineRule="exact"/>
        <w:rPr>
          <w:rFonts w:ascii="黑体" w:hAnsi="黑体" w:eastAsia="黑体" w:cs="黑体"/>
          <w:color w:val="auto"/>
          <w:sz w:val="24"/>
          <w:highlight w:val="none"/>
        </w:rPr>
      </w:pPr>
    </w:p>
    <w:p w14:paraId="664EC25C">
      <w:pPr>
        <w:autoSpaceDE w:val="0"/>
        <w:autoSpaceDN w:val="0"/>
        <w:adjustRightInd w:val="0"/>
        <w:spacing w:line="420" w:lineRule="exact"/>
        <w:rPr>
          <w:rFonts w:ascii="黑体" w:hAnsi="黑体" w:eastAsia="黑体" w:cs="黑体"/>
          <w:color w:val="auto"/>
          <w:sz w:val="24"/>
          <w:highlight w:val="none"/>
        </w:rPr>
      </w:pPr>
    </w:p>
    <w:p w14:paraId="2C142C82">
      <w:pPr>
        <w:rPr>
          <w:color w:val="auto"/>
          <w:highlight w:val="none"/>
        </w:rPr>
      </w:pPr>
    </w:p>
    <w:p w14:paraId="059664D1">
      <w:pPr>
        <w:rPr>
          <w:rFonts w:ascii="宋体" w:hAnsi="宋体" w:cs="宋体"/>
          <w:b/>
          <w:bCs/>
          <w:color w:val="auto"/>
          <w:spacing w:val="20"/>
          <w:sz w:val="24"/>
          <w:highlight w:val="none"/>
        </w:rPr>
      </w:pPr>
      <w:r>
        <w:rPr>
          <w:rFonts w:hint="eastAsia" w:ascii="黑体" w:hAnsi="黑体" w:eastAsia="黑体" w:cs="黑体"/>
          <w:color w:val="auto"/>
          <w:sz w:val="28"/>
          <w:szCs w:val="28"/>
          <w:highlight w:val="none"/>
        </w:rPr>
        <w:br w:type="page"/>
      </w:r>
      <w:r>
        <w:rPr>
          <w:rFonts w:hint="eastAsia" w:ascii="宋体" w:hAnsi="宋体" w:cs="宋体"/>
          <w:color w:val="auto"/>
          <w:spacing w:val="20"/>
          <w:sz w:val="24"/>
          <w:highlight w:val="none"/>
        </w:rPr>
        <w:t xml:space="preserve">附表1           </w:t>
      </w:r>
      <w:bookmarkStart w:id="10" w:name="_Toc17219"/>
    </w:p>
    <w:p w14:paraId="139CEF91">
      <w:pPr>
        <w:ind w:firstLine="3211" w:firstLineChars="1000"/>
        <w:rPr>
          <w:rFonts w:ascii="宋体" w:hAnsi="宋体" w:cs="宋体"/>
          <w:color w:val="auto"/>
          <w:sz w:val="28"/>
          <w:szCs w:val="28"/>
          <w:highlight w:val="none"/>
        </w:rPr>
      </w:pPr>
      <w:r>
        <w:rPr>
          <w:rFonts w:hint="eastAsia" w:ascii="宋体" w:hAnsi="宋体" w:cs="宋体"/>
          <w:b/>
          <w:bCs/>
          <w:color w:val="auto"/>
          <w:spacing w:val="20"/>
          <w:sz w:val="28"/>
          <w:szCs w:val="28"/>
          <w:highlight w:val="none"/>
        </w:rPr>
        <w:t>项目管理机构组成表</w:t>
      </w:r>
      <w:bookmarkEnd w:id="10"/>
    </w:p>
    <w:p w14:paraId="6084A8F3">
      <w:pPr>
        <w:pStyle w:val="17"/>
        <w:ind w:firstLine="0"/>
        <w:rPr>
          <w:rFonts w:cs="宋体"/>
          <w:color w:val="auto"/>
          <w:sz w:val="28"/>
          <w:szCs w:val="28"/>
          <w:highlight w:val="none"/>
        </w:rPr>
      </w:pPr>
    </w:p>
    <w:p w14:paraId="1F12668D">
      <w:pPr>
        <w:ind w:left="9240" w:hanging="9240" w:hangingChars="3300"/>
        <w:jc w:val="left"/>
        <w:rPr>
          <w:rFonts w:ascii="宋体" w:hAnsi="宋体" w:cs="宋体"/>
          <w:b/>
          <w:color w:val="auto"/>
          <w:sz w:val="24"/>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 xml:space="preserve">工程        </w:t>
      </w:r>
      <w:r>
        <w:rPr>
          <w:rFonts w:hint="eastAsia" w:ascii="宋体" w:hAnsi="宋体" w:cs="宋体"/>
          <w:color w:val="auto"/>
          <w:spacing w:val="20"/>
          <w:kern w:val="0"/>
          <w:sz w:val="24"/>
          <w:highlight w:val="none"/>
        </w:rPr>
        <w:t>备案标号</w:t>
      </w:r>
      <w:r>
        <w:rPr>
          <w:rFonts w:hint="eastAsia" w:ascii="宋体" w:hAnsi="宋体" w:cs="宋体"/>
          <w:color w:val="auto"/>
          <w:spacing w:val="20"/>
          <w:kern w:val="0"/>
          <w:sz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2B0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6EA4C211">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名  称</w:t>
            </w:r>
          </w:p>
        </w:tc>
        <w:tc>
          <w:tcPr>
            <w:tcW w:w="1005" w:type="dxa"/>
            <w:vAlign w:val="center"/>
          </w:tcPr>
          <w:p w14:paraId="0A65637C">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姓 名</w:t>
            </w:r>
          </w:p>
        </w:tc>
        <w:tc>
          <w:tcPr>
            <w:tcW w:w="1650" w:type="dxa"/>
            <w:vAlign w:val="center"/>
          </w:tcPr>
          <w:p w14:paraId="05E10E91">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职务或职称</w:t>
            </w:r>
          </w:p>
        </w:tc>
        <w:tc>
          <w:tcPr>
            <w:tcW w:w="3750" w:type="dxa"/>
            <w:vAlign w:val="center"/>
          </w:tcPr>
          <w:p w14:paraId="44CD0C20">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主要资历、经验及承担过的项目</w:t>
            </w:r>
          </w:p>
        </w:tc>
      </w:tr>
      <w:tr w14:paraId="2936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C9C4028">
            <w:pPr>
              <w:spacing w:line="420" w:lineRule="exact"/>
              <w:rPr>
                <w:rFonts w:ascii="宋体" w:hAnsi="宋体" w:cs="宋体"/>
                <w:color w:val="auto"/>
                <w:sz w:val="24"/>
                <w:highlight w:val="none"/>
              </w:rPr>
            </w:pPr>
            <w:r>
              <w:rPr>
                <w:rFonts w:hint="eastAsia" w:ascii="宋体" w:hAnsi="宋体" w:cs="宋体"/>
                <w:color w:val="auto"/>
                <w:sz w:val="24"/>
                <w:highlight w:val="none"/>
              </w:rPr>
              <w:t>一、总部</w:t>
            </w:r>
          </w:p>
        </w:tc>
        <w:tc>
          <w:tcPr>
            <w:tcW w:w="1005" w:type="dxa"/>
            <w:vAlign w:val="center"/>
          </w:tcPr>
          <w:p w14:paraId="1FD3DB1C">
            <w:pPr>
              <w:spacing w:line="420" w:lineRule="exact"/>
              <w:jc w:val="center"/>
              <w:rPr>
                <w:rFonts w:ascii="宋体" w:hAnsi="宋体" w:cs="宋体"/>
                <w:color w:val="auto"/>
                <w:sz w:val="24"/>
                <w:highlight w:val="none"/>
              </w:rPr>
            </w:pPr>
          </w:p>
        </w:tc>
        <w:tc>
          <w:tcPr>
            <w:tcW w:w="1650" w:type="dxa"/>
            <w:vAlign w:val="center"/>
          </w:tcPr>
          <w:p w14:paraId="314BE46F">
            <w:pPr>
              <w:spacing w:line="420" w:lineRule="exact"/>
              <w:jc w:val="center"/>
              <w:rPr>
                <w:rFonts w:ascii="宋体" w:hAnsi="宋体" w:cs="宋体"/>
                <w:color w:val="auto"/>
                <w:sz w:val="24"/>
                <w:highlight w:val="none"/>
              </w:rPr>
            </w:pPr>
          </w:p>
        </w:tc>
        <w:tc>
          <w:tcPr>
            <w:tcW w:w="3750" w:type="dxa"/>
            <w:vAlign w:val="center"/>
          </w:tcPr>
          <w:p w14:paraId="65A9B37A">
            <w:pPr>
              <w:spacing w:line="420" w:lineRule="exact"/>
              <w:jc w:val="center"/>
              <w:rPr>
                <w:rFonts w:ascii="宋体" w:hAnsi="宋体" w:cs="宋体"/>
                <w:color w:val="auto"/>
                <w:sz w:val="24"/>
                <w:highlight w:val="none"/>
              </w:rPr>
            </w:pPr>
          </w:p>
        </w:tc>
      </w:tr>
      <w:tr w14:paraId="643D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80CCF36">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项目主管</w:t>
            </w:r>
          </w:p>
        </w:tc>
        <w:tc>
          <w:tcPr>
            <w:tcW w:w="1005" w:type="dxa"/>
            <w:vAlign w:val="center"/>
          </w:tcPr>
          <w:p w14:paraId="318AE4C6">
            <w:pPr>
              <w:spacing w:line="420" w:lineRule="exact"/>
              <w:jc w:val="center"/>
              <w:rPr>
                <w:rFonts w:ascii="宋体" w:hAnsi="宋体" w:cs="宋体"/>
                <w:color w:val="auto"/>
                <w:sz w:val="24"/>
                <w:highlight w:val="none"/>
              </w:rPr>
            </w:pPr>
          </w:p>
        </w:tc>
        <w:tc>
          <w:tcPr>
            <w:tcW w:w="1650" w:type="dxa"/>
            <w:vAlign w:val="center"/>
          </w:tcPr>
          <w:p w14:paraId="6C8DB023">
            <w:pPr>
              <w:spacing w:line="420" w:lineRule="exact"/>
              <w:jc w:val="center"/>
              <w:rPr>
                <w:rFonts w:ascii="宋体" w:hAnsi="宋体" w:cs="宋体"/>
                <w:color w:val="auto"/>
                <w:sz w:val="24"/>
                <w:highlight w:val="none"/>
              </w:rPr>
            </w:pPr>
          </w:p>
        </w:tc>
        <w:tc>
          <w:tcPr>
            <w:tcW w:w="3750" w:type="dxa"/>
            <w:vAlign w:val="center"/>
          </w:tcPr>
          <w:p w14:paraId="259B8663">
            <w:pPr>
              <w:spacing w:line="420" w:lineRule="exact"/>
              <w:jc w:val="center"/>
              <w:rPr>
                <w:rFonts w:ascii="宋体" w:hAnsi="宋体" w:cs="宋体"/>
                <w:color w:val="auto"/>
                <w:sz w:val="24"/>
                <w:highlight w:val="none"/>
              </w:rPr>
            </w:pPr>
          </w:p>
        </w:tc>
      </w:tr>
      <w:tr w14:paraId="1540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A386DE4">
            <w:pPr>
              <w:spacing w:line="42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其他人员</w:t>
            </w:r>
          </w:p>
        </w:tc>
        <w:tc>
          <w:tcPr>
            <w:tcW w:w="1005" w:type="dxa"/>
            <w:vAlign w:val="center"/>
          </w:tcPr>
          <w:p w14:paraId="6F9B2A46">
            <w:pPr>
              <w:spacing w:line="420" w:lineRule="exact"/>
              <w:jc w:val="center"/>
              <w:rPr>
                <w:rFonts w:ascii="宋体" w:hAnsi="宋体" w:cs="宋体"/>
                <w:color w:val="auto"/>
                <w:sz w:val="24"/>
                <w:highlight w:val="none"/>
              </w:rPr>
            </w:pPr>
          </w:p>
        </w:tc>
        <w:tc>
          <w:tcPr>
            <w:tcW w:w="1650" w:type="dxa"/>
            <w:vAlign w:val="center"/>
          </w:tcPr>
          <w:p w14:paraId="773F9443">
            <w:pPr>
              <w:spacing w:line="420" w:lineRule="exact"/>
              <w:jc w:val="center"/>
              <w:rPr>
                <w:rFonts w:ascii="宋体" w:hAnsi="宋体" w:cs="宋体"/>
                <w:color w:val="auto"/>
                <w:sz w:val="24"/>
                <w:highlight w:val="none"/>
              </w:rPr>
            </w:pPr>
          </w:p>
        </w:tc>
        <w:tc>
          <w:tcPr>
            <w:tcW w:w="3750" w:type="dxa"/>
            <w:vAlign w:val="center"/>
          </w:tcPr>
          <w:p w14:paraId="64FEDDCC">
            <w:pPr>
              <w:spacing w:line="420" w:lineRule="exact"/>
              <w:ind w:firstLine="480" w:firstLineChars="200"/>
              <w:jc w:val="center"/>
              <w:rPr>
                <w:rFonts w:ascii="宋体" w:hAnsi="宋体" w:cs="宋体"/>
                <w:color w:val="auto"/>
                <w:sz w:val="24"/>
                <w:highlight w:val="none"/>
              </w:rPr>
            </w:pPr>
          </w:p>
        </w:tc>
      </w:tr>
      <w:tr w14:paraId="61B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788F69A">
            <w:pPr>
              <w:spacing w:line="420" w:lineRule="exact"/>
              <w:rPr>
                <w:rFonts w:ascii="宋体" w:hAnsi="宋体" w:cs="宋体"/>
                <w:color w:val="auto"/>
                <w:sz w:val="24"/>
                <w:highlight w:val="none"/>
              </w:rPr>
            </w:pPr>
            <w:r>
              <w:rPr>
                <w:rFonts w:hint="eastAsia" w:ascii="宋体" w:hAnsi="宋体" w:cs="宋体"/>
                <w:color w:val="auto"/>
                <w:sz w:val="24"/>
                <w:highlight w:val="none"/>
              </w:rPr>
              <w:t>二、现场</w:t>
            </w:r>
          </w:p>
        </w:tc>
        <w:tc>
          <w:tcPr>
            <w:tcW w:w="1005" w:type="dxa"/>
            <w:vAlign w:val="center"/>
          </w:tcPr>
          <w:p w14:paraId="035F3CC2">
            <w:pPr>
              <w:spacing w:line="420" w:lineRule="exact"/>
              <w:jc w:val="center"/>
              <w:rPr>
                <w:rFonts w:ascii="宋体" w:hAnsi="宋体" w:cs="宋体"/>
                <w:color w:val="auto"/>
                <w:sz w:val="24"/>
                <w:highlight w:val="none"/>
              </w:rPr>
            </w:pPr>
          </w:p>
        </w:tc>
        <w:tc>
          <w:tcPr>
            <w:tcW w:w="1650" w:type="dxa"/>
            <w:vAlign w:val="center"/>
          </w:tcPr>
          <w:p w14:paraId="27A32251">
            <w:pPr>
              <w:spacing w:line="420" w:lineRule="exact"/>
              <w:jc w:val="center"/>
              <w:rPr>
                <w:rFonts w:ascii="宋体" w:hAnsi="宋体" w:cs="宋体"/>
                <w:color w:val="auto"/>
                <w:sz w:val="24"/>
                <w:highlight w:val="none"/>
              </w:rPr>
            </w:pPr>
          </w:p>
        </w:tc>
        <w:tc>
          <w:tcPr>
            <w:tcW w:w="3750" w:type="dxa"/>
            <w:vAlign w:val="center"/>
          </w:tcPr>
          <w:p w14:paraId="55003CFB">
            <w:pPr>
              <w:spacing w:line="420" w:lineRule="exact"/>
              <w:jc w:val="center"/>
              <w:rPr>
                <w:rFonts w:ascii="宋体" w:hAnsi="宋体" w:cs="宋体"/>
                <w:color w:val="auto"/>
                <w:sz w:val="24"/>
                <w:highlight w:val="none"/>
              </w:rPr>
            </w:pPr>
          </w:p>
        </w:tc>
      </w:tr>
      <w:tr w14:paraId="66B8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3C58D4C0">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项目经理（建造师）</w:t>
            </w:r>
          </w:p>
        </w:tc>
        <w:tc>
          <w:tcPr>
            <w:tcW w:w="1005" w:type="dxa"/>
            <w:vAlign w:val="center"/>
          </w:tcPr>
          <w:p w14:paraId="3757DCB4">
            <w:pPr>
              <w:spacing w:line="420" w:lineRule="exact"/>
              <w:jc w:val="center"/>
              <w:rPr>
                <w:rFonts w:ascii="宋体" w:hAnsi="宋体" w:cs="宋体"/>
                <w:color w:val="auto"/>
                <w:sz w:val="24"/>
                <w:highlight w:val="none"/>
              </w:rPr>
            </w:pPr>
          </w:p>
        </w:tc>
        <w:tc>
          <w:tcPr>
            <w:tcW w:w="1650" w:type="dxa"/>
            <w:vAlign w:val="center"/>
          </w:tcPr>
          <w:p w14:paraId="27350E99">
            <w:pPr>
              <w:spacing w:line="420" w:lineRule="exact"/>
              <w:jc w:val="center"/>
              <w:rPr>
                <w:rFonts w:ascii="宋体" w:hAnsi="宋体" w:cs="宋体"/>
                <w:color w:val="auto"/>
                <w:sz w:val="24"/>
                <w:highlight w:val="none"/>
              </w:rPr>
            </w:pPr>
          </w:p>
        </w:tc>
        <w:tc>
          <w:tcPr>
            <w:tcW w:w="3750" w:type="dxa"/>
            <w:vAlign w:val="center"/>
          </w:tcPr>
          <w:p w14:paraId="2FD9841C">
            <w:pPr>
              <w:spacing w:line="420" w:lineRule="exact"/>
              <w:jc w:val="center"/>
              <w:rPr>
                <w:rFonts w:ascii="宋体" w:hAnsi="宋体" w:cs="宋体"/>
                <w:color w:val="auto"/>
                <w:sz w:val="24"/>
                <w:highlight w:val="none"/>
              </w:rPr>
            </w:pPr>
          </w:p>
        </w:tc>
      </w:tr>
      <w:tr w14:paraId="3E6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3E960DA1">
            <w:pPr>
              <w:spacing w:line="420" w:lineRule="exact"/>
              <w:rPr>
                <w:rFonts w:ascii="宋体" w:hAnsi="宋体" w:cs="宋体"/>
                <w:color w:val="auto"/>
                <w:spacing w:val="-2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技术负责人</w:t>
            </w:r>
          </w:p>
        </w:tc>
        <w:tc>
          <w:tcPr>
            <w:tcW w:w="1005" w:type="dxa"/>
            <w:vAlign w:val="center"/>
          </w:tcPr>
          <w:p w14:paraId="51106FD8">
            <w:pPr>
              <w:spacing w:line="420" w:lineRule="exact"/>
              <w:jc w:val="center"/>
              <w:rPr>
                <w:rFonts w:ascii="宋体" w:hAnsi="宋体" w:cs="宋体"/>
                <w:color w:val="auto"/>
                <w:sz w:val="24"/>
                <w:highlight w:val="none"/>
              </w:rPr>
            </w:pPr>
          </w:p>
        </w:tc>
        <w:tc>
          <w:tcPr>
            <w:tcW w:w="1650" w:type="dxa"/>
            <w:vAlign w:val="center"/>
          </w:tcPr>
          <w:p w14:paraId="65C685F4">
            <w:pPr>
              <w:spacing w:line="420" w:lineRule="exact"/>
              <w:jc w:val="center"/>
              <w:rPr>
                <w:rFonts w:ascii="宋体" w:hAnsi="宋体" w:cs="宋体"/>
                <w:color w:val="auto"/>
                <w:sz w:val="24"/>
                <w:highlight w:val="none"/>
              </w:rPr>
            </w:pPr>
          </w:p>
        </w:tc>
        <w:tc>
          <w:tcPr>
            <w:tcW w:w="3750" w:type="dxa"/>
            <w:vAlign w:val="center"/>
          </w:tcPr>
          <w:p w14:paraId="52D26083">
            <w:pPr>
              <w:spacing w:line="420" w:lineRule="exact"/>
              <w:jc w:val="center"/>
              <w:rPr>
                <w:rFonts w:ascii="宋体" w:hAnsi="宋体" w:cs="宋体"/>
                <w:color w:val="auto"/>
                <w:sz w:val="24"/>
                <w:highlight w:val="none"/>
              </w:rPr>
            </w:pPr>
          </w:p>
        </w:tc>
      </w:tr>
      <w:tr w14:paraId="11E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AFE2547">
            <w:pPr>
              <w:spacing w:line="42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施工员</w:t>
            </w:r>
          </w:p>
        </w:tc>
        <w:tc>
          <w:tcPr>
            <w:tcW w:w="1005" w:type="dxa"/>
            <w:vAlign w:val="center"/>
          </w:tcPr>
          <w:p w14:paraId="1BA07041">
            <w:pPr>
              <w:spacing w:line="420" w:lineRule="exact"/>
              <w:jc w:val="center"/>
              <w:rPr>
                <w:rFonts w:ascii="宋体" w:hAnsi="宋体" w:cs="宋体"/>
                <w:color w:val="auto"/>
                <w:sz w:val="24"/>
                <w:highlight w:val="none"/>
              </w:rPr>
            </w:pPr>
          </w:p>
        </w:tc>
        <w:tc>
          <w:tcPr>
            <w:tcW w:w="1650" w:type="dxa"/>
            <w:vAlign w:val="center"/>
          </w:tcPr>
          <w:p w14:paraId="2359CCC3">
            <w:pPr>
              <w:spacing w:line="420" w:lineRule="exact"/>
              <w:jc w:val="center"/>
              <w:rPr>
                <w:rFonts w:ascii="宋体" w:hAnsi="宋体" w:cs="宋体"/>
                <w:color w:val="auto"/>
                <w:sz w:val="24"/>
                <w:highlight w:val="none"/>
              </w:rPr>
            </w:pPr>
          </w:p>
        </w:tc>
        <w:tc>
          <w:tcPr>
            <w:tcW w:w="3750" w:type="dxa"/>
            <w:vAlign w:val="center"/>
          </w:tcPr>
          <w:p w14:paraId="2EE1F4E2">
            <w:pPr>
              <w:spacing w:line="420" w:lineRule="exact"/>
              <w:jc w:val="center"/>
              <w:rPr>
                <w:rFonts w:ascii="宋体" w:hAnsi="宋体" w:cs="宋体"/>
                <w:color w:val="auto"/>
                <w:sz w:val="24"/>
                <w:highlight w:val="none"/>
              </w:rPr>
            </w:pPr>
          </w:p>
        </w:tc>
      </w:tr>
      <w:tr w14:paraId="6BC1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C67452E">
            <w:pPr>
              <w:spacing w:line="42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安全员</w:t>
            </w:r>
          </w:p>
        </w:tc>
        <w:tc>
          <w:tcPr>
            <w:tcW w:w="1005" w:type="dxa"/>
            <w:vAlign w:val="center"/>
          </w:tcPr>
          <w:p w14:paraId="3BB21C81">
            <w:pPr>
              <w:spacing w:line="420" w:lineRule="exact"/>
              <w:jc w:val="center"/>
              <w:rPr>
                <w:rFonts w:ascii="宋体" w:hAnsi="宋体" w:cs="宋体"/>
                <w:color w:val="auto"/>
                <w:sz w:val="24"/>
                <w:highlight w:val="none"/>
              </w:rPr>
            </w:pPr>
          </w:p>
        </w:tc>
        <w:tc>
          <w:tcPr>
            <w:tcW w:w="1650" w:type="dxa"/>
            <w:vAlign w:val="center"/>
          </w:tcPr>
          <w:p w14:paraId="2DB861A0">
            <w:pPr>
              <w:spacing w:line="420" w:lineRule="exact"/>
              <w:jc w:val="center"/>
              <w:rPr>
                <w:rFonts w:ascii="宋体" w:hAnsi="宋体" w:cs="宋体"/>
                <w:color w:val="auto"/>
                <w:sz w:val="24"/>
                <w:highlight w:val="none"/>
              </w:rPr>
            </w:pPr>
          </w:p>
        </w:tc>
        <w:tc>
          <w:tcPr>
            <w:tcW w:w="3750" w:type="dxa"/>
            <w:vAlign w:val="center"/>
          </w:tcPr>
          <w:p w14:paraId="0F979E50">
            <w:pPr>
              <w:spacing w:line="420" w:lineRule="exact"/>
              <w:jc w:val="center"/>
              <w:rPr>
                <w:rFonts w:ascii="宋体" w:hAnsi="宋体" w:cs="宋体"/>
                <w:color w:val="auto"/>
                <w:sz w:val="24"/>
                <w:highlight w:val="none"/>
              </w:rPr>
            </w:pPr>
          </w:p>
        </w:tc>
      </w:tr>
      <w:tr w14:paraId="2423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608F18D">
            <w:pPr>
              <w:spacing w:line="420" w:lineRule="exac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质量员</w:t>
            </w:r>
          </w:p>
        </w:tc>
        <w:tc>
          <w:tcPr>
            <w:tcW w:w="1005" w:type="dxa"/>
            <w:vAlign w:val="center"/>
          </w:tcPr>
          <w:p w14:paraId="205A8A89">
            <w:pPr>
              <w:spacing w:line="420" w:lineRule="exact"/>
              <w:jc w:val="center"/>
              <w:rPr>
                <w:rFonts w:ascii="宋体" w:hAnsi="宋体" w:cs="宋体"/>
                <w:color w:val="auto"/>
                <w:sz w:val="24"/>
                <w:highlight w:val="none"/>
              </w:rPr>
            </w:pPr>
          </w:p>
        </w:tc>
        <w:tc>
          <w:tcPr>
            <w:tcW w:w="1650" w:type="dxa"/>
            <w:vAlign w:val="center"/>
          </w:tcPr>
          <w:p w14:paraId="78DB3654">
            <w:pPr>
              <w:spacing w:line="420" w:lineRule="exact"/>
              <w:jc w:val="center"/>
              <w:rPr>
                <w:rFonts w:ascii="宋体" w:hAnsi="宋体" w:cs="宋体"/>
                <w:color w:val="auto"/>
                <w:sz w:val="24"/>
                <w:highlight w:val="none"/>
              </w:rPr>
            </w:pPr>
          </w:p>
        </w:tc>
        <w:tc>
          <w:tcPr>
            <w:tcW w:w="3750" w:type="dxa"/>
            <w:vAlign w:val="center"/>
          </w:tcPr>
          <w:p w14:paraId="1346591A">
            <w:pPr>
              <w:spacing w:line="420" w:lineRule="exact"/>
              <w:jc w:val="center"/>
              <w:rPr>
                <w:rFonts w:ascii="宋体" w:hAnsi="宋体" w:cs="宋体"/>
                <w:color w:val="auto"/>
                <w:sz w:val="24"/>
                <w:highlight w:val="none"/>
              </w:rPr>
            </w:pPr>
          </w:p>
        </w:tc>
      </w:tr>
      <w:tr w14:paraId="486C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4E0F59E4">
            <w:pPr>
              <w:spacing w:line="420" w:lineRule="exac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专职电工</w:t>
            </w:r>
          </w:p>
        </w:tc>
        <w:tc>
          <w:tcPr>
            <w:tcW w:w="1005" w:type="dxa"/>
            <w:vAlign w:val="center"/>
          </w:tcPr>
          <w:p w14:paraId="6FD0AD52">
            <w:pPr>
              <w:spacing w:line="420" w:lineRule="exact"/>
              <w:jc w:val="center"/>
              <w:rPr>
                <w:rFonts w:ascii="宋体" w:hAnsi="宋体" w:cs="宋体"/>
                <w:color w:val="auto"/>
                <w:sz w:val="24"/>
                <w:highlight w:val="none"/>
              </w:rPr>
            </w:pPr>
          </w:p>
        </w:tc>
        <w:tc>
          <w:tcPr>
            <w:tcW w:w="1650" w:type="dxa"/>
            <w:vAlign w:val="center"/>
          </w:tcPr>
          <w:p w14:paraId="7E64FE77">
            <w:pPr>
              <w:spacing w:line="420" w:lineRule="exact"/>
              <w:jc w:val="center"/>
              <w:rPr>
                <w:rFonts w:ascii="宋体" w:hAnsi="宋体" w:cs="宋体"/>
                <w:color w:val="auto"/>
                <w:sz w:val="24"/>
                <w:highlight w:val="none"/>
              </w:rPr>
            </w:pPr>
          </w:p>
        </w:tc>
        <w:tc>
          <w:tcPr>
            <w:tcW w:w="3750" w:type="dxa"/>
            <w:vAlign w:val="center"/>
          </w:tcPr>
          <w:p w14:paraId="519679BD">
            <w:pPr>
              <w:spacing w:line="420" w:lineRule="exact"/>
              <w:jc w:val="center"/>
              <w:rPr>
                <w:rFonts w:ascii="宋体" w:hAnsi="宋体" w:cs="宋体"/>
                <w:color w:val="auto"/>
                <w:sz w:val="24"/>
                <w:highlight w:val="none"/>
              </w:rPr>
            </w:pPr>
          </w:p>
        </w:tc>
      </w:tr>
    </w:tbl>
    <w:p w14:paraId="70282340">
      <w:pPr>
        <w:ind w:firstLine="602" w:firstLineChars="250"/>
        <w:rPr>
          <w:rFonts w:ascii="宋体" w:hAnsi="宋体" w:cs="宋体"/>
          <w:b/>
          <w:color w:val="auto"/>
          <w:sz w:val="24"/>
          <w:highlight w:val="none"/>
        </w:rPr>
      </w:pPr>
    </w:p>
    <w:p w14:paraId="76ADFE77">
      <w:pPr>
        <w:ind w:firstLine="410" w:firstLineChars="170"/>
        <w:rPr>
          <w:rFonts w:ascii="宋体" w:hAnsi="宋体" w:cs="宋体"/>
          <w:b/>
          <w:color w:val="auto"/>
          <w:sz w:val="24"/>
          <w:highlight w:val="none"/>
        </w:rPr>
      </w:pPr>
      <w:r>
        <w:rPr>
          <w:rFonts w:hint="eastAsia" w:ascii="宋体" w:hAnsi="宋体" w:cs="宋体"/>
          <w:b/>
          <w:color w:val="auto"/>
          <w:sz w:val="24"/>
          <w:highlight w:val="none"/>
        </w:rPr>
        <w:t>注：附拟投入本项目管理机构人员执业资格证或上岗证书、截标时间前1个月的社保缴费证明复印件</w:t>
      </w:r>
    </w:p>
    <w:p w14:paraId="1A07EC91">
      <w:pPr>
        <w:pStyle w:val="16"/>
        <w:rPr>
          <w:rFonts w:ascii="宋体" w:hAnsi="宋体" w:cs="宋体"/>
          <w:color w:val="auto"/>
          <w:sz w:val="24"/>
          <w:szCs w:val="24"/>
          <w:highlight w:val="none"/>
        </w:rPr>
      </w:pPr>
    </w:p>
    <w:p w14:paraId="0B667A9F">
      <w:pPr>
        <w:autoSpaceDE w:val="0"/>
        <w:autoSpaceDN w:val="0"/>
        <w:adjustRightInd w:val="0"/>
        <w:spacing w:line="420" w:lineRule="exact"/>
        <w:rPr>
          <w:rFonts w:ascii="宋体" w:hAnsi="宋体" w:cs="宋体"/>
          <w:color w:val="auto"/>
          <w:sz w:val="24"/>
          <w:highlight w:val="none"/>
        </w:rPr>
      </w:pPr>
    </w:p>
    <w:p w14:paraId="26A17416">
      <w:pPr>
        <w:spacing w:line="300" w:lineRule="auto"/>
        <w:jc w:val="left"/>
        <w:rPr>
          <w:rFonts w:ascii="黑体" w:hAnsi="黑体" w:eastAsia="黑体" w:cs="黑体"/>
          <w:b/>
          <w:bCs/>
          <w:color w:val="auto"/>
          <w:sz w:val="28"/>
          <w:szCs w:val="28"/>
          <w:highlight w:val="none"/>
        </w:rPr>
      </w:pPr>
    </w:p>
    <w:p w14:paraId="3C1A212C">
      <w:pPr>
        <w:spacing w:line="300" w:lineRule="auto"/>
        <w:jc w:val="left"/>
        <w:rPr>
          <w:rFonts w:ascii="黑体" w:hAnsi="黑体" w:eastAsia="黑体" w:cs="黑体"/>
          <w:b/>
          <w:bCs/>
          <w:color w:val="auto"/>
          <w:sz w:val="28"/>
          <w:szCs w:val="28"/>
          <w:highlight w:val="none"/>
        </w:rPr>
      </w:pPr>
    </w:p>
    <w:p w14:paraId="12A5577C">
      <w:pPr>
        <w:spacing w:line="300" w:lineRule="auto"/>
        <w:jc w:val="left"/>
        <w:rPr>
          <w:rFonts w:ascii="黑体" w:hAnsi="黑体" w:eastAsia="黑体" w:cs="黑体"/>
          <w:b/>
          <w:bCs/>
          <w:color w:val="auto"/>
          <w:sz w:val="28"/>
          <w:szCs w:val="28"/>
          <w:highlight w:val="none"/>
        </w:rPr>
      </w:pPr>
    </w:p>
    <w:p w14:paraId="225FDDE0">
      <w:pPr>
        <w:spacing w:line="300" w:lineRule="auto"/>
        <w:jc w:val="left"/>
        <w:rPr>
          <w:rFonts w:ascii="黑体" w:hAnsi="黑体" w:eastAsia="黑体" w:cs="黑体"/>
          <w:b/>
          <w:bCs/>
          <w:color w:val="auto"/>
          <w:sz w:val="28"/>
          <w:szCs w:val="28"/>
          <w:highlight w:val="none"/>
        </w:rPr>
      </w:pPr>
    </w:p>
    <w:p w14:paraId="4612F185">
      <w:pPr>
        <w:spacing w:line="300" w:lineRule="auto"/>
        <w:jc w:val="left"/>
        <w:rPr>
          <w:rFonts w:ascii="黑体" w:hAnsi="黑体" w:eastAsia="黑体" w:cs="黑体"/>
          <w:color w:val="auto"/>
          <w:sz w:val="28"/>
          <w:szCs w:val="28"/>
          <w:highlight w:val="none"/>
        </w:rPr>
      </w:pPr>
    </w:p>
    <w:p w14:paraId="7B2BCF34">
      <w:pPr>
        <w:spacing w:line="300" w:lineRule="auto"/>
        <w:jc w:val="left"/>
        <w:rPr>
          <w:rFonts w:ascii="黑体" w:hAnsi="黑体" w:eastAsia="黑体" w:cs="黑体"/>
          <w:color w:val="auto"/>
          <w:sz w:val="28"/>
          <w:szCs w:val="28"/>
          <w:highlight w:val="none"/>
        </w:rPr>
      </w:pPr>
    </w:p>
    <w:p w14:paraId="77DCDF94">
      <w:pPr>
        <w:spacing w:line="300" w:lineRule="auto"/>
        <w:jc w:val="left"/>
        <w:rPr>
          <w:rFonts w:ascii="黑体" w:hAnsi="黑体" w:eastAsia="黑体" w:cs="黑体"/>
          <w:color w:val="auto"/>
          <w:sz w:val="28"/>
          <w:szCs w:val="28"/>
          <w:highlight w:val="none"/>
        </w:rPr>
      </w:pPr>
    </w:p>
    <w:p w14:paraId="5C75F4D1">
      <w:pPr>
        <w:pStyle w:val="11"/>
        <w:ind w:left="1260"/>
        <w:rPr>
          <w:color w:val="auto"/>
          <w:highlight w:val="none"/>
        </w:rPr>
      </w:pPr>
    </w:p>
    <w:p w14:paraId="5BE46785">
      <w:pPr>
        <w:spacing w:line="300" w:lineRule="auto"/>
        <w:jc w:val="left"/>
        <w:rPr>
          <w:rFonts w:ascii="黑体" w:hAnsi="黑体" w:eastAsia="黑体" w:cs="黑体"/>
          <w:b/>
          <w:bCs/>
          <w:color w:val="auto"/>
          <w:sz w:val="28"/>
          <w:szCs w:val="28"/>
          <w:highlight w:val="none"/>
        </w:rPr>
      </w:pPr>
      <w:r>
        <w:rPr>
          <w:rFonts w:hint="eastAsia" w:ascii="宋体" w:hAnsi="宋体" w:cs="宋体"/>
          <w:color w:val="auto"/>
          <w:spacing w:val="20"/>
          <w:sz w:val="24"/>
          <w:highlight w:val="none"/>
        </w:rPr>
        <w:t xml:space="preserve">附表2            </w:t>
      </w:r>
      <w:r>
        <w:rPr>
          <w:rFonts w:hint="eastAsia" w:ascii="黑体" w:hAnsi="黑体" w:eastAsia="黑体" w:cs="黑体"/>
          <w:color w:val="auto"/>
          <w:sz w:val="28"/>
          <w:szCs w:val="28"/>
          <w:highlight w:val="none"/>
        </w:rPr>
        <w:t xml:space="preserve">  </w:t>
      </w:r>
      <w:r>
        <w:rPr>
          <w:rFonts w:hint="eastAsia" w:ascii="黑体" w:hAnsi="黑体" w:eastAsia="黑体" w:cs="黑体"/>
          <w:b/>
          <w:bCs/>
          <w:color w:val="auto"/>
          <w:sz w:val="28"/>
          <w:szCs w:val="28"/>
          <w:highlight w:val="none"/>
        </w:rPr>
        <w:t xml:space="preserve"> </w:t>
      </w:r>
    </w:p>
    <w:p w14:paraId="1D2B213C">
      <w:pPr>
        <w:spacing w:line="300" w:lineRule="auto"/>
        <w:ind w:firstLine="3373" w:firstLineChars="1200"/>
        <w:jc w:val="left"/>
        <w:rPr>
          <w:rFonts w:ascii="宋体" w:hAnsi="宋体" w:cs="宋体"/>
          <w:color w:val="auto"/>
          <w:spacing w:val="0"/>
          <w:sz w:val="28"/>
          <w:szCs w:val="28"/>
          <w:highlight w:val="none"/>
        </w:rPr>
      </w:pPr>
      <w:r>
        <w:rPr>
          <w:rFonts w:hint="eastAsia" w:ascii="宋体" w:hAnsi="宋体" w:cs="宋体"/>
          <w:b/>
          <w:bCs/>
          <w:color w:val="auto"/>
          <w:spacing w:val="0"/>
          <w:sz w:val="28"/>
          <w:szCs w:val="28"/>
          <w:highlight w:val="none"/>
        </w:rPr>
        <w:t>拟投入劳动力计划表</w:t>
      </w:r>
    </w:p>
    <w:p w14:paraId="1E8BD83F">
      <w:pPr>
        <w:pStyle w:val="16"/>
        <w:rPr>
          <w:rFonts w:ascii="宋体" w:hAnsi="宋体" w:cs="宋体"/>
          <w:color w:val="auto"/>
          <w:sz w:val="24"/>
          <w:szCs w:val="24"/>
          <w:highlight w:val="none"/>
        </w:rPr>
      </w:pPr>
    </w:p>
    <w:p w14:paraId="61EFC387">
      <w:pPr>
        <w:autoSpaceDE w:val="0"/>
        <w:autoSpaceDN w:val="0"/>
        <w:adjustRightInd w:val="0"/>
        <w:spacing w:line="420" w:lineRule="exact"/>
        <w:rPr>
          <w:rFonts w:ascii="宋体" w:hAnsi="宋体" w:cs="宋体"/>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工程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2B01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6C9BC2E">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7806" w:type="dxa"/>
            <w:gridSpan w:val="7"/>
            <w:vAlign w:val="center"/>
          </w:tcPr>
          <w:p w14:paraId="74D0E0AA">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843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734F3ABC">
            <w:pPr>
              <w:autoSpaceDE w:val="0"/>
              <w:autoSpaceDN w:val="0"/>
              <w:adjustRightInd w:val="0"/>
              <w:spacing w:line="420" w:lineRule="exact"/>
              <w:jc w:val="center"/>
              <w:rPr>
                <w:rFonts w:ascii="宋体" w:hAnsi="宋体" w:eastAsia="宋体" w:cs="宋体"/>
                <w:color w:val="auto"/>
                <w:sz w:val="24"/>
                <w:highlight w:val="none"/>
              </w:rPr>
            </w:pPr>
          </w:p>
        </w:tc>
        <w:tc>
          <w:tcPr>
            <w:tcW w:w="1115" w:type="dxa"/>
          </w:tcPr>
          <w:p w14:paraId="0211A979">
            <w:pPr>
              <w:autoSpaceDE w:val="0"/>
              <w:autoSpaceDN w:val="0"/>
              <w:adjustRightInd w:val="0"/>
              <w:spacing w:line="420" w:lineRule="exact"/>
              <w:rPr>
                <w:rFonts w:ascii="宋体" w:hAnsi="宋体" w:eastAsia="宋体" w:cs="宋体"/>
                <w:color w:val="auto"/>
                <w:sz w:val="24"/>
                <w:highlight w:val="none"/>
              </w:rPr>
            </w:pPr>
          </w:p>
        </w:tc>
        <w:tc>
          <w:tcPr>
            <w:tcW w:w="1115" w:type="dxa"/>
          </w:tcPr>
          <w:p w14:paraId="5F634CA6">
            <w:pPr>
              <w:autoSpaceDE w:val="0"/>
              <w:autoSpaceDN w:val="0"/>
              <w:adjustRightInd w:val="0"/>
              <w:spacing w:line="420" w:lineRule="exact"/>
              <w:rPr>
                <w:rFonts w:ascii="宋体" w:hAnsi="宋体" w:eastAsia="宋体" w:cs="宋体"/>
                <w:color w:val="auto"/>
                <w:sz w:val="24"/>
                <w:highlight w:val="none"/>
              </w:rPr>
            </w:pPr>
          </w:p>
        </w:tc>
        <w:tc>
          <w:tcPr>
            <w:tcW w:w="1115" w:type="dxa"/>
          </w:tcPr>
          <w:p w14:paraId="58171E59">
            <w:pPr>
              <w:autoSpaceDE w:val="0"/>
              <w:autoSpaceDN w:val="0"/>
              <w:adjustRightInd w:val="0"/>
              <w:spacing w:line="420" w:lineRule="exact"/>
              <w:rPr>
                <w:rFonts w:ascii="宋体" w:hAnsi="宋体" w:eastAsia="宋体" w:cs="宋体"/>
                <w:color w:val="auto"/>
                <w:sz w:val="24"/>
                <w:highlight w:val="none"/>
              </w:rPr>
            </w:pPr>
          </w:p>
        </w:tc>
        <w:tc>
          <w:tcPr>
            <w:tcW w:w="1115" w:type="dxa"/>
          </w:tcPr>
          <w:p w14:paraId="49DC8D90">
            <w:pPr>
              <w:autoSpaceDE w:val="0"/>
              <w:autoSpaceDN w:val="0"/>
              <w:adjustRightInd w:val="0"/>
              <w:spacing w:line="420" w:lineRule="exact"/>
              <w:rPr>
                <w:rFonts w:ascii="宋体" w:hAnsi="宋体" w:eastAsia="宋体" w:cs="宋体"/>
                <w:color w:val="auto"/>
                <w:sz w:val="24"/>
                <w:highlight w:val="none"/>
              </w:rPr>
            </w:pPr>
          </w:p>
        </w:tc>
        <w:tc>
          <w:tcPr>
            <w:tcW w:w="1115" w:type="dxa"/>
          </w:tcPr>
          <w:p w14:paraId="166CC5AF">
            <w:pPr>
              <w:autoSpaceDE w:val="0"/>
              <w:autoSpaceDN w:val="0"/>
              <w:adjustRightInd w:val="0"/>
              <w:spacing w:line="420" w:lineRule="exact"/>
              <w:rPr>
                <w:rFonts w:ascii="宋体" w:hAnsi="宋体" w:eastAsia="宋体" w:cs="宋体"/>
                <w:color w:val="auto"/>
                <w:sz w:val="24"/>
                <w:highlight w:val="none"/>
              </w:rPr>
            </w:pPr>
          </w:p>
        </w:tc>
        <w:tc>
          <w:tcPr>
            <w:tcW w:w="1115" w:type="dxa"/>
          </w:tcPr>
          <w:p w14:paraId="15D0A9F8">
            <w:pPr>
              <w:autoSpaceDE w:val="0"/>
              <w:autoSpaceDN w:val="0"/>
              <w:adjustRightInd w:val="0"/>
              <w:spacing w:line="420" w:lineRule="exact"/>
              <w:rPr>
                <w:rFonts w:ascii="宋体" w:hAnsi="宋体" w:eastAsia="宋体" w:cs="宋体"/>
                <w:color w:val="auto"/>
                <w:sz w:val="24"/>
                <w:highlight w:val="none"/>
              </w:rPr>
            </w:pPr>
          </w:p>
        </w:tc>
        <w:tc>
          <w:tcPr>
            <w:tcW w:w="1116" w:type="dxa"/>
          </w:tcPr>
          <w:p w14:paraId="418F95FD">
            <w:pPr>
              <w:autoSpaceDE w:val="0"/>
              <w:autoSpaceDN w:val="0"/>
              <w:adjustRightInd w:val="0"/>
              <w:spacing w:line="420" w:lineRule="exact"/>
              <w:rPr>
                <w:rFonts w:ascii="宋体" w:hAnsi="宋体" w:eastAsia="宋体" w:cs="宋体"/>
                <w:color w:val="auto"/>
                <w:sz w:val="24"/>
                <w:highlight w:val="none"/>
              </w:rPr>
            </w:pPr>
          </w:p>
        </w:tc>
      </w:tr>
      <w:tr w14:paraId="3750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0620C51C">
            <w:pPr>
              <w:autoSpaceDE w:val="0"/>
              <w:autoSpaceDN w:val="0"/>
              <w:adjustRightInd w:val="0"/>
              <w:spacing w:line="420" w:lineRule="exact"/>
              <w:rPr>
                <w:rFonts w:ascii="宋体" w:hAnsi="宋体" w:cs="宋体"/>
                <w:color w:val="auto"/>
                <w:sz w:val="24"/>
                <w:highlight w:val="none"/>
              </w:rPr>
            </w:pPr>
          </w:p>
        </w:tc>
        <w:tc>
          <w:tcPr>
            <w:tcW w:w="1115" w:type="dxa"/>
          </w:tcPr>
          <w:p w14:paraId="71093896">
            <w:pPr>
              <w:autoSpaceDE w:val="0"/>
              <w:autoSpaceDN w:val="0"/>
              <w:adjustRightInd w:val="0"/>
              <w:spacing w:line="420" w:lineRule="exact"/>
              <w:rPr>
                <w:rFonts w:ascii="宋体" w:hAnsi="宋体" w:cs="宋体"/>
                <w:color w:val="auto"/>
                <w:sz w:val="24"/>
                <w:highlight w:val="none"/>
              </w:rPr>
            </w:pPr>
          </w:p>
        </w:tc>
        <w:tc>
          <w:tcPr>
            <w:tcW w:w="1115" w:type="dxa"/>
          </w:tcPr>
          <w:p w14:paraId="45CFF76C">
            <w:pPr>
              <w:autoSpaceDE w:val="0"/>
              <w:autoSpaceDN w:val="0"/>
              <w:adjustRightInd w:val="0"/>
              <w:spacing w:line="420" w:lineRule="exact"/>
              <w:rPr>
                <w:rFonts w:ascii="宋体" w:hAnsi="宋体" w:cs="宋体"/>
                <w:color w:val="auto"/>
                <w:sz w:val="24"/>
                <w:highlight w:val="none"/>
              </w:rPr>
            </w:pPr>
          </w:p>
        </w:tc>
        <w:tc>
          <w:tcPr>
            <w:tcW w:w="1115" w:type="dxa"/>
          </w:tcPr>
          <w:p w14:paraId="48480578">
            <w:pPr>
              <w:autoSpaceDE w:val="0"/>
              <w:autoSpaceDN w:val="0"/>
              <w:adjustRightInd w:val="0"/>
              <w:spacing w:line="420" w:lineRule="exact"/>
              <w:rPr>
                <w:rFonts w:ascii="宋体" w:hAnsi="宋体" w:cs="宋体"/>
                <w:color w:val="auto"/>
                <w:sz w:val="24"/>
                <w:highlight w:val="none"/>
              </w:rPr>
            </w:pPr>
          </w:p>
        </w:tc>
        <w:tc>
          <w:tcPr>
            <w:tcW w:w="1115" w:type="dxa"/>
          </w:tcPr>
          <w:p w14:paraId="698F833D">
            <w:pPr>
              <w:autoSpaceDE w:val="0"/>
              <w:autoSpaceDN w:val="0"/>
              <w:adjustRightInd w:val="0"/>
              <w:spacing w:line="420" w:lineRule="exact"/>
              <w:rPr>
                <w:rFonts w:ascii="宋体" w:hAnsi="宋体" w:cs="宋体"/>
                <w:color w:val="auto"/>
                <w:sz w:val="24"/>
                <w:highlight w:val="none"/>
              </w:rPr>
            </w:pPr>
          </w:p>
        </w:tc>
        <w:tc>
          <w:tcPr>
            <w:tcW w:w="1115" w:type="dxa"/>
          </w:tcPr>
          <w:p w14:paraId="3201357B">
            <w:pPr>
              <w:autoSpaceDE w:val="0"/>
              <w:autoSpaceDN w:val="0"/>
              <w:adjustRightInd w:val="0"/>
              <w:spacing w:line="420" w:lineRule="exact"/>
              <w:rPr>
                <w:rFonts w:ascii="宋体" w:hAnsi="宋体" w:cs="宋体"/>
                <w:color w:val="auto"/>
                <w:sz w:val="24"/>
                <w:highlight w:val="none"/>
              </w:rPr>
            </w:pPr>
          </w:p>
        </w:tc>
        <w:tc>
          <w:tcPr>
            <w:tcW w:w="1115" w:type="dxa"/>
          </w:tcPr>
          <w:p w14:paraId="276CA0A9">
            <w:pPr>
              <w:autoSpaceDE w:val="0"/>
              <w:autoSpaceDN w:val="0"/>
              <w:adjustRightInd w:val="0"/>
              <w:spacing w:line="420" w:lineRule="exact"/>
              <w:rPr>
                <w:rFonts w:ascii="宋体" w:hAnsi="宋体" w:cs="宋体"/>
                <w:color w:val="auto"/>
                <w:sz w:val="24"/>
                <w:highlight w:val="none"/>
              </w:rPr>
            </w:pPr>
          </w:p>
        </w:tc>
        <w:tc>
          <w:tcPr>
            <w:tcW w:w="1116" w:type="dxa"/>
          </w:tcPr>
          <w:p w14:paraId="7DE11508">
            <w:pPr>
              <w:autoSpaceDE w:val="0"/>
              <w:autoSpaceDN w:val="0"/>
              <w:adjustRightInd w:val="0"/>
              <w:spacing w:line="420" w:lineRule="exact"/>
              <w:rPr>
                <w:rFonts w:ascii="宋体" w:hAnsi="宋体" w:cs="宋体"/>
                <w:color w:val="auto"/>
                <w:sz w:val="24"/>
                <w:highlight w:val="none"/>
              </w:rPr>
            </w:pPr>
          </w:p>
        </w:tc>
      </w:tr>
      <w:tr w14:paraId="5FDF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4B8DB1AB">
            <w:pPr>
              <w:autoSpaceDE w:val="0"/>
              <w:autoSpaceDN w:val="0"/>
              <w:adjustRightInd w:val="0"/>
              <w:spacing w:line="420" w:lineRule="exact"/>
              <w:rPr>
                <w:rFonts w:ascii="宋体" w:hAnsi="宋体" w:cs="宋体"/>
                <w:color w:val="auto"/>
                <w:sz w:val="24"/>
                <w:highlight w:val="none"/>
              </w:rPr>
            </w:pPr>
          </w:p>
        </w:tc>
        <w:tc>
          <w:tcPr>
            <w:tcW w:w="1115" w:type="dxa"/>
          </w:tcPr>
          <w:p w14:paraId="7C2C06E9">
            <w:pPr>
              <w:autoSpaceDE w:val="0"/>
              <w:autoSpaceDN w:val="0"/>
              <w:adjustRightInd w:val="0"/>
              <w:spacing w:line="420" w:lineRule="exact"/>
              <w:rPr>
                <w:rFonts w:ascii="宋体" w:hAnsi="宋体" w:cs="宋体"/>
                <w:color w:val="auto"/>
                <w:sz w:val="24"/>
                <w:highlight w:val="none"/>
              </w:rPr>
            </w:pPr>
          </w:p>
        </w:tc>
        <w:tc>
          <w:tcPr>
            <w:tcW w:w="1115" w:type="dxa"/>
          </w:tcPr>
          <w:p w14:paraId="60FBD63A">
            <w:pPr>
              <w:autoSpaceDE w:val="0"/>
              <w:autoSpaceDN w:val="0"/>
              <w:adjustRightInd w:val="0"/>
              <w:spacing w:line="420" w:lineRule="exact"/>
              <w:rPr>
                <w:rFonts w:ascii="宋体" w:hAnsi="宋体" w:cs="宋体"/>
                <w:color w:val="auto"/>
                <w:sz w:val="24"/>
                <w:highlight w:val="none"/>
              </w:rPr>
            </w:pPr>
          </w:p>
        </w:tc>
        <w:tc>
          <w:tcPr>
            <w:tcW w:w="1115" w:type="dxa"/>
          </w:tcPr>
          <w:p w14:paraId="246C1F2A">
            <w:pPr>
              <w:autoSpaceDE w:val="0"/>
              <w:autoSpaceDN w:val="0"/>
              <w:adjustRightInd w:val="0"/>
              <w:spacing w:line="420" w:lineRule="exact"/>
              <w:rPr>
                <w:rFonts w:ascii="宋体" w:hAnsi="宋体" w:cs="宋体"/>
                <w:color w:val="auto"/>
                <w:sz w:val="24"/>
                <w:highlight w:val="none"/>
              </w:rPr>
            </w:pPr>
          </w:p>
        </w:tc>
        <w:tc>
          <w:tcPr>
            <w:tcW w:w="1115" w:type="dxa"/>
          </w:tcPr>
          <w:p w14:paraId="3DE763D0">
            <w:pPr>
              <w:autoSpaceDE w:val="0"/>
              <w:autoSpaceDN w:val="0"/>
              <w:adjustRightInd w:val="0"/>
              <w:spacing w:line="420" w:lineRule="exact"/>
              <w:rPr>
                <w:rFonts w:ascii="宋体" w:hAnsi="宋体" w:cs="宋体"/>
                <w:color w:val="auto"/>
                <w:sz w:val="24"/>
                <w:highlight w:val="none"/>
              </w:rPr>
            </w:pPr>
          </w:p>
        </w:tc>
        <w:tc>
          <w:tcPr>
            <w:tcW w:w="1115" w:type="dxa"/>
          </w:tcPr>
          <w:p w14:paraId="62781835">
            <w:pPr>
              <w:autoSpaceDE w:val="0"/>
              <w:autoSpaceDN w:val="0"/>
              <w:adjustRightInd w:val="0"/>
              <w:spacing w:line="420" w:lineRule="exact"/>
              <w:rPr>
                <w:rFonts w:ascii="宋体" w:hAnsi="宋体" w:cs="宋体"/>
                <w:color w:val="auto"/>
                <w:sz w:val="24"/>
                <w:highlight w:val="none"/>
              </w:rPr>
            </w:pPr>
          </w:p>
        </w:tc>
        <w:tc>
          <w:tcPr>
            <w:tcW w:w="1115" w:type="dxa"/>
          </w:tcPr>
          <w:p w14:paraId="4E627E1B">
            <w:pPr>
              <w:autoSpaceDE w:val="0"/>
              <w:autoSpaceDN w:val="0"/>
              <w:adjustRightInd w:val="0"/>
              <w:spacing w:line="420" w:lineRule="exact"/>
              <w:rPr>
                <w:rFonts w:ascii="宋体" w:hAnsi="宋体" w:cs="宋体"/>
                <w:color w:val="auto"/>
                <w:sz w:val="24"/>
                <w:highlight w:val="none"/>
              </w:rPr>
            </w:pPr>
          </w:p>
        </w:tc>
        <w:tc>
          <w:tcPr>
            <w:tcW w:w="1116" w:type="dxa"/>
          </w:tcPr>
          <w:p w14:paraId="3CC120AD">
            <w:pPr>
              <w:autoSpaceDE w:val="0"/>
              <w:autoSpaceDN w:val="0"/>
              <w:adjustRightInd w:val="0"/>
              <w:spacing w:line="420" w:lineRule="exact"/>
              <w:rPr>
                <w:rFonts w:ascii="宋体" w:hAnsi="宋体" w:cs="宋体"/>
                <w:color w:val="auto"/>
                <w:sz w:val="24"/>
                <w:highlight w:val="none"/>
              </w:rPr>
            </w:pPr>
          </w:p>
        </w:tc>
      </w:tr>
      <w:tr w14:paraId="1543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5ABE5108">
            <w:pPr>
              <w:autoSpaceDE w:val="0"/>
              <w:autoSpaceDN w:val="0"/>
              <w:adjustRightInd w:val="0"/>
              <w:spacing w:line="420" w:lineRule="exact"/>
              <w:rPr>
                <w:rFonts w:ascii="宋体" w:hAnsi="宋体" w:cs="宋体"/>
                <w:color w:val="auto"/>
                <w:sz w:val="24"/>
                <w:highlight w:val="none"/>
              </w:rPr>
            </w:pPr>
          </w:p>
        </w:tc>
        <w:tc>
          <w:tcPr>
            <w:tcW w:w="1115" w:type="dxa"/>
          </w:tcPr>
          <w:p w14:paraId="0F6959AF">
            <w:pPr>
              <w:autoSpaceDE w:val="0"/>
              <w:autoSpaceDN w:val="0"/>
              <w:adjustRightInd w:val="0"/>
              <w:spacing w:line="420" w:lineRule="exact"/>
              <w:rPr>
                <w:rFonts w:ascii="宋体" w:hAnsi="宋体" w:cs="宋体"/>
                <w:color w:val="auto"/>
                <w:sz w:val="24"/>
                <w:highlight w:val="none"/>
              </w:rPr>
            </w:pPr>
          </w:p>
        </w:tc>
        <w:tc>
          <w:tcPr>
            <w:tcW w:w="1115" w:type="dxa"/>
          </w:tcPr>
          <w:p w14:paraId="0EA395D2">
            <w:pPr>
              <w:autoSpaceDE w:val="0"/>
              <w:autoSpaceDN w:val="0"/>
              <w:adjustRightInd w:val="0"/>
              <w:spacing w:line="420" w:lineRule="exact"/>
              <w:rPr>
                <w:rFonts w:ascii="宋体" w:hAnsi="宋体" w:cs="宋体"/>
                <w:color w:val="auto"/>
                <w:sz w:val="24"/>
                <w:highlight w:val="none"/>
              </w:rPr>
            </w:pPr>
          </w:p>
        </w:tc>
        <w:tc>
          <w:tcPr>
            <w:tcW w:w="1115" w:type="dxa"/>
          </w:tcPr>
          <w:p w14:paraId="40BFC998">
            <w:pPr>
              <w:autoSpaceDE w:val="0"/>
              <w:autoSpaceDN w:val="0"/>
              <w:adjustRightInd w:val="0"/>
              <w:spacing w:line="420" w:lineRule="exact"/>
              <w:rPr>
                <w:rFonts w:ascii="宋体" w:hAnsi="宋体" w:cs="宋体"/>
                <w:color w:val="auto"/>
                <w:sz w:val="24"/>
                <w:highlight w:val="none"/>
              </w:rPr>
            </w:pPr>
          </w:p>
        </w:tc>
        <w:tc>
          <w:tcPr>
            <w:tcW w:w="1115" w:type="dxa"/>
          </w:tcPr>
          <w:p w14:paraId="318ABAD7">
            <w:pPr>
              <w:autoSpaceDE w:val="0"/>
              <w:autoSpaceDN w:val="0"/>
              <w:adjustRightInd w:val="0"/>
              <w:spacing w:line="420" w:lineRule="exact"/>
              <w:rPr>
                <w:rFonts w:ascii="宋体" w:hAnsi="宋体" w:cs="宋体"/>
                <w:color w:val="auto"/>
                <w:sz w:val="24"/>
                <w:highlight w:val="none"/>
              </w:rPr>
            </w:pPr>
          </w:p>
        </w:tc>
        <w:tc>
          <w:tcPr>
            <w:tcW w:w="1115" w:type="dxa"/>
          </w:tcPr>
          <w:p w14:paraId="67E17E7F">
            <w:pPr>
              <w:autoSpaceDE w:val="0"/>
              <w:autoSpaceDN w:val="0"/>
              <w:adjustRightInd w:val="0"/>
              <w:spacing w:line="420" w:lineRule="exact"/>
              <w:rPr>
                <w:rFonts w:ascii="宋体" w:hAnsi="宋体" w:cs="宋体"/>
                <w:color w:val="auto"/>
                <w:sz w:val="24"/>
                <w:highlight w:val="none"/>
              </w:rPr>
            </w:pPr>
          </w:p>
        </w:tc>
        <w:tc>
          <w:tcPr>
            <w:tcW w:w="1115" w:type="dxa"/>
          </w:tcPr>
          <w:p w14:paraId="4995AD8C">
            <w:pPr>
              <w:autoSpaceDE w:val="0"/>
              <w:autoSpaceDN w:val="0"/>
              <w:adjustRightInd w:val="0"/>
              <w:spacing w:line="420" w:lineRule="exact"/>
              <w:rPr>
                <w:rFonts w:ascii="宋体" w:hAnsi="宋体" w:cs="宋体"/>
                <w:color w:val="auto"/>
                <w:sz w:val="24"/>
                <w:highlight w:val="none"/>
              </w:rPr>
            </w:pPr>
          </w:p>
        </w:tc>
        <w:tc>
          <w:tcPr>
            <w:tcW w:w="1116" w:type="dxa"/>
          </w:tcPr>
          <w:p w14:paraId="518B0DFD">
            <w:pPr>
              <w:autoSpaceDE w:val="0"/>
              <w:autoSpaceDN w:val="0"/>
              <w:adjustRightInd w:val="0"/>
              <w:spacing w:line="420" w:lineRule="exact"/>
              <w:rPr>
                <w:rFonts w:ascii="宋体" w:hAnsi="宋体" w:cs="宋体"/>
                <w:color w:val="auto"/>
                <w:sz w:val="24"/>
                <w:highlight w:val="none"/>
              </w:rPr>
            </w:pPr>
          </w:p>
        </w:tc>
      </w:tr>
      <w:tr w14:paraId="259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477560F7">
            <w:pPr>
              <w:autoSpaceDE w:val="0"/>
              <w:autoSpaceDN w:val="0"/>
              <w:adjustRightInd w:val="0"/>
              <w:spacing w:line="420" w:lineRule="exact"/>
              <w:rPr>
                <w:rFonts w:ascii="宋体" w:hAnsi="宋体" w:cs="宋体"/>
                <w:color w:val="auto"/>
                <w:sz w:val="24"/>
                <w:highlight w:val="none"/>
              </w:rPr>
            </w:pPr>
          </w:p>
        </w:tc>
        <w:tc>
          <w:tcPr>
            <w:tcW w:w="1115" w:type="dxa"/>
          </w:tcPr>
          <w:p w14:paraId="41346CD6">
            <w:pPr>
              <w:autoSpaceDE w:val="0"/>
              <w:autoSpaceDN w:val="0"/>
              <w:adjustRightInd w:val="0"/>
              <w:spacing w:line="420" w:lineRule="exact"/>
              <w:rPr>
                <w:rFonts w:ascii="宋体" w:hAnsi="宋体" w:cs="宋体"/>
                <w:color w:val="auto"/>
                <w:sz w:val="24"/>
                <w:highlight w:val="none"/>
              </w:rPr>
            </w:pPr>
          </w:p>
        </w:tc>
        <w:tc>
          <w:tcPr>
            <w:tcW w:w="1115" w:type="dxa"/>
          </w:tcPr>
          <w:p w14:paraId="48FA0642">
            <w:pPr>
              <w:autoSpaceDE w:val="0"/>
              <w:autoSpaceDN w:val="0"/>
              <w:adjustRightInd w:val="0"/>
              <w:spacing w:line="420" w:lineRule="exact"/>
              <w:rPr>
                <w:rFonts w:ascii="宋体" w:hAnsi="宋体" w:cs="宋体"/>
                <w:color w:val="auto"/>
                <w:sz w:val="24"/>
                <w:highlight w:val="none"/>
              </w:rPr>
            </w:pPr>
          </w:p>
        </w:tc>
        <w:tc>
          <w:tcPr>
            <w:tcW w:w="1115" w:type="dxa"/>
          </w:tcPr>
          <w:p w14:paraId="4EA0C54B">
            <w:pPr>
              <w:autoSpaceDE w:val="0"/>
              <w:autoSpaceDN w:val="0"/>
              <w:adjustRightInd w:val="0"/>
              <w:spacing w:line="420" w:lineRule="exact"/>
              <w:rPr>
                <w:rFonts w:ascii="宋体" w:hAnsi="宋体" w:cs="宋体"/>
                <w:color w:val="auto"/>
                <w:sz w:val="24"/>
                <w:highlight w:val="none"/>
              </w:rPr>
            </w:pPr>
          </w:p>
        </w:tc>
        <w:tc>
          <w:tcPr>
            <w:tcW w:w="1115" w:type="dxa"/>
          </w:tcPr>
          <w:p w14:paraId="1BD43053">
            <w:pPr>
              <w:autoSpaceDE w:val="0"/>
              <w:autoSpaceDN w:val="0"/>
              <w:adjustRightInd w:val="0"/>
              <w:spacing w:line="420" w:lineRule="exact"/>
              <w:rPr>
                <w:rFonts w:ascii="宋体" w:hAnsi="宋体" w:cs="宋体"/>
                <w:color w:val="auto"/>
                <w:sz w:val="24"/>
                <w:highlight w:val="none"/>
              </w:rPr>
            </w:pPr>
          </w:p>
        </w:tc>
        <w:tc>
          <w:tcPr>
            <w:tcW w:w="1115" w:type="dxa"/>
          </w:tcPr>
          <w:p w14:paraId="69E8437B">
            <w:pPr>
              <w:autoSpaceDE w:val="0"/>
              <w:autoSpaceDN w:val="0"/>
              <w:adjustRightInd w:val="0"/>
              <w:spacing w:line="420" w:lineRule="exact"/>
              <w:rPr>
                <w:rFonts w:ascii="宋体" w:hAnsi="宋体" w:cs="宋体"/>
                <w:color w:val="auto"/>
                <w:sz w:val="24"/>
                <w:highlight w:val="none"/>
              </w:rPr>
            </w:pPr>
          </w:p>
        </w:tc>
        <w:tc>
          <w:tcPr>
            <w:tcW w:w="1115" w:type="dxa"/>
          </w:tcPr>
          <w:p w14:paraId="7B89C5C5">
            <w:pPr>
              <w:autoSpaceDE w:val="0"/>
              <w:autoSpaceDN w:val="0"/>
              <w:adjustRightInd w:val="0"/>
              <w:spacing w:line="420" w:lineRule="exact"/>
              <w:rPr>
                <w:rFonts w:ascii="宋体" w:hAnsi="宋体" w:cs="宋体"/>
                <w:color w:val="auto"/>
                <w:sz w:val="24"/>
                <w:highlight w:val="none"/>
              </w:rPr>
            </w:pPr>
          </w:p>
        </w:tc>
        <w:tc>
          <w:tcPr>
            <w:tcW w:w="1116" w:type="dxa"/>
          </w:tcPr>
          <w:p w14:paraId="397528D1">
            <w:pPr>
              <w:autoSpaceDE w:val="0"/>
              <w:autoSpaceDN w:val="0"/>
              <w:adjustRightInd w:val="0"/>
              <w:spacing w:line="420" w:lineRule="exact"/>
              <w:rPr>
                <w:rFonts w:ascii="宋体" w:hAnsi="宋体" w:cs="宋体"/>
                <w:color w:val="auto"/>
                <w:sz w:val="24"/>
                <w:highlight w:val="none"/>
              </w:rPr>
            </w:pPr>
          </w:p>
        </w:tc>
      </w:tr>
      <w:tr w14:paraId="62C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3C6E668">
            <w:pPr>
              <w:autoSpaceDE w:val="0"/>
              <w:autoSpaceDN w:val="0"/>
              <w:adjustRightInd w:val="0"/>
              <w:spacing w:line="420" w:lineRule="exact"/>
              <w:rPr>
                <w:rFonts w:ascii="宋体" w:hAnsi="宋体" w:cs="宋体"/>
                <w:color w:val="auto"/>
                <w:sz w:val="24"/>
                <w:highlight w:val="none"/>
              </w:rPr>
            </w:pPr>
          </w:p>
        </w:tc>
        <w:tc>
          <w:tcPr>
            <w:tcW w:w="1115" w:type="dxa"/>
          </w:tcPr>
          <w:p w14:paraId="31CB44FF">
            <w:pPr>
              <w:autoSpaceDE w:val="0"/>
              <w:autoSpaceDN w:val="0"/>
              <w:adjustRightInd w:val="0"/>
              <w:spacing w:line="420" w:lineRule="exact"/>
              <w:rPr>
                <w:rFonts w:ascii="宋体" w:hAnsi="宋体" w:cs="宋体"/>
                <w:color w:val="auto"/>
                <w:sz w:val="24"/>
                <w:highlight w:val="none"/>
              </w:rPr>
            </w:pPr>
          </w:p>
        </w:tc>
        <w:tc>
          <w:tcPr>
            <w:tcW w:w="1115" w:type="dxa"/>
          </w:tcPr>
          <w:p w14:paraId="21F9B4AF">
            <w:pPr>
              <w:autoSpaceDE w:val="0"/>
              <w:autoSpaceDN w:val="0"/>
              <w:adjustRightInd w:val="0"/>
              <w:spacing w:line="420" w:lineRule="exact"/>
              <w:rPr>
                <w:rFonts w:ascii="宋体" w:hAnsi="宋体" w:cs="宋体"/>
                <w:color w:val="auto"/>
                <w:sz w:val="24"/>
                <w:highlight w:val="none"/>
              </w:rPr>
            </w:pPr>
          </w:p>
        </w:tc>
        <w:tc>
          <w:tcPr>
            <w:tcW w:w="1115" w:type="dxa"/>
          </w:tcPr>
          <w:p w14:paraId="7D78A35E">
            <w:pPr>
              <w:autoSpaceDE w:val="0"/>
              <w:autoSpaceDN w:val="0"/>
              <w:adjustRightInd w:val="0"/>
              <w:spacing w:line="420" w:lineRule="exact"/>
              <w:rPr>
                <w:rFonts w:ascii="宋体" w:hAnsi="宋体" w:cs="宋体"/>
                <w:color w:val="auto"/>
                <w:sz w:val="24"/>
                <w:highlight w:val="none"/>
              </w:rPr>
            </w:pPr>
          </w:p>
        </w:tc>
        <w:tc>
          <w:tcPr>
            <w:tcW w:w="1115" w:type="dxa"/>
          </w:tcPr>
          <w:p w14:paraId="29873F68">
            <w:pPr>
              <w:autoSpaceDE w:val="0"/>
              <w:autoSpaceDN w:val="0"/>
              <w:adjustRightInd w:val="0"/>
              <w:spacing w:line="420" w:lineRule="exact"/>
              <w:rPr>
                <w:rFonts w:ascii="宋体" w:hAnsi="宋体" w:cs="宋体"/>
                <w:color w:val="auto"/>
                <w:sz w:val="24"/>
                <w:highlight w:val="none"/>
              </w:rPr>
            </w:pPr>
          </w:p>
        </w:tc>
        <w:tc>
          <w:tcPr>
            <w:tcW w:w="1115" w:type="dxa"/>
          </w:tcPr>
          <w:p w14:paraId="42007D03">
            <w:pPr>
              <w:autoSpaceDE w:val="0"/>
              <w:autoSpaceDN w:val="0"/>
              <w:adjustRightInd w:val="0"/>
              <w:spacing w:line="420" w:lineRule="exact"/>
              <w:rPr>
                <w:rFonts w:ascii="宋体" w:hAnsi="宋体" w:cs="宋体"/>
                <w:color w:val="auto"/>
                <w:sz w:val="24"/>
                <w:highlight w:val="none"/>
              </w:rPr>
            </w:pPr>
          </w:p>
        </w:tc>
        <w:tc>
          <w:tcPr>
            <w:tcW w:w="1115" w:type="dxa"/>
          </w:tcPr>
          <w:p w14:paraId="58869125">
            <w:pPr>
              <w:autoSpaceDE w:val="0"/>
              <w:autoSpaceDN w:val="0"/>
              <w:adjustRightInd w:val="0"/>
              <w:spacing w:line="420" w:lineRule="exact"/>
              <w:rPr>
                <w:rFonts w:ascii="宋体" w:hAnsi="宋体" w:cs="宋体"/>
                <w:color w:val="auto"/>
                <w:sz w:val="24"/>
                <w:highlight w:val="none"/>
              </w:rPr>
            </w:pPr>
          </w:p>
        </w:tc>
        <w:tc>
          <w:tcPr>
            <w:tcW w:w="1116" w:type="dxa"/>
          </w:tcPr>
          <w:p w14:paraId="3E692CB4">
            <w:pPr>
              <w:autoSpaceDE w:val="0"/>
              <w:autoSpaceDN w:val="0"/>
              <w:adjustRightInd w:val="0"/>
              <w:spacing w:line="420" w:lineRule="exact"/>
              <w:rPr>
                <w:rFonts w:ascii="宋体" w:hAnsi="宋体" w:cs="宋体"/>
                <w:color w:val="auto"/>
                <w:sz w:val="24"/>
                <w:highlight w:val="none"/>
              </w:rPr>
            </w:pPr>
          </w:p>
        </w:tc>
      </w:tr>
      <w:tr w14:paraId="230E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183F3C9E">
            <w:pPr>
              <w:autoSpaceDE w:val="0"/>
              <w:autoSpaceDN w:val="0"/>
              <w:adjustRightInd w:val="0"/>
              <w:spacing w:line="420" w:lineRule="exact"/>
              <w:rPr>
                <w:rFonts w:ascii="宋体" w:hAnsi="宋体" w:cs="宋体"/>
                <w:color w:val="auto"/>
                <w:sz w:val="24"/>
                <w:highlight w:val="none"/>
              </w:rPr>
            </w:pPr>
          </w:p>
        </w:tc>
        <w:tc>
          <w:tcPr>
            <w:tcW w:w="1115" w:type="dxa"/>
          </w:tcPr>
          <w:p w14:paraId="476A5A95">
            <w:pPr>
              <w:autoSpaceDE w:val="0"/>
              <w:autoSpaceDN w:val="0"/>
              <w:adjustRightInd w:val="0"/>
              <w:spacing w:line="420" w:lineRule="exact"/>
              <w:rPr>
                <w:rFonts w:ascii="宋体" w:hAnsi="宋体" w:cs="宋体"/>
                <w:color w:val="auto"/>
                <w:sz w:val="24"/>
                <w:highlight w:val="none"/>
              </w:rPr>
            </w:pPr>
          </w:p>
        </w:tc>
        <w:tc>
          <w:tcPr>
            <w:tcW w:w="1115" w:type="dxa"/>
          </w:tcPr>
          <w:p w14:paraId="7ECF150B">
            <w:pPr>
              <w:autoSpaceDE w:val="0"/>
              <w:autoSpaceDN w:val="0"/>
              <w:adjustRightInd w:val="0"/>
              <w:spacing w:line="420" w:lineRule="exact"/>
              <w:rPr>
                <w:rFonts w:ascii="宋体" w:hAnsi="宋体" w:cs="宋体"/>
                <w:color w:val="auto"/>
                <w:sz w:val="24"/>
                <w:highlight w:val="none"/>
              </w:rPr>
            </w:pPr>
          </w:p>
        </w:tc>
        <w:tc>
          <w:tcPr>
            <w:tcW w:w="1115" w:type="dxa"/>
          </w:tcPr>
          <w:p w14:paraId="1F243517">
            <w:pPr>
              <w:autoSpaceDE w:val="0"/>
              <w:autoSpaceDN w:val="0"/>
              <w:adjustRightInd w:val="0"/>
              <w:spacing w:line="420" w:lineRule="exact"/>
              <w:rPr>
                <w:rFonts w:ascii="宋体" w:hAnsi="宋体" w:cs="宋体"/>
                <w:color w:val="auto"/>
                <w:sz w:val="24"/>
                <w:highlight w:val="none"/>
              </w:rPr>
            </w:pPr>
          </w:p>
        </w:tc>
        <w:tc>
          <w:tcPr>
            <w:tcW w:w="1115" w:type="dxa"/>
          </w:tcPr>
          <w:p w14:paraId="51560811">
            <w:pPr>
              <w:autoSpaceDE w:val="0"/>
              <w:autoSpaceDN w:val="0"/>
              <w:adjustRightInd w:val="0"/>
              <w:spacing w:line="420" w:lineRule="exact"/>
              <w:rPr>
                <w:rFonts w:ascii="宋体" w:hAnsi="宋体" w:cs="宋体"/>
                <w:color w:val="auto"/>
                <w:sz w:val="24"/>
                <w:highlight w:val="none"/>
              </w:rPr>
            </w:pPr>
          </w:p>
        </w:tc>
        <w:tc>
          <w:tcPr>
            <w:tcW w:w="1115" w:type="dxa"/>
          </w:tcPr>
          <w:p w14:paraId="378C61FD">
            <w:pPr>
              <w:autoSpaceDE w:val="0"/>
              <w:autoSpaceDN w:val="0"/>
              <w:adjustRightInd w:val="0"/>
              <w:spacing w:line="420" w:lineRule="exact"/>
              <w:rPr>
                <w:rFonts w:ascii="宋体" w:hAnsi="宋体" w:cs="宋体"/>
                <w:color w:val="auto"/>
                <w:sz w:val="24"/>
                <w:highlight w:val="none"/>
              </w:rPr>
            </w:pPr>
          </w:p>
        </w:tc>
        <w:tc>
          <w:tcPr>
            <w:tcW w:w="1115" w:type="dxa"/>
          </w:tcPr>
          <w:p w14:paraId="7A451194">
            <w:pPr>
              <w:autoSpaceDE w:val="0"/>
              <w:autoSpaceDN w:val="0"/>
              <w:adjustRightInd w:val="0"/>
              <w:spacing w:line="420" w:lineRule="exact"/>
              <w:rPr>
                <w:rFonts w:ascii="宋体" w:hAnsi="宋体" w:cs="宋体"/>
                <w:color w:val="auto"/>
                <w:sz w:val="24"/>
                <w:highlight w:val="none"/>
              </w:rPr>
            </w:pPr>
          </w:p>
        </w:tc>
        <w:tc>
          <w:tcPr>
            <w:tcW w:w="1116" w:type="dxa"/>
          </w:tcPr>
          <w:p w14:paraId="03D44DCE">
            <w:pPr>
              <w:autoSpaceDE w:val="0"/>
              <w:autoSpaceDN w:val="0"/>
              <w:adjustRightInd w:val="0"/>
              <w:spacing w:line="420" w:lineRule="exact"/>
              <w:rPr>
                <w:rFonts w:ascii="宋体" w:hAnsi="宋体" w:cs="宋体"/>
                <w:color w:val="auto"/>
                <w:sz w:val="24"/>
                <w:highlight w:val="none"/>
              </w:rPr>
            </w:pPr>
          </w:p>
        </w:tc>
      </w:tr>
    </w:tbl>
    <w:p w14:paraId="2BB3751C">
      <w:pPr>
        <w:spacing w:line="300" w:lineRule="auto"/>
        <w:rPr>
          <w:rFonts w:ascii="宋体" w:hAnsi="宋体" w:cs="宋体"/>
          <w:b/>
          <w:color w:val="auto"/>
          <w:spacing w:val="20"/>
          <w:kern w:val="0"/>
          <w:sz w:val="24"/>
          <w:highlight w:val="none"/>
        </w:rPr>
      </w:pPr>
    </w:p>
    <w:p w14:paraId="77EEAA6D">
      <w:pPr>
        <w:autoSpaceDE w:val="0"/>
        <w:autoSpaceDN w:val="0"/>
        <w:adjustRightInd w:val="0"/>
        <w:spacing w:line="420" w:lineRule="exact"/>
        <w:rPr>
          <w:rFonts w:ascii="黑体" w:hAnsi="黑体" w:eastAsia="黑体" w:cs="黑体"/>
          <w:b/>
          <w:bCs/>
          <w:color w:val="auto"/>
          <w:sz w:val="28"/>
          <w:szCs w:val="28"/>
          <w:highlight w:val="none"/>
        </w:rPr>
      </w:pPr>
    </w:p>
    <w:p w14:paraId="42ACD380">
      <w:pPr>
        <w:autoSpaceDE w:val="0"/>
        <w:autoSpaceDN w:val="0"/>
        <w:adjustRightInd w:val="0"/>
        <w:spacing w:line="420" w:lineRule="exact"/>
        <w:rPr>
          <w:rFonts w:ascii="黑体" w:hAnsi="黑体" w:eastAsia="黑体" w:cs="黑体"/>
          <w:b/>
          <w:bCs/>
          <w:color w:val="auto"/>
          <w:sz w:val="28"/>
          <w:szCs w:val="28"/>
          <w:highlight w:val="none"/>
        </w:rPr>
      </w:pPr>
    </w:p>
    <w:p w14:paraId="6E5DF98A">
      <w:pPr>
        <w:autoSpaceDE w:val="0"/>
        <w:autoSpaceDN w:val="0"/>
        <w:adjustRightInd w:val="0"/>
        <w:spacing w:line="420" w:lineRule="exact"/>
        <w:rPr>
          <w:rFonts w:ascii="黑体" w:hAnsi="黑体" w:eastAsia="黑体" w:cs="黑体"/>
          <w:b/>
          <w:bCs/>
          <w:color w:val="auto"/>
          <w:sz w:val="28"/>
          <w:szCs w:val="28"/>
          <w:highlight w:val="none"/>
        </w:rPr>
      </w:pPr>
    </w:p>
    <w:p w14:paraId="69FB7A75">
      <w:pPr>
        <w:autoSpaceDE w:val="0"/>
        <w:autoSpaceDN w:val="0"/>
        <w:adjustRightInd w:val="0"/>
        <w:spacing w:line="420" w:lineRule="exact"/>
        <w:rPr>
          <w:rFonts w:ascii="黑体" w:hAnsi="黑体" w:eastAsia="黑体" w:cs="黑体"/>
          <w:b/>
          <w:bCs/>
          <w:color w:val="auto"/>
          <w:sz w:val="28"/>
          <w:szCs w:val="28"/>
          <w:highlight w:val="none"/>
        </w:rPr>
      </w:pPr>
    </w:p>
    <w:p w14:paraId="2D78114D">
      <w:pPr>
        <w:autoSpaceDE w:val="0"/>
        <w:autoSpaceDN w:val="0"/>
        <w:adjustRightInd w:val="0"/>
        <w:spacing w:line="420" w:lineRule="exact"/>
        <w:rPr>
          <w:rFonts w:ascii="黑体" w:hAnsi="黑体" w:eastAsia="黑体" w:cs="黑体"/>
          <w:b/>
          <w:bCs/>
          <w:color w:val="auto"/>
          <w:sz w:val="28"/>
          <w:szCs w:val="28"/>
          <w:highlight w:val="none"/>
        </w:rPr>
      </w:pPr>
    </w:p>
    <w:p w14:paraId="119A1BA0">
      <w:pPr>
        <w:autoSpaceDE w:val="0"/>
        <w:autoSpaceDN w:val="0"/>
        <w:adjustRightInd w:val="0"/>
        <w:spacing w:line="420" w:lineRule="exact"/>
        <w:rPr>
          <w:rFonts w:ascii="黑体" w:hAnsi="黑体" w:eastAsia="黑体" w:cs="黑体"/>
          <w:b/>
          <w:bCs/>
          <w:color w:val="auto"/>
          <w:sz w:val="28"/>
          <w:szCs w:val="28"/>
          <w:highlight w:val="none"/>
        </w:rPr>
      </w:pPr>
    </w:p>
    <w:p w14:paraId="2C8E7DF9">
      <w:pPr>
        <w:autoSpaceDE w:val="0"/>
        <w:autoSpaceDN w:val="0"/>
        <w:adjustRightInd w:val="0"/>
        <w:spacing w:line="420" w:lineRule="exact"/>
        <w:rPr>
          <w:rFonts w:ascii="黑体" w:hAnsi="黑体" w:eastAsia="黑体" w:cs="黑体"/>
          <w:b/>
          <w:bCs/>
          <w:color w:val="auto"/>
          <w:sz w:val="28"/>
          <w:szCs w:val="28"/>
          <w:highlight w:val="none"/>
        </w:rPr>
      </w:pPr>
    </w:p>
    <w:p w14:paraId="2E292247">
      <w:pPr>
        <w:autoSpaceDE w:val="0"/>
        <w:autoSpaceDN w:val="0"/>
        <w:adjustRightInd w:val="0"/>
        <w:spacing w:line="420" w:lineRule="exact"/>
        <w:rPr>
          <w:rFonts w:ascii="黑体" w:hAnsi="黑体" w:eastAsia="黑体" w:cs="黑体"/>
          <w:b/>
          <w:bCs/>
          <w:color w:val="auto"/>
          <w:sz w:val="28"/>
          <w:szCs w:val="28"/>
          <w:highlight w:val="none"/>
        </w:rPr>
      </w:pPr>
    </w:p>
    <w:p w14:paraId="1EB3DBD9">
      <w:pPr>
        <w:autoSpaceDE w:val="0"/>
        <w:autoSpaceDN w:val="0"/>
        <w:adjustRightInd w:val="0"/>
        <w:spacing w:line="420" w:lineRule="exact"/>
        <w:rPr>
          <w:rFonts w:ascii="黑体" w:hAnsi="黑体" w:eastAsia="黑体" w:cs="黑体"/>
          <w:b/>
          <w:bCs/>
          <w:color w:val="auto"/>
          <w:sz w:val="28"/>
          <w:szCs w:val="28"/>
          <w:highlight w:val="none"/>
        </w:rPr>
      </w:pPr>
    </w:p>
    <w:p w14:paraId="2E212E09">
      <w:pPr>
        <w:autoSpaceDE w:val="0"/>
        <w:autoSpaceDN w:val="0"/>
        <w:adjustRightInd w:val="0"/>
        <w:spacing w:line="420" w:lineRule="exact"/>
        <w:rPr>
          <w:rFonts w:ascii="黑体" w:hAnsi="黑体" w:eastAsia="黑体" w:cs="黑体"/>
          <w:b/>
          <w:bCs/>
          <w:color w:val="auto"/>
          <w:sz w:val="28"/>
          <w:szCs w:val="28"/>
          <w:highlight w:val="none"/>
        </w:rPr>
      </w:pPr>
    </w:p>
    <w:p w14:paraId="7F88D1CA">
      <w:pPr>
        <w:autoSpaceDE w:val="0"/>
        <w:autoSpaceDN w:val="0"/>
        <w:adjustRightInd w:val="0"/>
        <w:spacing w:line="420" w:lineRule="exact"/>
        <w:rPr>
          <w:rFonts w:ascii="黑体" w:hAnsi="黑体" w:eastAsia="黑体" w:cs="黑体"/>
          <w:b/>
          <w:bCs/>
          <w:color w:val="auto"/>
          <w:sz w:val="28"/>
          <w:szCs w:val="28"/>
          <w:highlight w:val="none"/>
        </w:rPr>
      </w:pPr>
    </w:p>
    <w:p w14:paraId="32249DED">
      <w:pPr>
        <w:autoSpaceDE w:val="0"/>
        <w:autoSpaceDN w:val="0"/>
        <w:adjustRightInd w:val="0"/>
        <w:spacing w:line="420" w:lineRule="exact"/>
        <w:rPr>
          <w:rFonts w:ascii="黑体" w:hAnsi="黑体" w:eastAsia="黑体" w:cs="黑体"/>
          <w:b/>
          <w:bCs/>
          <w:color w:val="auto"/>
          <w:sz w:val="28"/>
          <w:szCs w:val="28"/>
          <w:highlight w:val="none"/>
        </w:rPr>
      </w:pPr>
    </w:p>
    <w:p w14:paraId="044F3DFD">
      <w:pPr>
        <w:autoSpaceDE w:val="0"/>
        <w:autoSpaceDN w:val="0"/>
        <w:adjustRightInd w:val="0"/>
        <w:spacing w:line="420" w:lineRule="exact"/>
        <w:rPr>
          <w:rFonts w:ascii="黑体" w:hAnsi="黑体" w:eastAsia="黑体" w:cs="黑体"/>
          <w:b/>
          <w:bCs/>
          <w:color w:val="auto"/>
          <w:sz w:val="28"/>
          <w:szCs w:val="28"/>
          <w:highlight w:val="none"/>
        </w:rPr>
      </w:pPr>
    </w:p>
    <w:p w14:paraId="56ABD95A">
      <w:pPr>
        <w:autoSpaceDE w:val="0"/>
        <w:autoSpaceDN w:val="0"/>
        <w:adjustRightInd w:val="0"/>
        <w:spacing w:line="420" w:lineRule="exact"/>
        <w:rPr>
          <w:rFonts w:ascii="黑体" w:hAnsi="黑体" w:eastAsia="黑体" w:cs="黑体"/>
          <w:b/>
          <w:bCs/>
          <w:color w:val="auto"/>
          <w:sz w:val="28"/>
          <w:szCs w:val="28"/>
          <w:highlight w:val="none"/>
        </w:rPr>
      </w:pPr>
    </w:p>
    <w:p w14:paraId="1D3FDACD">
      <w:pPr>
        <w:autoSpaceDE w:val="0"/>
        <w:autoSpaceDN w:val="0"/>
        <w:adjustRightInd w:val="0"/>
        <w:spacing w:line="420" w:lineRule="exact"/>
        <w:rPr>
          <w:rFonts w:ascii="黑体" w:hAnsi="黑体" w:eastAsia="黑体" w:cs="黑体"/>
          <w:b/>
          <w:bCs/>
          <w:color w:val="auto"/>
          <w:sz w:val="28"/>
          <w:szCs w:val="28"/>
          <w:highlight w:val="none"/>
        </w:rPr>
      </w:pPr>
    </w:p>
    <w:p w14:paraId="7DDE836C">
      <w:pPr>
        <w:autoSpaceDE w:val="0"/>
        <w:autoSpaceDN w:val="0"/>
        <w:adjustRightInd w:val="0"/>
        <w:spacing w:line="420" w:lineRule="exact"/>
        <w:rPr>
          <w:rFonts w:ascii="黑体" w:hAnsi="黑体" w:eastAsia="黑体" w:cs="黑体"/>
          <w:b/>
          <w:bCs/>
          <w:color w:val="auto"/>
          <w:sz w:val="28"/>
          <w:szCs w:val="28"/>
          <w:highlight w:val="none"/>
        </w:rPr>
      </w:pPr>
    </w:p>
    <w:p w14:paraId="3BE57041">
      <w:pPr>
        <w:autoSpaceDE w:val="0"/>
        <w:autoSpaceDN w:val="0"/>
        <w:adjustRightInd w:val="0"/>
        <w:spacing w:line="420" w:lineRule="exact"/>
        <w:rPr>
          <w:rFonts w:ascii="黑体" w:hAnsi="黑体" w:eastAsia="黑体" w:cs="黑体"/>
          <w:b/>
          <w:bCs/>
          <w:color w:val="auto"/>
          <w:sz w:val="28"/>
          <w:szCs w:val="28"/>
          <w:highlight w:val="none"/>
        </w:rPr>
      </w:pPr>
    </w:p>
    <w:p w14:paraId="7B885551">
      <w:pPr>
        <w:autoSpaceDE w:val="0"/>
        <w:autoSpaceDN w:val="0"/>
        <w:adjustRightInd w:val="0"/>
        <w:spacing w:line="420" w:lineRule="exact"/>
        <w:rPr>
          <w:rFonts w:ascii="黑体" w:hAnsi="黑体" w:eastAsia="黑体" w:cs="黑体"/>
          <w:b/>
          <w:bCs/>
          <w:color w:val="auto"/>
          <w:sz w:val="28"/>
          <w:szCs w:val="28"/>
          <w:highlight w:val="none"/>
        </w:rPr>
      </w:pPr>
    </w:p>
    <w:p w14:paraId="606FE963">
      <w:pPr>
        <w:autoSpaceDE w:val="0"/>
        <w:autoSpaceDN w:val="0"/>
        <w:adjustRightInd w:val="0"/>
        <w:spacing w:line="420" w:lineRule="exact"/>
        <w:rPr>
          <w:rFonts w:ascii="黑体" w:hAnsi="黑体" w:eastAsia="黑体" w:cs="黑体"/>
          <w:b/>
          <w:bCs/>
          <w:color w:val="auto"/>
          <w:sz w:val="28"/>
          <w:szCs w:val="28"/>
          <w:highlight w:val="none"/>
        </w:rPr>
      </w:pPr>
    </w:p>
    <w:p w14:paraId="7E94F52D">
      <w:pPr>
        <w:autoSpaceDE w:val="0"/>
        <w:autoSpaceDN w:val="0"/>
        <w:adjustRightInd w:val="0"/>
        <w:spacing w:line="420" w:lineRule="exact"/>
        <w:rPr>
          <w:rFonts w:ascii="黑体" w:hAnsi="黑体" w:eastAsia="黑体" w:cs="黑体"/>
          <w:b/>
          <w:bCs/>
          <w:color w:val="auto"/>
          <w:sz w:val="28"/>
          <w:szCs w:val="28"/>
          <w:highlight w:val="none"/>
        </w:rPr>
      </w:pPr>
    </w:p>
    <w:p w14:paraId="5E8E752D">
      <w:pPr>
        <w:autoSpaceDE w:val="0"/>
        <w:autoSpaceDN w:val="0"/>
        <w:adjustRightInd w:val="0"/>
        <w:spacing w:line="420" w:lineRule="exact"/>
        <w:rPr>
          <w:rFonts w:ascii="宋体" w:hAnsi="宋体" w:cs="宋体"/>
          <w:color w:val="auto"/>
          <w:sz w:val="28"/>
          <w:szCs w:val="28"/>
          <w:highlight w:val="none"/>
        </w:rPr>
      </w:pPr>
      <w:r>
        <w:rPr>
          <w:rFonts w:hint="eastAsia" w:ascii="宋体" w:hAnsi="宋体" w:cs="宋体"/>
          <w:color w:val="auto"/>
          <w:spacing w:val="20"/>
          <w:sz w:val="24"/>
          <w:highlight w:val="none"/>
        </w:rPr>
        <w:t xml:space="preserve">附表3          </w:t>
      </w:r>
      <w:r>
        <w:rPr>
          <w:rFonts w:hint="eastAsia" w:ascii="宋体" w:hAnsi="宋体" w:cs="宋体"/>
          <w:color w:val="auto"/>
          <w:sz w:val="28"/>
          <w:szCs w:val="28"/>
          <w:highlight w:val="none"/>
        </w:rPr>
        <w:t xml:space="preserve">  </w:t>
      </w:r>
    </w:p>
    <w:p w14:paraId="70EA9BCE">
      <w:pPr>
        <w:autoSpaceDE w:val="0"/>
        <w:autoSpaceDN w:val="0"/>
        <w:adjustRightInd w:val="0"/>
        <w:spacing w:line="420" w:lineRule="exact"/>
        <w:rPr>
          <w:rFonts w:ascii="宋体" w:hAnsi="宋体" w:cs="宋体"/>
          <w:color w:val="auto"/>
          <w:sz w:val="28"/>
          <w:szCs w:val="28"/>
          <w:highlight w:val="none"/>
        </w:rPr>
      </w:pPr>
    </w:p>
    <w:p w14:paraId="3D1574B5">
      <w:pPr>
        <w:autoSpaceDE w:val="0"/>
        <w:autoSpaceDN w:val="0"/>
        <w:adjustRightInd w:val="0"/>
        <w:spacing w:line="420" w:lineRule="exact"/>
        <w:jc w:val="center"/>
        <w:rPr>
          <w:rFonts w:ascii="宋体" w:hAnsi="宋体" w:cs="宋体"/>
          <w:b/>
          <w:bCs/>
          <w:color w:val="auto"/>
          <w:spacing w:val="20"/>
          <w:sz w:val="28"/>
          <w:szCs w:val="28"/>
          <w:highlight w:val="none"/>
        </w:rPr>
      </w:pPr>
      <w:r>
        <w:rPr>
          <w:rFonts w:hint="eastAsia" w:ascii="宋体" w:hAnsi="宋体" w:cs="宋体"/>
          <w:b/>
          <w:bCs/>
          <w:color w:val="auto"/>
          <w:sz w:val="28"/>
          <w:szCs w:val="28"/>
          <w:highlight w:val="none"/>
        </w:rPr>
        <w:t>拟投入的主要施工机械设备表</w:t>
      </w:r>
    </w:p>
    <w:p w14:paraId="06B6FF28">
      <w:pPr>
        <w:autoSpaceDE w:val="0"/>
        <w:autoSpaceDN w:val="0"/>
        <w:adjustRightInd w:val="0"/>
        <w:spacing w:line="420" w:lineRule="exact"/>
        <w:rPr>
          <w:rFonts w:ascii="黑体" w:hAnsi="黑体" w:eastAsia="黑体" w:cs="黑体"/>
          <w:b/>
          <w:bCs/>
          <w:color w:val="auto"/>
          <w:sz w:val="28"/>
          <w:szCs w:val="28"/>
          <w:highlight w:val="none"/>
        </w:rPr>
      </w:pPr>
    </w:p>
    <w:p w14:paraId="52548ACA">
      <w:pPr>
        <w:autoSpaceDE w:val="0"/>
        <w:autoSpaceDN w:val="0"/>
        <w:adjustRightInd w:val="0"/>
        <w:spacing w:line="420" w:lineRule="exact"/>
        <w:rPr>
          <w:rFonts w:ascii="宋体" w:hAnsi="宋体" w:cs="宋体"/>
          <w:color w:val="auto"/>
          <w:spacing w:val="20"/>
          <w:kern w:val="0"/>
          <w:sz w:val="24"/>
          <w:highlight w:val="none"/>
        </w:rPr>
      </w:pPr>
      <w:r>
        <w:rPr>
          <w:rFonts w:hint="eastAsia" w:ascii="黑体" w:hAnsi="黑体" w:eastAsia="黑体" w:cs="黑体"/>
          <w:color w:val="auto"/>
          <w:spacing w:val="20"/>
          <w:kern w:val="0"/>
          <w:sz w:val="24"/>
          <w:highlight w:val="none"/>
          <w:u w:val="single"/>
        </w:rPr>
        <w:t xml:space="preserve"> </w:t>
      </w: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740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12055BB1">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697" w:type="dxa"/>
            <w:vAlign w:val="center"/>
          </w:tcPr>
          <w:p w14:paraId="6077A747">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机械或</w:t>
            </w:r>
          </w:p>
          <w:p w14:paraId="283CE2EE">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80" w:type="dxa"/>
            <w:vAlign w:val="center"/>
          </w:tcPr>
          <w:p w14:paraId="667EB41B">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68" w:type="dxa"/>
            <w:vAlign w:val="center"/>
          </w:tcPr>
          <w:p w14:paraId="7A45A718">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691" w:type="dxa"/>
            <w:vAlign w:val="center"/>
          </w:tcPr>
          <w:p w14:paraId="04ECE90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4931D61B">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49" w:type="dxa"/>
            <w:vAlign w:val="center"/>
          </w:tcPr>
          <w:p w14:paraId="3F76205B">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3089FFA7">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190" w:type="dxa"/>
            <w:vAlign w:val="center"/>
          </w:tcPr>
          <w:p w14:paraId="4C239647">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额定</w:t>
            </w:r>
          </w:p>
          <w:p w14:paraId="2FE12DBE">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功率(kw)</w:t>
            </w:r>
          </w:p>
        </w:tc>
        <w:tc>
          <w:tcPr>
            <w:tcW w:w="801" w:type="dxa"/>
            <w:vAlign w:val="center"/>
          </w:tcPr>
          <w:p w14:paraId="5A9A87CD">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生产能力</w:t>
            </w:r>
          </w:p>
        </w:tc>
        <w:tc>
          <w:tcPr>
            <w:tcW w:w="903" w:type="dxa"/>
            <w:vAlign w:val="center"/>
          </w:tcPr>
          <w:p w14:paraId="251AF78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用于施</w:t>
            </w:r>
          </w:p>
          <w:p w14:paraId="1979209D">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工部位</w:t>
            </w:r>
          </w:p>
        </w:tc>
        <w:tc>
          <w:tcPr>
            <w:tcW w:w="724" w:type="dxa"/>
            <w:vAlign w:val="center"/>
          </w:tcPr>
          <w:p w14:paraId="46B8F563">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341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24C7725">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56C3A059">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26933DE0">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79F87BEA">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2D65B69C">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7167FB9C">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4CB85AA1">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6E49881">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4ACA118D">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4643590">
            <w:pPr>
              <w:autoSpaceDE w:val="0"/>
              <w:autoSpaceDN w:val="0"/>
              <w:adjustRightInd w:val="0"/>
              <w:spacing w:line="420" w:lineRule="exact"/>
              <w:jc w:val="center"/>
              <w:rPr>
                <w:rFonts w:ascii="宋体" w:hAnsi="宋体" w:cs="宋体"/>
                <w:color w:val="auto"/>
                <w:spacing w:val="20"/>
                <w:kern w:val="0"/>
                <w:sz w:val="24"/>
                <w:highlight w:val="none"/>
              </w:rPr>
            </w:pPr>
          </w:p>
        </w:tc>
      </w:tr>
      <w:tr w14:paraId="6BDA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586AC84">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0E8A494D">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350065C7">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634933F0">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5386F62E">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0497174E">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87323A1">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09F67BBC">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75B95D3C">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1D76DA91">
            <w:pPr>
              <w:autoSpaceDE w:val="0"/>
              <w:autoSpaceDN w:val="0"/>
              <w:adjustRightInd w:val="0"/>
              <w:spacing w:line="420" w:lineRule="exact"/>
              <w:jc w:val="center"/>
              <w:rPr>
                <w:rFonts w:ascii="宋体" w:hAnsi="宋体" w:cs="宋体"/>
                <w:color w:val="auto"/>
                <w:spacing w:val="20"/>
                <w:kern w:val="0"/>
                <w:sz w:val="24"/>
                <w:highlight w:val="none"/>
              </w:rPr>
            </w:pPr>
          </w:p>
        </w:tc>
      </w:tr>
      <w:tr w14:paraId="0F4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3B47D7C">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35688754">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4DBE5E6E">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6E37D8D4">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6D98AFE4">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3D26B608">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30E50325">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7ABED624">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5E90A22F">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0E0DC2F">
            <w:pPr>
              <w:autoSpaceDE w:val="0"/>
              <w:autoSpaceDN w:val="0"/>
              <w:adjustRightInd w:val="0"/>
              <w:spacing w:line="420" w:lineRule="exact"/>
              <w:jc w:val="center"/>
              <w:rPr>
                <w:rFonts w:ascii="宋体" w:hAnsi="宋体" w:cs="宋体"/>
                <w:color w:val="auto"/>
                <w:spacing w:val="20"/>
                <w:kern w:val="0"/>
                <w:sz w:val="24"/>
                <w:highlight w:val="none"/>
              </w:rPr>
            </w:pPr>
          </w:p>
        </w:tc>
      </w:tr>
      <w:tr w14:paraId="69F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367175B">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12F0A00B">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4C91F6D6">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33AC46E5">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1D509B22">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01B46117">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0BF8694">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58A29476">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318D8D53">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109DF646">
            <w:pPr>
              <w:autoSpaceDE w:val="0"/>
              <w:autoSpaceDN w:val="0"/>
              <w:adjustRightInd w:val="0"/>
              <w:spacing w:line="420" w:lineRule="exact"/>
              <w:jc w:val="center"/>
              <w:rPr>
                <w:rFonts w:ascii="宋体" w:hAnsi="宋体" w:cs="宋体"/>
                <w:color w:val="auto"/>
                <w:spacing w:val="20"/>
                <w:kern w:val="0"/>
                <w:sz w:val="24"/>
                <w:highlight w:val="none"/>
              </w:rPr>
            </w:pPr>
          </w:p>
        </w:tc>
      </w:tr>
      <w:tr w14:paraId="6273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78578AFB">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8CACABA">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6A36BFD5">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69C45079">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45189179">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47ECBA1A">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42960EA5">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4A77FF4">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3FF48610">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75441210">
            <w:pPr>
              <w:autoSpaceDE w:val="0"/>
              <w:autoSpaceDN w:val="0"/>
              <w:adjustRightInd w:val="0"/>
              <w:spacing w:line="420" w:lineRule="exact"/>
              <w:jc w:val="center"/>
              <w:rPr>
                <w:rFonts w:ascii="宋体" w:hAnsi="宋体" w:cs="宋体"/>
                <w:color w:val="auto"/>
                <w:spacing w:val="20"/>
                <w:kern w:val="0"/>
                <w:sz w:val="24"/>
                <w:highlight w:val="none"/>
              </w:rPr>
            </w:pPr>
          </w:p>
        </w:tc>
      </w:tr>
      <w:tr w14:paraId="401D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7C8A2C88">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6C0ED399">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5241DB17">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1873A2F">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5330FF10">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6869ACC6">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01325B2E">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7BED4F57">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351728FD">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4DD6E4EA">
            <w:pPr>
              <w:autoSpaceDE w:val="0"/>
              <w:autoSpaceDN w:val="0"/>
              <w:adjustRightInd w:val="0"/>
              <w:spacing w:line="420" w:lineRule="exact"/>
              <w:jc w:val="center"/>
              <w:rPr>
                <w:rFonts w:ascii="宋体" w:hAnsi="宋体" w:cs="宋体"/>
                <w:color w:val="auto"/>
                <w:spacing w:val="20"/>
                <w:kern w:val="0"/>
                <w:sz w:val="24"/>
                <w:highlight w:val="none"/>
              </w:rPr>
            </w:pPr>
          </w:p>
        </w:tc>
      </w:tr>
      <w:tr w14:paraId="36CD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6F8AAF86">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D4A117E">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680E420D">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8184FB6">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01CB3209">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6856BB07">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4BB3C462">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7A2B1667">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38345DE3">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068F4C7E">
            <w:pPr>
              <w:autoSpaceDE w:val="0"/>
              <w:autoSpaceDN w:val="0"/>
              <w:adjustRightInd w:val="0"/>
              <w:spacing w:line="420" w:lineRule="exact"/>
              <w:jc w:val="center"/>
              <w:rPr>
                <w:rFonts w:ascii="宋体" w:hAnsi="宋体" w:cs="宋体"/>
                <w:color w:val="auto"/>
                <w:spacing w:val="20"/>
                <w:kern w:val="0"/>
                <w:sz w:val="24"/>
                <w:highlight w:val="none"/>
              </w:rPr>
            </w:pPr>
          </w:p>
        </w:tc>
      </w:tr>
    </w:tbl>
    <w:p w14:paraId="745A855C">
      <w:pPr>
        <w:spacing w:line="300" w:lineRule="auto"/>
        <w:rPr>
          <w:rFonts w:ascii="黑体" w:hAnsi="黑体" w:eastAsia="黑体" w:cs="黑体"/>
          <w:b/>
          <w:color w:val="auto"/>
          <w:spacing w:val="20"/>
          <w:sz w:val="24"/>
          <w:highlight w:val="none"/>
        </w:rPr>
      </w:pPr>
    </w:p>
    <w:p w14:paraId="707BBE95">
      <w:pPr>
        <w:spacing w:line="300" w:lineRule="auto"/>
        <w:rPr>
          <w:rFonts w:ascii="黑体" w:hAnsi="黑体" w:eastAsia="黑体" w:cs="黑体"/>
          <w:color w:val="auto"/>
          <w:sz w:val="24"/>
          <w:highlight w:val="none"/>
        </w:rPr>
      </w:pPr>
    </w:p>
    <w:p w14:paraId="322B49FE">
      <w:pPr>
        <w:spacing w:line="300" w:lineRule="auto"/>
        <w:rPr>
          <w:rFonts w:ascii="黑体" w:hAnsi="黑体" w:eastAsia="黑体" w:cs="黑体"/>
          <w:b/>
          <w:bCs/>
          <w:color w:val="auto"/>
          <w:sz w:val="28"/>
          <w:szCs w:val="28"/>
          <w:highlight w:val="none"/>
        </w:rPr>
      </w:pPr>
    </w:p>
    <w:p w14:paraId="2B8EA592">
      <w:pPr>
        <w:spacing w:line="300" w:lineRule="auto"/>
        <w:rPr>
          <w:rFonts w:ascii="黑体" w:hAnsi="黑体" w:eastAsia="黑体" w:cs="黑体"/>
          <w:b/>
          <w:bCs/>
          <w:color w:val="auto"/>
          <w:sz w:val="28"/>
          <w:szCs w:val="28"/>
          <w:highlight w:val="none"/>
        </w:rPr>
      </w:pPr>
    </w:p>
    <w:p w14:paraId="2A660D23">
      <w:pPr>
        <w:spacing w:line="300" w:lineRule="auto"/>
        <w:rPr>
          <w:rFonts w:ascii="黑体" w:hAnsi="黑体" w:eastAsia="黑体" w:cs="黑体"/>
          <w:b/>
          <w:bCs/>
          <w:color w:val="auto"/>
          <w:sz w:val="28"/>
          <w:szCs w:val="28"/>
          <w:highlight w:val="none"/>
        </w:rPr>
      </w:pPr>
    </w:p>
    <w:p w14:paraId="585354B1">
      <w:pPr>
        <w:spacing w:line="300" w:lineRule="auto"/>
        <w:rPr>
          <w:rFonts w:ascii="黑体" w:hAnsi="黑体" w:eastAsia="黑体" w:cs="黑体"/>
          <w:b/>
          <w:bCs/>
          <w:color w:val="auto"/>
          <w:sz w:val="28"/>
          <w:szCs w:val="28"/>
          <w:highlight w:val="none"/>
        </w:rPr>
      </w:pPr>
    </w:p>
    <w:p w14:paraId="7FF24802">
      <w:pPr>
        <w:spacing w:line="300" w:lineRule="auto"/>
        <w:rPr>
          <w:rFonts w:ascii="黑体" w:hAnsi="黑体" w:eastAsia="黑体" w:cs="黑体"/>
          <w:b/>
          <w:bCs/>
          <w:color w:val="auto"/>
          <w:sz w:val="28"/>
          <w:szCs w:val="28"/>
          <w:highlight w:val="none"/>
        </w:rPr>
      </w:pPr>
    </w:p>
    <w:p w14:paraId="02D0DF84">
      <w:pPr>
        <w:spacing w:line="300" w:lineRule="auto"/>
        <w:rPr>
          <w:rFonts w:ascii="黑体" w:hAnsi="黑体" w:eastAsia="黑体" w:cs="黑体"/>
          <w:b/>
          <w:bCs/>
          <w:color w:val="auto"/>
          <w:sz w:val="28"/>
          <w:szCs w:val="28"/>
          <w:highlight w:val="none"/>
        </w:rPr>
      </w:pPr>
    </w:p>
    <w:p w14:paraId="408C5EC3">
      <w:pPr>
        <w:spacing w:line="300" w:lineRule="auto"/>
        <w:rPr>
          <w:rFonts w:ascii="黑体" w:hAnsi="黑体" w:eastAsia="黑体" w:cs="黑体"/>
          <w:b/>
          <w:bCs/>
          <w:color w:val="auto"/>
          <w:sz w:val="28"/>
          <w:szCs w:val="28"/>
          <w:highlight w:val="none"/>
        </w:rPr>
      </w:pPr>
    </w:p>
    <w:p w14:paraId="66C82087">
      <w:pPr>
        <w:spacing w:line="300" w:lineRule="auto"/>
        <w:rPr>
          <w:rFonts w:ascii="黑体" w:hAnsi="黑体" w:eastAsia="黑体" w:cs="黑体"/>
          <w:b/>
          <w:bCs/>
          <w:color w:val="auto"/>
          <w:sz w:val="28"/>
          <w:szCs w:val="28"/>
          <w:highlight w:val="none"/>
        </w:rPr>
      </w:pPr>
    </w:p>
    <w:p w14:paraId="66985944">
      <w:pPr>
        <w:spacing w:line="300" w:lineRule="auto"/>
        <w:rPr>
          <w:rFonts w:ascii="宋体" w:hAnsi="宋体" w:cs="宋体"/>
          <w:b/>
          <w:bCs/>
          <w:color w:val="auto"/>
          <w:sz w:val="24"/>
          <w:highlight w:val="none"/>
        </w:rPr>
      </w:pPr>
    </w:p>
    <w:p w14:paraId="152D1039">
      <w:pPr>
        <w:spacing w:line="300" w:lineRule="auto"/>
        <w:rPr>
          <w:rFonts w:ascii="宋体" w:hAnsi="宋体" w:cs="宋体"/>
          <w:color w:val="auto"/>
          <w:sz w:val="24"/>
          <w:highlight w:val="none"/>
        </w:rPr>
      </w:pPr>
      <w:r>
        <w:rPr>
          <w:rFonts w:hint="eastAsia" w:ascii="宋体" w:hAnsi="宋体" w:cs="宋体"/>
          <w:color w:val="auto"/>
          <w:spacing w:val="20"/>
          <w:sz w:val="24"/>
          <w:highlight w:val="none"/>
        </w:rPr>
        <w:t xml:space="preserve">附表4            </w:t>
      </w:r>
      <w:r>
        <w:rPr>
          <w:rFonts w:hint="eastAsia" w:ascii="宋体" w:hAnsi="宋体" w:cs="宋体"/>
          <w:color w:val="auto"/>
          <w:sz w:val="24"/>
          <w:highlight w:val="none"/>
        </w:rPr>
        <w:t xml:space="preserve"> </w:t>
      </w:r>
    </w:p>
    <w:p w14:paraId="15B9DE1C">
      <w:pPr>
        <w:spacing w:line="300" w:lineRule="auto"/>
        <w:jc w:val="center"/>
        <w:rPr>
          <w:rFonts w:ascii="宋体" w:hAnsi="宋体" w:cs="宋体"/>
          <w:b/>
          <w:bCs/>
          <w:color w:val="auto"/>
          <w:spacing w:val="20"/>
          <w:sz w:val="24"/>
          <w:highlight w:val="none"/>
        </w:rPr>
      </w:pPr>
      <w:r>
        <w:rPr>
          <w:rFonts w:hint="eastAsia" w:ascii="宋体" w:hAnsi="宋体" w:cs="宋体"/>
          <w:b/>
          <w:bCs/>
          <w:color w:val="auto"/>
          <w:spacing w:val="20"/>
          <w:sz w:val="24"/>
          <w:highlight w:val="none"/>
        </w:rPr>
        <w:t>拟配备的试验和检测仪器设备表</w:t>
      </w:r>
    </w:p>
    <w:p w14:paraId="3B38DC93">
      <w:pPr>
        <w:pStyle w:val="16"/>
        <w:rPr>
          <w:rFonts w:ascii="宋体" w:hAnsi="宋体" w:cs="宋体"/>
          <w:color w:val="auto"/>
          <w:sz w:val="24"/>
          <w:szCs w:val="24"/>
          <w:highlight w:val="none"/>
        </w:rPr>
      </w:pPr>
    </w:p>
    <w:p w14:paraId="1D1E12AD">
      <w:pPr>
        <w:autoSpaceDE w:val="0"/>
        <w:autoSpaceDN w:val="0"/>
        <w:adjustRightInd w:val="0"/>
        <w:spacing w:line="420" w:lineRule="exact"/>
        <w:rPr>
          <w:rFonts w:ascii="宋体" w:hAnsi="宋体" w:cs="宋体"/>
          <w:color w:val="auto"/>
          <w:spacing w:val="20"/>
          <w:kern w:val="0"/>
          <w:sz w:val="24"/>
          <w:highlight w:val="none"/>
        </w:rPr>
      </w:pP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18F9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12B1F0C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736" w:type="dxa"/>
            <w:vAlign w:val="center"/>
          </w:tcPr>
          <w:p w14:paraId="09652EE6">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仪器</w:t>
            </w:r>
          </w:p>
          <w:p w14:paraId="043ED4ED">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95" w:type="dxa"/>
            <w:vAlign w:val="center"/>
          </w:tcPr>
          <w:p w14:paraId="215F317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84" w:type="dxa"/>
            <w:vAlign w:val="center"/>
          </w:tcPr>
          <w:p w14:paraId="2DA8B40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707" w:type="dxa"/>
            <w:vAlign w:val="center"/>
          </w:tcPr>
          <w:p w14:paraId="77FD6BD4">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085B7941">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69" w:type="dxa"/>
            <w:vAlign w:val="center"/>
          </w:tcPr>
          <w:p w14:paraId="35D0089E">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189E28AE">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218" w:type="dxa"/>
            <w:vAlign w:val="center"/>
          </w:tcPr>
          <w:p w14:paraId="3738324B">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已使用台时数</w:t>
            </w:r>
          </w:p>
        </w:tc>
        <w:tc>
          <w:tcPr>
            <w:tcW w:w="1911" w:type="dxa"/>
            <w:vAlign w:val="center"/>
          </w:tcPr>
          <w:p w14:paraId="6C443DED">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用途</w:t>
            </w:r>
          </w:p>
        </w:tc>
        <w:tc>
          <w:tcPr>
            <w:tcW w:w="694" w:type="dxa"/>
            <w:vAlign w:val="center"/>
          </w:tcPr>
          <w:p w14:paraId="3318E44F">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6DE5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16F5140A">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76CED781">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71180388">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618D1F81">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5C3C3EA9">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05B419E0">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3278DA91">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78A7B4F5">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443341A8">
            <w:pPr>
              <w:autoSpaceDE w:val="0"/>
              <w:autoSpaceDN w:val="0"/>
              <w:adjustRightInd w:val="0"/>
              <w:spacing w:line="420" w:lineRule="exact"/>
              <w:jc w:val="center"/>
              <w:rPr>
                <w:rFonts w:ascii="宋体" w:hAnsi="宋体" w:cs="宋体"/>
                <w:color w:val="auto"/>
                <w:spacing w:val="20"/>
                <w:kern w:val="0"/>
                <w:sz w:val="24"/>
                <w:highlight w:val="none"/>
              </w:rPr>
            </w:pPr>
          </w:p>
        </w:tc>
      </w:tr>
      <w:tr w14:paraId="51A3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32DDE56D">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1016C5D1">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239A7BE0">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3E460889">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2A06EF96">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3F1AA7AA">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1F391833">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710C2D25">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A922A9D">
            <w:pPr>
              <w:autoSpaceDE w:val="0"/>
              <w:autoSpaceDN w:val="0"/>
              <w:adjustRightInd w:val="0"/>
              <w:spacing w:line="420" w:lineRule="exact"/>
              <w:jc w:val="center"/>
              <w:rPr>
                <w:rFonts w:ascii="宋体" w:hAnsi="宋体" w:cs="宋体"/>
                <w:color w:val="auto"/>
                <w:spacing w:val="20"/>
                <w:kern w:val="0"/>
                <w:sz w:val="24"/>
                <w:highlight w:val="none"/>
              </w:rPr>
            </w:pPr>
          </w:p>
        </w:tc>
      </w:tr>
      <w:tr w14:paraId="5882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18C20218">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17AD4B0D">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677E567F">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31E714ED">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16A6ACB3">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2C99204D">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53C18770">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6E6050DD">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28971845">
            <w:pPr>
              <w:autoSpaceDE w:val="0"/>
              <w:autoSpaceDN w:val="0"/>
              <w:adjustRightInd w:val="0"/>
              <w:spacing w:line="420" w:lineRule="exact"/>
              <w:jc w:val="center"/>
              <w:rPr>
                <w:rFonts w:ascii="宋体" w:hAnsi="宋体" w:cs="宋体"/>
                <w:color w:val="auto"/>
                <w:spacing w:val="20"/>
                <w:kern w:val="0"/>
                <w:sz w:val="24"/>
                <w:highlight w:val="none"/>
              </w:rPr>
            </w:pPr>
          </w:p>
        </w:tc>
      </w:tr>
      <w:tr w14:paraId="0B4E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5C49366E">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7D4B1C76">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50DE4852">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08888710">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7F8B6A66">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28990B47">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338197C0">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7C793CCD">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020D02FC">
            <w:pPr>
              <w:autoSpaceDE w:val="0"/>
              <w:autoSpaceDN w:val="0"/>
              <w:adjustRightInd w:val="0"/>
              <w:spacing w:line="420" w:lineRule="exact"/>
              <w:jc w:val="center"/>
              <w:rPr>
                <w:rFonts w:ascii="宋体" w:hAnsi="宋体" w:cs="宋体"/>
                <w:color w:val="auto"/>
                <w:spacing w:val="20"/>
                <w:kern w:val="0"/>
                <w:sz w:val="24"/>
                <w:highlight w:val="none"/>
              </w:rPr>
            </w:pPr>
          </w:p>
        </w:tc>
      </w:tr>
      <w:tr w14:paraId="6A22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1D72EBCA">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707BBB9B">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3E857E10">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04244DC3">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460AAB18">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28BC11C6">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4E769462">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367E5C3A">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CF2D267">
            <w:pPr>
              <w:autoSpaceDE w:val="0"/>
              <w:autoSpaceDN w:val="0"/>
              <w:adjustRightInd w:val="0"/>
              <w:spacing w:line="420" w:lineRule="exact"/>
              <w:jc w:val="center"/>
              <w:rPr>
                <w:rFonts w:ascii="宋体" w:hAnsi="宋体" w:cs="宋体"/>
                <w:color w:val="auto"/>
                <w:spacing w:val="20"/>
                <w:kern w:val="0"/>
                <w:sz w:val="24"/>
                <w:highlight w:val="none"/>
              </w:rPr>
            </w:pPr>
          </w:p>
        </w:tc>
      </w:tr>
    </w:tbl>
    <w:p w14:paraId="1C1982EE">
      <w:pPr>
        <w:spacing w:line="300" w:lineRule="auto"/>
        <w:rPr>
          <w:rFonts w:ascii="黑体" w:hAnsi="黑体" w:eastAsia="黑体" w:cs="黑体"/>
          <w:b/>
          <w:bCs/>
          <w:color w:val="auto"/>
          <w:sz w:val="28"/>
          <w:szCs w:val="28"/>
          <w:highlight w:val="none"/>
        </w:rPr>
      </w:pPr>
    </w:p>
    <w:p w14:paraId="1737D556">
      <w:pPr>
        <w:spacing w:line="300" w:lineRule="auto"/>
        <w:rPr>
          <w:rFonts w:ascii="黑体" w:hAnsi="黑体" w:eastAsia="黑体" w:cs="黑体"/>
          <w:b/>
          <w:bCs/>
          <w:color w:val="auto"/>
          <w:sz w:val="28"/>
          <w:szCs w:val="28"/>
          <w:highlight w:val="none"/>
        </w:rPr>
      </w:pPr>
    </w:p>
    <w:p w14:paraId="4A513019">
      <w:pPr>
        <w:spacing w:line="300" w:lineRule="auto"/>
        <w:rPr>
          <w:rFonts w:ascii="黑体" w:hAnsi="黑体" w:eastAsia="黑体" w:cs="黑体"/>
          <w:b/>
          <w:bCs/>
          <w:color w:val="auto"/>
          <w:sz w:val="28"/>
          <w:szCs w:val="28"/>
          <w:highlight w:val="none"/>
        </w:rPr>
      </w:pPr>
    </w:p>
    <w:p w14:paraId="6E036F5D">
      <w:pPr>
        <w:spacing w:line="300" w:lineRule="auto"/>
        <w:rPr>
          <w:rFonts w:ascii="黑体" w:hAnsi="黑体" w:eastAsia="黑体" w:cs="黑体"/>
          <w:b/>
          <w:bCs/>
          <w:color w:val="auto"/>
          <w:sz w:val="28"/>
          <w:szCs w:val="28"/>
          <w:highlight w:val="none"/>
        </w:rPr>
      </w:pPr>
    </w:p>
    <w:p w14:paraId="4C907ABF">
      <w:pPr>
        <w:spacing w:line="300" w:lineRule="auto"/>
        <w:rPr>
          <w:rFonts w:ascii="黑体" w:hAnsi="黑体" w:eastAsia="黑体" w:cs="黑体"/>
          <w:b/>
          <w:bCs/>
          <w:color w:val="auto"/>
          <w:sz w:val="28"/>
          <w:szCs w:val="28"/>
          <w:highlight w:val="none"/>
        </w:rPr>
      </w:pPr>
    </w:p>
    <w:p w14:paraId="59A5E93B">
      <w:pPr>
        <w:spacing w:line="300" w:lineRule="auto"/>
        <w:rPr>
          <w:rFonts w:ascii="黑体" w:hAnsi="黑体" w:eastAsia="黑体" w:cs="黑体"/>
          <w:b/>
          <w:bCs/>
          <w:color w:val="auto"/>
          <w:sz w:val="28"/>
          <w:szCs w:val="28"/>
          <w:highlight w:val="none"/>
        </w:rPr>
      </w:pPr>
    </w:p>
    <w:p w14:paraId="56EC78D8">
      <w:pPr>
        <w:spacing w:line="300" w:lineRule="auto"/>
        <w:rPr>
          <w:rFonts w:ascii="黑体" w:hAnsi="黑体" w:eastAsia="黑体" w:cs="黑体"/>
          <w:b/>
          <w:bCs/>
          <w:color w:val="auto"/>
          <w:sz w:val="28"/>
          <w:szCs w:val="28"/>
          <w:highlight w:val="none"/>
        </w:rPr>
      </w:pPr>
    </w:p>
    <w:p w14:paraId="31B08DF2">
      <w:pPr>
        <w:spacing w:line="300" w:lineRule="auto"/>
        <w:rPr>
          <w:rFonts w:ascii="黑体" w:hAnsi="黑体" w:eastAsia="黑体" w:cs="黑体"/>
          <w:b/>
          <w:bCs/>
          <w:color w:val="auto"/>
          <w:sz w:val="28"/>
          <w:szCs w:val="28"/>
          <w:highlight w:val="none"/>
        </w:rPr>
      </w:pPr>
    </w:p>
    <w:p w14:paraId="3DD44AFE">
      <w:pPr>
        <w:spacing w:line="300" w:lineRule="auto"/>
        <w:rPr>
          <w:rFonts w:ascii="黑体" w:hAnsi="黑体" w:eastAsia="黑体" w:cs="黑体"/>
          <w:b/>
          <w:bCs/>
          <w:color w:val="auto"/>
          <w:sz w:val="28"/>
          <w:szCs w:val="28"/>
          <w:highlight w:val="none"/>
        </w:rPr>
      </w:pPr>
    </w:p>
    <w:p w14:paraId="36C0BC3B">
      <w:pPr>
        <w:spacing w:line="300" w:lineRule="auto"/>
        <w:rPr>
          <w:rFonts w:ascii="黑体" w:hAnsi="黑体" w:eastAsia="黑体" w:cs="黑体"/>
          <w:b/>
          <w:bCs/>
          <w:color w:val="auto"/>
          <w:sz w:val="28"/>
          <w:szCs w:val="28"/>
          <w:highlight w:val="none"/>
        </w:rPr>
      </w:pPr>
    </w:p>
    <w:p w14:paraId="3EF3F9FB">
      <w:pPr>
        <w:spacing w:line="300" w:lineRule="auto"/>
        <w:rPr>
          <w:rFonts w:ascii="黑体" w:hAnsi="黑体" w:eastAsia="黑体" w:cs="黑体"/>
          <w:b/>
          <w:bCs/>
          <w:color w:val="auto"/>
          <w:sz w:val="28"/>
          <w:szCs w:val="28"/>
          <w:highlight w:val="none"/>
        </w:rPr>
      </w:pPr>
    </w:p>
    <w:p w14:paraId="5B8D7C83">
      <w:pPr>
        <w:spacing w:line="300" w:lineRule="auto"/>
        <w:rPr>
          <w:rFonts w:ascii="黑体" w:hAnsi="黑体" w:eastAsia="黑体" w:cs="黑体"/>
          <w:b/>
          <w:bCs/>
          <w:color w:val="auto"/>
          <w:sz w:val="28"/>
          <w:szCs w:val="28"/>
          <w:highlight w:val="none"/>
        </w:rPr>
      </w:pPr>
    </w:p>
    <w:p w14:paraId="0F454524">
      <w:pPr>
        <w:spacing w:line="300" w:lineRule="auto"/>
        <w:rPr>
          <w:rFonts w:ascii="宋体" w:hAnsi="宋体" w:cs="宋体"/>
          <w:color w:val="auto"/>
          <w:spacing w:val="20"/>
          <w:sz w:val="24"/>
          <w:highlight w:val="none"/>
        </w:rPr>
      </w:pPr>
      <w:r>
        <w:rPr>
          <w:rFonts w:hint="eastAsia" w:ascii="宋体" w:hAnsi="宋体" w:cs="宋体"/>
          <w:color w:val="auto"/>
          <w:spacing w:val="20"/>
          <w:sz w:val="24"/>
          <w:highlight w:val="none"/>
        </w:rPr>
        <w:t xml:space="preserve">附表5  </w:t>
      </w:r>
    </w:p>
    <w:p w14:paraId="31ECC546">
      <w:pPr>
        <w:spacing w:line="300" w:lineRule="auto"/>
        <w:jc w:val="center"/>
        <w:rPr>
          <w:rFonts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计划开、竣工日期和施工进度网络图</w:t>
      </w:r>
    </w:p>
    <w:p w14:paraId="70DA18B8">
      <w:pPr>
        <w:pStyle w:val="16"/>
        <w:rPr>
          <w:color w:val="auto"/>
          <w:highlight w:val="none"/>
        </w:rPr>
      </w:pPr>
    </w:p>
    <w:p w14:paraId="7BA89FFD">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1.供应商应提交施工进度网络图，说明按议价文件要求的工期进行施工的各个关键日期，必须清楚地注明关键线路。成交的供应商还应按合同条件有关条款的要求提交详细的施工进度计划。</w:t>
      </w:r>
    </w:p>
    <w:p w14:paraId="2D2C6A23">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2.施工进度表必须采用网络图表示，说明计划开工日期和各分项工程各阶段的完工日期。</w:t>
      </w:r>
    </w:p>
    <w:p w14:paraId="3911AF98">
      <w:pPr>
        <w:spacing w:line="300" w:lineRule="auto"/>
        <w:ind w:firstLine="480" w:firstLineChars="200"/>
        <w:rPr>
          <w:rFonts w:ascii="宋体" w:hAnsi="宋体" w:cs="宋体"/>
          <w:b/>
          <w:color w:val="auto"/>
          <w:spacing w:val="20"/>
          <w:kern w:val="0"/>
          <w:sz w:val="24"/>
          <w:highlight w:val="none"/>
        </w:rPr>
      </w:pPr>
      <w:r>
        <w:rPr>
          <w:rFonts w:hint="eastAsia" w:ascii="宋体" w:hAnsi="宋体" w:cs="宋体"/>
          <w:color w:val="auto"/>
          <w:sz w:val="24"/>
          <w:highlight w:val="none"/>
        </w:rPr>
        <w:t>3.施工进度计划应与施工组织设计相适应。</w:t>
      </w:r>
    </w:p>
    <w:p w14:paraId="409352E5">
      <w:pPr>
        <w:snapToGrid w:val="0"/>
        <w:spacing w:line="440" w:lineRule="exact"/>
        <w:ind w:firstLine="420"/>
        <w:jc w:val="left"/>
        <w:rPr>
          <w:rFonts w:ascii="宋体" w:hAnsi="宋体" w:cs="宋体"/>
          <w:color w:val="auto"/>
          <w:sz w:val="24"/>
          <w:highlight w:val="none"/>
        </w:rPr>
      </w:pPr>
    </w:p>
    <w:p w14:paraId="3C4D49D7">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38FC67E9">
      <w:pPr>
        <w:snapToGrid w:val="0"/>
        <w:spacing w:line="440" w:lineRule="exact"/>
        <w:ind w:firstLine="420"/>
        <w:jc w:val="left"/>
        <w:rPr>
          <w:rFonts w:ascii="宋体" w:hAnsi="宋体" w:cs="宋体"/>
          <w:color w:val="auto"/>
          <w:sz w:val="24"/>
          <w:highlight w:val="none"/>
        </w:rPr>
      </w:pPr>
    </w:p>
    <w:p w14:paraId="6CAED7DE">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法定代表人（负责人）签字或盖章：</w:t>
      </w:r>
    </w:p>
    <w:p w14:paraId="18EFED9B">
      <w:pPr>
        <w:snapToGrid w:val="0"/>
        <w:spacing w:line="440" w:lineRule="exact"/>
        <w:ind w:firstLine="1440" w:firstLineChars="600"/>
        <w:jc w:val="left"/>
        <w:rPr>
          <w:rFonts w:ascii="宋体" w:hAnsi="宋体" w:cs="宋体"/>
          <w:color w:val="auto"/>
          <w:sz w:val="24"/>
          <w:highlight w:val="none"/>
        </w:rPr>
      </w:pPr>
    </w:p>
    <w:p w14:paraId="0C27A34D">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024F3D44">
      <w:pPr>
        <w:pStyle w:val="13"/>
        <w:spacing w:line="440" w:lineRule="exact"/>
        <w:jc w:val="center"/>
        <w:rPr>
          <w:rFonts w:hAnsi="宋体" w:cs="宋体"/>
          <w:b/>
          <w:bCs/>
          <w:color w:val="auto"/>
          <w:sz w:val="24"/>
          <w:szCs w:val="24"/>
          <w:highlight w:val="none"/>
        </w:rPr>
      </w:pPr>
    </w:p>
    <w:p w14:paraId="5DA5BA3F">
      <w:pPr>
        <w:tabs>
          <w:tab w:val="left" w:pos="1249"/>
        </w:tabs>
        <w:jc w:val="left"/>
        <w:rPr>
          <w:rFonts w:ascii="宋体" w:hAnsi="宋体" w:cs="宋体"/>
          <w:color w:val="auto"/>
          <w:sz w:val="24"/>
          <w:highlight w:val="none"/>
        </w:rPr>
      </w:pPr>
    </w:p>
    <w:p w14:paraId="31AB58D9">
      <w:pPr>
        <w:rPr>
          <w:color w:val="auto"/>
          <w:highlight w:val="none"/>
        </w:rPr>
      </w:pPr>
    </w:p>
    <w:p w14:paraId="1428BF0F">
      <w:pPr>
        <w:pStyle w:val="5"/>
        <w:rPr>
          <w:color w:val="auto"/>
          <w:highlight w:val="none"/>
        </w:rPr>
      </w:pPr>
    </w:p>
    <w:p w14:paraId="2035EB30">
      <w:pPr>
        <w:rPr>
          <w:color w:val="auto"/>
          <w:highlight w:val="none"/>
        </w:rPr>
      </w:pPr>
    </w:p>
    <w:p w14:paraId="7A55DC66">
      <w:pPr>
        <w:pStyle w:val="11"/>
        <w:ind w:left="1260"/>
        <w:rPr>
          <w:color w:val="auto"/>
          <w:highlight w:val="none"/>
        </w:rPr>
      </w:pPr>
    </w:p>
    <w:p w14:paraId="12C51C67">
      <w:pPr>
        <w:rPr>
          <w:color w:val="auto"/>
          <w:highlight w:val="none"/>
        </w:rPr>
      </w:pPr>
    </w:p>
    <w:p w14:paraId="43D7BFD1">
      <w:pPr>
        <w:pStyle w:val="11"/>
        <w:ind w:left="1260"/>
        <w:rPr>
          <w:color w:val="auto"/>
          <w:highlight w:val="none"/>
        </w:rPr>
      </w:pPr>
    </w:p>
    <w:p w14:paraId="249B458A">
      <w:pPr>
        <w:rPr>
          <w:color w:val="auto"/>
          <w:highlight w:val="none"/>
        </w:rPr>
      </w:pPr>
    </w:p>
    <w:p w14:paraId="4466CBFB">
      <w:pPr>
        <w:pStyle w:val="11"/>
        <w:ind w:left="1260"/>
        <w:rPr>
          <w:color w:val="auto"/>
          <w:highlight w:val="none"/>
        </w:rPr>
      </w:pPr>
    </w:p>
    <w:p w14:paraId="24131619">
      <w:pPr>
        <w:rPr>
          <w:color w:val="auto"/>
          <w:highlight w:val="none"/>
        </w:rPr>
      </w:pPr>
    </w:p>
    <w:p w14:paraId="6D3EC300">
      <w:pPr>
        <w:pStyle w:val="11"/>
        <w:ind w:left="1260"/>
        <w:rPr>
          <w:color w:val="auto"/>
          <w:highlight w:val="none"/>
        </w:rPr>
      </w:pPr>
    </w:p>
    <w:p w14:paraId="43B1E3F3">
      <w:pPr>
        <w:rPr>
          <w:color w:val="auto"/>
          <w:highlight w:val="none"/>
        </w:rPr>
      </w:pPr>
    </w:p>
    <w:p w14:paraId="2A9F8849">
      <w:pPr>
        <w:pStyle w:val="11"/>
        <w:ind w:left="1260"/>
        <w:rPr>
          <w:color w:val="auto"/>
          <w:highlight w:val="none"/>
        </w:rPr>
      </w:pPr>
    </w:p>
    <w:p w14:paraId="2F9CC3D1">
      <w:pPr>
        <w:rPr>
          <w:color w:val="auto"/>
          <w:highlight w:val="none"/>
        </w:rPr>
      </w:pPr>
    </w:p>
    <w:p w14:paraId="620E6C17">
      <w:pPr>
        <w:pStyle w:val="11"/>
        <w:ind w:left="1260"/>
        <w:rPr>
          <w:color w:val="auto"/>
          <w:highlight w:val="none"/>
        </w:rPr>
      </w:pPr>
    </w:p>
    <w:p w14:paraId="34BDF5C9">
      <w:pPr>
        <w:rPr>
          <w:color w:val="auto"/>
          <w:highlight w:val="none"/>
        </w:rPr>
      </w:pPr>
    </w:p>
    <w:p w14:paraId="55B2EB3E">
      <w:pPr>
        <w:pStyle w:val="11"/>
        <w:ind w:left="1260"/>
        <w:rPr>
          <w:color w:val="auto"/>
          <w:highlight w:val="none"/>
        </w:rPr>
      </w:pPr>
    </w:p>
    <w:p w14:paraId="12E476C6">
      <w:pPr>
        <w:rPr>
          <w:color w:val="auto"/>
          <w:highlight w:val="none"/>
        </w:rPr>
      </w:pPr>
    </w:p>
    <w:p w14:paraId="0FEAE348">
      <w:pPr>
        <w:pStyle w:val="11"/>
        <w:ind w:left="1260"/>
        <w:rPr>
          <w:color w:val="auto"/>
          <w:highlight w:val="none"/>
        </w:rPr>
      </w:pPr>
    </w:p>
    <w:p w14:paraId="57E86A9B">
      <w:pPr>
        <w:rPr>
          <w:color w:val="auto"/>
          <w:highlight w:val="none"/>
        </w:rPr>
      </w:pPr>
    </w:p>
    <w:p w14:paraId="72C7CF76">
      <w:pPr>
        <w:pStyle w:val="11"/>
        <w:ind w:left="1260"/>
        <w:rPr>
          <w:color w:val="auto"/>
          <w:highlight w:val="none"/>
        </w:rPr>
      </w:pPr>
    </w:p>
    <w:p w14:paraId="6C3B69AC">
      <w:pPr>
        <w:rPr>
          <w:color w:val="auto"/>
          <w:highlight w:val="none"/>
        </w:rPr>
      </w:pPr>
      <w:r>
        <w:rPr>
          <w:color w:val="auto"/>
          <w:highlight w:val="none"/>
        </w:rPr>
        <w:br w:type="page"/>
      </w:r>
    </w:p>
    <w:p w14:paraId="036D5F81">
      <w:pPr>
        <w:jc w:val="both"/>
        <w:rPr>
          <w:rFonts w:hint="default"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7.主材清单一览表（必须提供）</w:t>
      </w:r>
    </w:p>
    <w:p w14:paraId="6FA805F9">
      <w:pPr>
        <w:jc w:val="center"/>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主材</w:t>
      </w:r>
      <w:r>
        <w:rPr>
          <w:rFonts w:hint="eastAsia" w:ascii="宋体" w:hAnsi="宋体" w:eastAsia="宋体" w:cs="宋体"/>
          <w:b/>
          <w:bCs/>
          <w:color w:val="auto"/>
          <w:sz w:val="28"/>
          <w:szCs w:val="28"/>
          <w:highlight w:val="none"/>
          <w:lang w:val="en-US" w:eastAsia="zh-CN"/>
        </w:rPr>
        <w:t>清单一览表</w:t>
      </w:r>
    </w:p>
    <w:tbl>
      <w:tblPr>
        <w:tblStyle w:val="19"/>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681"/>
        <w:gridCol w:w="765"/>
        <w:gridCol w:w="794"/>
        <w:gridCol w:w="1157"/>
        <w:gridCol w:w="934"/>
        <w:gridCol w:w="1073"/>
        <w:gridCol w:w="983"/>
        <w:gridCol w:w="983"/>
      </w:tblGrid>
      <w:tr w14:paraId="22B8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24" w:type="dxa"/>
            <w:noWrap w:val="0"/>
            <w:vAlign w:val="center"/>
          </w:tcPr>
          <w:p w14:paraId="1B3F98F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681" w:type="dxa"/>
            <w:noWrap w:val="0"/>
            <w:vAlign w:val="center"/>
          </w:tcPr>
          <w:p w14:paraId="6B205A9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项目名称及特征描述</w:t>
            </w:r>
          </w:p>
        </w:tc>
        <w:tc>
          <w:tcPr>
            <w:tcW w:w="765" w:type="dxa"/>
            <w:shd w:val="clear" w:color="auto" w:fill="auto"/>
            <w:noWrap w:val="0"/>
            <w:vAlign w:val="center"/>
          </w:tcPr>
          <w:p w14:paraId="0D61C2B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计量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单位</w:t>
            </w:r>
          </w:p>
        </w:tc>
        <w:tc>
          <w:tcPr>
            <w:tcW w:w="794" w:type="dxa"/>
            <w:noWrap w:val="0"/>
            <w:vAlign w:val="center"/>
          </w:tcPr>
          <w:p w14:paraId="2DB35018">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1157" w:type="dxa"/>
            <w:noWrap w:val="0"/>
            <w:vAlign w:val="center"/>
          </w:tcPr>
          <w:p w14:paraId="680A12A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生产厂家</w:t>
            </w:r>
          </w:p>
        </w:tc>
        <w:tc>
          <w:tcPr>
            <w:tcW w:w="934" w:type="dxa"/>
            <w:noWrap w:val="0"/>
            <w:vAlign w:val="center"/>
          </w:tcPr>
          <w:p w14:paraId="60B5DFE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w:t>
            </w:r>
          </w:p>
        </w:tc>
        <w:tc>
          <w:tcPr>
            <w:tcW w:w="1073" w:type="dxa"/>
            <w:noWrap w:val="0"/>
            <w:vAlign w:val="center"/>
          </w:tcPr>
          <w:p w14:paraId="48D7853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983" w:type="dxa"/>
            <w:noWrap w:val="0"/>
            <w:vAlign w:val="center"/>
          </w:tcPr>
          <w:p w14:paraId="18B9663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单价（元）</w:t>
            </w:r>
          </w:p>
        </w:tc>
        <w:tc>
          <w:tcPr>
            <w:tcW w:w="983" w:type="dxa"/>
            <w:noWrap w:val="0"/>
            <w:vAlign w:val="center"/>
          </w:tcPr>
          <w:p w14:paraId="20C2742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合计（元）</w:t>
            </w:r>
          </w:p>
        </w:tc>
      </w:tr>
      <w:tr w14:paraId="212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24" w:type="dxa"/>
            <w:noWrap w:val="0"/>
            <w:vAlign w:val="center"/>
          </w:tcPr>
          <w:p w14:paraId="7915B29C">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1</w:t>
            </w:r>
          </w:p>
        </w:tc>
        <w:tc>
          <w:tcPr>
            <w:tcW w:w="2681" w:type="dxa"/>
            <w:noWrap w:val="0"/>
            <w:vAlign w:val="top"/>
          </w:tcPr>
          <w:p w14:paraId="218E74D2">
            <w:pPr>
              <w:keepNext w:val="0"/>
              <w:keepLines w:val="0"/>
              <w:widowControl/>
              <w:suppressLineNumbers w:val="0"/>
              <w:jc w:val="left"/>
              <w:textAlignment w:val="top"/>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 xml:space="preserve">干式变压器 </w:t>
            </w:r>
            <w:r>
              <w:rPr>
                <w:rFonts w:hint="eastAsia" w:ascii="Times New Roman" w:hAnsi="宋体" w:eastAsia="宋体" w:cs="宋体"/>
                <w:b w:val="0"/>
                <w:bCs w:val="0"/>
                <w:color w:val="auto"/>
                <w:kern w:val="2"/>
                <w:sz w:val="24"/>
                <w:szCs w:val="24"/>
                <w:highlight w:val="none"/>
                <w:lang w:val="en-US" w:eastAsia="zh-CN" w:bidi="ar-SA"/>
              </w:rPr>
              <w:br w:type="textWrapping"/>
            </w:r>
            <w:r>
              <w:rPr>
                <w:rFonts w:hint="eastAsia" w:ascii="Times New Roman" w:hAnsi="宋体" w:eastAsia="宋体" w:cs="宋体"/>
                <w:b w:val="0"/>
                <w:bCs w:val="0"/>
                <w:color w:val="auto"/>
                <w:kern w:val="2"/>
                <w:sz w:val="24"/>
                <w:szCs w:val="24"/>
                <w:highlight w:val="none"/>
                <w:lang w:val="en-US" w:eastAsia="zh-CN" w:bidi="ar-SA"/>
              </w:rPr>
              <w:t>1.型号:SCB14-1250KVA</w:t>
            </w:r>
          </w:p>
        </w:tc>
        <w:tc>
          <w:tcPr>
            <w:tcW w:w="765" w:type="dxa"/>
            <w:shd w:val="clear" w:color="auto" w:fill="auto"/>
            <w:noWrap w:val="0"/>
            <w:vAlign w:val="center"/>
          </w:tcPr>
          <w:p w14:paraId="445FC7DA">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台</w:t>
            </w:r>
          </w:p>
        </w:tc>
        <w:tc>
          <w:tcPr>
            <w:tcW w:w="794" w:type="dxa"/>
            <w:noWrap w:val="0"/>
            <w:vAlign w:val="center"/>
          </w:tcPr>
          <w:p w14:paraId="12AC2E0D">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1</w:t>
            </w:r>
          </w:p>
        </w:tc>
        <w:tc>
          <w:tcPr>
            <w:tcW w:w="1157" w:type="dxa"/>
            <w:noWrap w:val="0"/>
            <w:vAlign w:val="center"/>
          </w:tcPr>
          <w:p w14:paraId="0B9518D5">
            <w:pPr>
              <w:jc w:val="center"/>
              <w:rPr>
                <w:rFonts w:hint="eastAsia" w:ascii="宋体" w:hAnsi="宋体" w:eastAsia="宋体" w:cs="宋体"/>
                <w:color w:val="auto"/>
                <w:sz w:val="21"/>
                <w:szCs w:val="21"/>
                <w:highlight w:val="none"/>
                <w:vertAlign w:val="baseline"/>
                <w:lang w:val="en-US" w:eastAsia="zh-CN"/>
              </w:rPr>
            </w:pPr>
          </w:p>
        </w:tc>
        <w:tc>
          <w:tcPr>
            <w:tcW w:w="934" w:type="dxa"/>
            <w:noWrap w:val="0"/>
            <w:vAlign w:val="center"/>
          </w:tcPr>
          <w:p w14:paraId="72EE47FC">
            <w:pPr>
              <w:jc w:val="center"/>
              <w:rPr>
                <w:rFonts w:hint="eastAsia" w:ascii="宋体" w:hAnsi="宋体" w:eastAsia="宋体" w:cs="宋体"/>
                <w:color w:val="auto"/>
                <w:sz w:val="21"/>
                <w:szCs w:val="21"/>
                <w:highlight w:val="none"/>
                <w:vertAlign w:val="baseline"/>
                <w:lang w:val="en-US" w:eastAsia="zh-CN"/>
              </w:rPr>
            </w:pPr>
          </w:p>
        </w:tc>
        <w:tc>
          <w:tcPr>
            <w:tcW w:w="1073" w:type="dxa"/>
            <w:noWrap w:val="0"/>
            <w:vAlign w:val="center"/>
          </w:tcPr>
          <w:p w14:paraId="60444509">
            <w:pPr>
              <w:jc w:val="center"/>
              <w:rPr>
                <w:rFonts w:hint="eastAsia" w:ascii="宋体" w:hAnsi="宋体" w:eastAsia="宋体" w:cs="宋体"/>
                <w:color w:val="auto"/>
                <w:sz w:val="21"/>
                <w:szCs w:val="21"/>
                <w:highlight w:val="none"/>
                <w:vertAlign w:val="baseline"/>
                <w:lang w:val="en-US" w:eastAsia="zh-CN"/>
              </w:rPr>
            </w:pPr>
          </w:p>
        </w:tc>
        <w:tc>
          <w:tcPr>
            <w:tcW w:w="983" w:type="dxa"/>
            <w:noWrap w:val="0"/>
            <w:vAlign w:val="center"/>
          </w:tcPr>
          <w:p w14:paraId="49C0EAEF">
            <w:pPr>
              <w:jc w:val="center"/>
              <w:rPr>
                <w:rFonts w:hint="eastAsia" w:ascii="宋体" w:hAnsi="宋体" w:eastAsia="宋体" w:cs="宋体"/>
                <w:color w:val="auto"/>
                <w:sz w:val="21"/>
                <w:szCs w:val="21"/>
                <w:highlight w:val="none"/>
                <w:vertAlign w:val="baseline"/>
                <w:lang w:val="en-US" w:eastAsia="zh-CN"/>
              </w:rPr>
            </w:pPr>
          </w:p>
        </w:tc>
        <w:tc>
          <w:tcPr>
            <w:tcW w:w="983" w:type="dxa"/>
            <w:noWrap w:val="0"/>
            <w:vAlign w:val="center"/>
          </w:tcPr>
          <w:p w14:paraId="5C8AA1EB">
            <w:pPr>
              <w:jc w:val="center"/>
              <w:rPr>
                <w:rFonts w:hint="eastAsia" w:ascii="宋体" w:hAnsi="宋体" w:eastAsia="宋体" w:cs="宋体"/>
                <w:color w:val="auto"/>
                <w:sz w:val="21"/>
                <w:szCs w:val="21"/>
                <w:highlight w:val="none"/>
                <w:vertAlign w:val="baseline"/>
                <w:lang w:val="en-US" w:eastAsia="zh-CN"/>
              </w:rPr>
            </w:pPr>
          </w:p>
        </w:tc>
      </w:tr>
      <w:tr w14:paraId="096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24" w:type="dxa"/>
            <w:noWrap w:val="0"/>
            <w:vAlign w:val="center"/>
          </w:tcPr>
          <w:p w14:paraId="5B4CD17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2</w:t>
            </w:r>
          </w:p>
        </w:tc>
        <w:tc>
          <w:tcPr>
            <w:tcW w:w="2681" w:type="dxa"/>
            <w:noWrap w:val="0"/>
            <w:vAlign w:val="center"/>
          </w:tcPr>
          <w:p w14:paraId="332943D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电力电缆普通敷设 YJV-1kV-1×240</w:t>
            </w:r>
          </w:p>
        </w:tc>
        <w:tc>
          <w:tcPr>
            <w:tcW w:w="765" w:type="dxa"/>
            <w:shd w:val="clear" w:color="auto" w:fill="auto"/>
            <w:noWrap w:val="0"/>
            <w:vAlign w:val="center"/>
          </w:tcPr>
          <w:p w14:paraId="7AD2248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m</w:t>
            </w:r>
          </w:p>
        </w:tc>
        <w:tc>
          <w:tcPr>
            <w:tcW w:w="794" w:type="dxa"/>
            <w:noWrap w:val="0"/>
            <w:vAlign w:val="center"/>
          </w:tcPr>
          <w:p w14:paraId="6687BD6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Times New Roman" w:hAnsi="宋体" w:eastAsia="宋体" w:cs="宋体"/>
                <w:b w:val="0"/>
                <w:bCs w:val="0"/>
                <w:color w:val="auto"/>
                <w:kern w:val="2"/>
                <w:sz w:val="24"/>
                <w:szCs w:val="24"/>
                <w:highlight w:val="none"/>
                <w:lang w:val="en-US" w:eastAsia="zh-CN" w:bidi="ar-SA"/>
              </w:rPr>
              <w:t>5.00</w:t>
            </w:r>
          </w:p>
        </w:tc>
        <w:tc>
          <w:tcPr>
            <w:tcW w:w="1157" w:type="dxa"/>
            <w:noWrap w:val="0"/>
            <w:vAlign w:val="center"/>
          </w:tcPr>
          <w:p w14:paraId="49F5D71E">
            <w:pPr>
              <w:jc w:val="center"/>
              <w:rPr>
                <w:rFonts w:hint="eastAsia" w:ascii="宋体" w:hAnsi="宋体" w:eastAsia="宋体" w:cs="宋体"/>
                <w:color w:val="auto"/>
                <w:sz w:val="21"/>
                <w:szCs w:val="21"/>
                <w:highlight w:val="none"/>
                <w:vertAlign w:val="baseline"/>
                <w:lang w:val="en-US" w:eastAsia="zh-CN"/>
              </w:rPr>
            </w:pPr>
          </w:p>
        </w:tc>
        <w:tc>
          <w:tcPr>
            <w:tcW w:w="934" w:type="dxa"/>
            <w:noWrap w:val="0"/>
            <w:vAlign w:val="center"/>
          </w:tcPr>
          <w:p w14:paraId="3E1DD6A9">
            <w:pPr>
              <w:jc w:val="center"/>
              <w:rPr>
                <w:rFonts w:hint="eastAsia" w:ascii="宋体" w:hAnsi="宋体" w:eastAsia="宋体" w:cs="宋体"/>
                <w:color w:val="auto"/>
                <w:sz w:val="21"/>
                <w:szCs w:val="21"/>
                <w:highlight w:val="none"/>
                <w:vertAlign w:val="baseline"/>
                <w:lang w:val="en-US" w:eastAsia="zh-CN"/>
              </w:rPr>
            </w:pPr>
          </w:p>
        </w:tc>
        <w:tc>
          <w:tcPr>
            <w:tcW w:w="1073" w:type="dxa"/>
            <w:noWrap w:val="0"/>
            <w:vAlign w:val="center"/>
          </w:tcPr>
          <w:p w14:paraId="0E7E3114">
            <w:pPr>
              <w:jc w:val="center"/>
              <w:rPr>
                <w:rFonts w:hint="eastAsia" w:ascii="宋体" w:hAnsi="宋体" w:eastAsia="宋体" w:cs="宋体"/>
                <w:color w:val="auto"/>
                <w:sz w:val="21"/>
                <w:szCs w:val="21"/>
                <w:highlight w:val="none"/>
                <w:vertAlign w:val="baseline"/>
                <w:lang w:val="en-US" w:eastAsia="zh-CN"/>
              </w:rPr>
            </w:pPr>
          </w:p>
        </w:tc>
        <w:tc>
          <w:tcPr>
            <w:tcW w:w="983" w:type="dxa"/>
            <w:noWrap w:val="0"/>
            <w:vAlign w:val="center"/>
          </w:tcPr>
          <w:p w14:paraId="16EA2225">
            <w:pPr>
              <w:jc w:val="center"/>
              <w:rPr>
                <w:rFonts w:hint="eastAsia" w:ascii="宋体" w:hAnsi="宋体" w:eastAsia="宋体" w:cs="宋体"/>
                <w:color w:val="auto"/>
                <w:sz w:val="21"/>
                <w:szCs w:val="21"/>
                <w:highlight w:val="none"/>
                <w:vertAlign w:val="baseline"/>
                <w:lang w:val="en-US" w:eastAsia="zh-CN"/>
              </w:rPr>
            </w:pPr>
          </w:p>
        </w:tc>
        <w:tc>
          <w:tcPr>
            <w:tcW w:w="983" w:type="dxa"/>
            <w:noWrap w:val="0"/>
            <w:vAlign w:val="center"/>
          </w:tcPr>
          <w:p w14:paraId="02148DC6">
            <w:pPr>
              <w:jc w:val="center"/>
              <w:rPr>
                <w:rFonts w:hint="eastAsia" w:ascii="宋体" w:hAnsi="宋体" w:eastAsia="宋体" w:cs="宋体"/>
                <w:color w:val="auto"/>
                <w:sz w:val="21"/>
                <w:szCs w:val="21"/>
                <w:highlight w:val="none"/>
                <w:vertAlign w:val="baseline"/>
                <w:lang w:val="en-US" w:eastAsia="zh-CN"/>
              </w:rPr>
            </w:pPr>
          </w:p>
        </w:tc>
      </w:tr>
    </w:tbl>
    <w:p w14:paraId="04451100">
      <w:pPr>
        <w:rPr>
          <w:color w:val="auto"/>
          <w:highlight w:val="none"/>
        </w:rPr>
      </w:pPr>
      <w:r>
        <w:rPr>
          <w:color w:val="auto"/>
          <w:highlight w:val="none"/>
        </w:rPr>
        <w:br w:type="page"/>
      </w:r>
    </w:p>
    <w:p w14:paraId="353A9C53">
      <w:pPr>
        <w:pStyle w:val="23"/>
        <w:rPr>
          <w:color w:val="auto"/>
          <w:highlight w:val="none"/>
        </w:rPr>
      </w:pPr>
    </w:p>
    <w:p w14:paraId="054DDCA6">
      <w:pPr>
        <w:numPr>
          <w:ilvl w:val="255"/>
          <w:numId w:val="0"/>
        </w:numPr>
        <w:rPr>
          <w:color w:val="auto"/>
          <w:highlight w:val="none"/>
        </w:rPr>
      </w:pPr>
    </w:p>
    <w:p w14:paraId="2DA55E30">
      <w:pPr>
        <w:pStyle w:val="3"/>
        <w:spacing w:line="0" w:lineRule="atLeast"/>
        <w:jc w:val="center"/>
        <w:rPr>
          <w:rFonts w:ascii="宋体" w:hAnsi="宋体" w:eastAsia="宋体" w:cs="宋体"/>
          <w:color w:val="auto"/>
          <w:highlight w:val="none"/>
        </w:rPr>
      </w:pPr>
      <w:bookmarkStart w:id="11" w:name="_Toc429488166"/>
      <w:bookmarkStart w:id="12" w:name="_Toc667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工程量清单、</w:t>
      </w:r>
      <w:r>
        <w:rPr>
          <w:rFonts w:hint="eastAsia" w:ascii="宋体" w:hAnsi="宋体" w:eastAsia="宋体" w:cs="宋体"/>
          <w:color w:val="auto"/>
          <w:highlight w:val="none"/>
        </w:rPr>
        <w:t>图纸（另附）</w:t>
      </w:r>
      <w:bookmarkEnd w:id="11"/>
      <w:bookmarkEnd w:id="12"/>
    </w:p>
    <w:p w14:paraId="42DE66C1">
      <w:pPr>
        <w:numPr>
          <w:ilvl w:val="255"/>
          <w:numId w:val="0"/>
        </w:numPr>
        <w:rPr>
          <w:color w:val="auto"/>
          <w:highlight w:val="none"/>
        </w:rPr>
      </w:pPr>
    </w:p>
    <w:p w14:paraId="2C0035AE">
      <w:pPr>
        <w:rPr>
          <w:color w:val="auto"/>
          <w:highlight w:val="none"/>
        </w:rPr>
      </w:pPr>
    </w:p>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33D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27AE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5C27AE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621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764EE6">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764EE6">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52A3">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B7097B">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4B7097B">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59DF"/>
    <w:multiLevelType w:val="singleLevel"/>
    <w:tmpl w:val="81AF59DF"/>
    <w:lvl w:ilvl="0" w:tentative="0">
      <w:start w:val="2"/>
      <w:numFmt w:val="chineseCounting"/>
      <w:suff w:val="nothing"/>
      <w:lvlText w:val="%1、"/>
      <w:lvlJc w:val="left"/>
      <w:rPr>
        <w:rFonts w:hint="eastAsia"/>
      </w:rPr>
    </w:lvl>
  </w:abstractNum>
  <w:abstractNum w:abstractNumId="1">
    <w:nsid w:val="CAF353C4"/>
    <w:multiLevelType w:val="singleLevel"/>
    <w:tmpl w:val="CAF353C4"/>
    <w:lvl w:ilvl="0" w:tentative="0">
      <w:start w:val="5"/>
      <w:numFmt w:val="decimal"/>
      <w:lvlText w:val="%1."/>
      <w:lvlJc w:val="left"/>
      <w:pPr>
        <w:tabs>
          <w:tab w:val="left" w:pos="312"/>
        </w:tabs>
      </w:pPr>
    </w:lvl>
  </w:abstractNum>
  <w:abstractNum w:abstractNumId="2">
    <w:nsid w:val="DE0B8CE3"/>
    <w:multiLevelType w:val="singleLevel"/>
    <w:tmpl w:val="DE0B8CE3"/>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NTRjNzQyNmI4ZGJhMWEwNTZlMzMxMjA2OWZhNjYifQ=="/>
  </w:docVars>
  <w:rsids>
    <w:rsidRoot w:val="1956703D"/>
    <w:rsid w:val="034364A3"/>
    <w:rsid w:val="042407A9"/>
    <w:rsid w:val="07106F9A"/>
    <w:rsid w:val="0D543020"/>
    <w:rsid w:val="0D5B3E84"/>
    <w:rsid w:val="10111E6E"/>
    <w:rsid w:val="122B2E9B"/>
    <w:rsid w:val="12BC6049"/>
    <w:rsid w:val="14122F91"/>
    <w:rsid w:val="179626E2"/>
    <w:rsid w:val="1956703D"/>
    <w:rsid w:val="1C8670CE"/>
    <w:rsid w:val="1D3728BF"/>
    <w:rsid w:val="1ED01014"/>
    <w:rsid w:val="1FD47FE6"/>
    <w:rsid w:val="2096302C"/>
    <w:rsid w:val="23B12914"/>
    <w:rsid w:val="242D4168"/>
    <w:rsid w:val="24DD03FB"/>
    <w:rsid w:val="298813D2"/>
    <w:rsid w:val="2A5D0B25"/>
    <w:rsid w:val="2B161A0E"/>
    <w:rsid w:val="376E373C"/>
    <w:rsid w:val="383904D5"/>
    <w:rsid w:val="39ED26B6"/>
    <w:rsid w:val="3A4D3C2C"/>
    <w:rsid w:val="3F4D4411"/>
    <w:rsid w:val="42BD3217"/>
    <w:rsid w:val="45A56162"/>
    <w:rsid w:val="47653168"/>
    <w:rsid w:val="4D375DE3"/>
    <w:rsid w:val="5268120F"/>
    <w:rsid w:val="529F51CF"/>
    <w:rsid w:val="54BC2435"/>
    <w:rsid w:val="54F83FD0"/>
    <w:rsid w:val="5AC00605"/>
    <w:rsid w:val="5F2A26EF"/>
    <w:rsid w:val="63150132"/>
    <w:rsid w:val="67CD7932"/>
    <w:rsid w:val="6E8E393F"/>
    <w:rsid w:val="6F966D02"/>
    <w:rsid w:val="705800F5"/>
    <w:rsid w:val="768B71FB"/>
    <w:rsid w:val="77BD4E99"/>
    <w:rsid w:val="791C4905"/>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annotation text"/>
    <w:basedOn w:val="1"/>
    <w:autoRedefine/>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460" w:lineRule="exact"/>
      <w:ind w:firstLine="560"/>
    </w:pPr>
    <w:rPr>
      <w:sz w:val="28"/>
      <w:szCs w:val="20"/>
    </w:rPr>
  </w:style>
  <w:style w:type="paragraph" w:customStyle="1" w:styleId="10">
    <w:name w:val="样式 正文文本缩进 + 首行缩进:  2 字符 行距: 1.5 倍行距"/>
    <w:basedOn w:val="9"/>
    <w:qFormat/>
    <w:uiPriority w:val="0"/>
    <w:rPr>
      <w:rFonts w:cs="宋体"/>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next w:val="6"/>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7"/>
    <w:autoRedefine/>
    <w:qFormat/>
    <w:uiPriority w:val="99"/>
    <w:pPr>
      <w:ind w:firstLine="420"/>
    </w:pPr>
  </w:style>
  <w:style w:type="paragraph" w:customStyle="1" w:styleId="17">
    <w:name w:val="**正文"/>
    <w:basedOn w:val="1"/>
    <w:qFormat/>
    <w:uiPriority w:val="0"/>
    <w:pPr>
      <w:ind w:firstLine="482"/>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unhideWhenUsed/>
    <w:qFormat/>
    <w:uiPriority w:val="99"/>
    <w:rPr>
      <w:sz w:val="21"/>
      <w:szCs w:val="21"/>
    </w:rPr>
  </w:style>
  <w:style w:type="paragraph" w:customStyle="1" w:styleId="23">
    <w:name w:val="BodyText"/>
    <w:basedOn w:val="1"/>
    <w:qFormat/>
    <w:uiPriority w:val="0"/>
    <w:pPr>
      <w:spacing w:line="380" w:lineRule="exact"/>
    </w:pPr>
    <w:rPr>
      <w:sz w:val="24"/>
    </w:rPr>
  </w:style>
  <w:style w:type="paragraph" w:customStyle="1" w:styleId="24">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Table Text"/>
    <w:basedOn w:val="1"/>
    <w:semiHidden/>
    <w:qFormat/>
    <w:uiPriority w:val="0"/>
    <w:rPr>
      <w:rFonts w:ascii="宋体" w:hAnsi="宋体" w:cs="宋体"/>
      <w:sz w:val="20"/>
      <w:szCs w:val="20"/>
      <w:lang w:eastAsia="en-US"/>
    </w:rPr>
  </w:style>
  <w:style w:type="paragraph" w:styleId="26">
    <w:name w:val="List Paragraph"/>
    <w:basedOn w:val="1"/>
    <w:qFormat/>
    <w:uiPriority w:val="1"/>
    <w:pPr>
      <w:ind w:left="218" w:firstLine="424"/>
    </w:pPr>
    <w:rPr>
      <w:rFonts w:ascii="宋体" w:hAnsi="宋体" w:cs="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首行缩进"/>
    <w:basedOn w:val="1"/>
    <w:qFormat/>
    <w:uiPriority w:val="0"/>
    <w:pPr>
      <w:ind w:firstLine="480" w:firstLineChars="200"/>
    </w:pPr>
  </w:style>
  <w:style w:type="paragraph" w:styleId="3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16877</Words>
  <Characters>18159</Characters>
  <Lines>0</Lines>
  <Paragraphs>0</Paragraphs>
  <TotalTime>2</TotalTime>
  <ScaleCrop>false</ScaleCrop>
  <LinksUpToDate>false</LinksUpToDate>
  <CharactersWithSpaces>19457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2025-09-16T07:21:12Z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3084ABDD9E3E4C8EBC5D59756D995547_13</vt:lpwstr>
  </property>
  <property fmtid="{D5CDD505-2E9C-101B-9397-08002B2CF9AE}" pid="4" name="KSOTemplateDocerSaveRecord">
    <vt:lpwstr>eyJoZGlkIjoiMjU4OGYyYzk4NzIyNWIxNDRlYWY3YTgyY2I2YzVmNzgiLCJ1c2VySWQiOiIyNzI4OTA3MjUifQ==</vt:lpwstr>
  </property>
</Properties>
</file>