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868" w:type="dxa"/>
        <w:jc w:val="center"/>
        <w:shd w:val="clear" w:color="auto" w:fill="auto"/>
        <w:tblLayout w:type="fixed"/>
        <w:tblCellMar>
          <w:top w:w="0" w:type="dxa"/>
          <w:left w:w="108" w:type="dxa"/>
          <w:bottom w:w="0" w:type="dxa"/>
          <w:right w:w="108" w:type="dxa"/>
        </w:tblCellMar>
      </w:tblPr>
      <w:tblGrid>
        <w:gridCol w:w="1050"/>
        <w:gridCol w:w="2115"/>
        <w:gridCol w:w="5595"/>
        <w:gridCol w:w="698"/>
        <w:gridCol w:w="720"/>
        <w:gridCol w:w="690"/>
      </w:tblGrid>
      <w:tr w14:paraId="33A13D2B">
        <w:tblPrEx>
          <w:tblCellMar>
            <w:top w:w="0" w:type="dxa"/>
            <w:left w:w="108" w:type="dxa"/>
            <w:bottom w:w="0" w:type="dxa"/>
            <w:right w:w="108" w:type="dxa"/>
          </w:tblCellMar>
        </w:tblPrEx>
        <w:trPr>
          <w:trHeight w:val="525" w:hRule="atLeast"/>
          <w:jc w:val="center"/>
        </w:trPr>
        <w:tc>
          <w:tcPr>
            <w:tcW w:w="10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DE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D4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检测内容</w:t>
            </w:r>
          </w:p>
        </w:tc>
        <w:tc>
          <w:tcPr>
            <w:tcW w:w="559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121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技术参数</w:t>
            </w:r>
          </w:p>
        </w:tc>
        <w:tc>
          <w:tcPr>
            <w:tcW w:w="69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CE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检测方法</w:t>
            </w:r>
          </w:p>
        </w:tc>
        <w:tc>
          <w:tcPr>
            <w:tcW w:w="7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9C7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产品周期</w:t>
            </w:r>
          </w:p>
        </w:tc>
        <w:tc>
          <w:tcPr>
            <w:tcW w:w="69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81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样本类型</w:t>
            </w:r>
          </w:p>
        </w:tc>
      </w:tr>
      <w:tr w14:paraId="07E6EE6A">
        <w:tblPrEx>
          <w:shd w:val="clear" w:color="auto" w:fill="auto"/>
          <w:tblCellMar>
            <w:top w:w="0" w:type="dxa"/>
            <w:left w:w="108" w:type="dxa"/>
            <w:bottom w:w="0" w:type="dxa"/>
            <w:right w:w="108" w:type="dxa"/>
          </w:tblCellMar>
        </w:tblPrEx>
        <w:trPr>
          <w:trHeight w:val="6645"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0E993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胎儿染色体非整倍体无创基因检测</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05AF4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检测21三体综合征、18三体综合征和13三体综合征。</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284B5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1.检测内容：21三体综合征、18三体综合征和13三体综合征。2.附加可提示其它染色体异常。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检测准确性：按卫健委要求，胎儿染色体非整倍体基因检测，21三体综合征检出率应不低于95%，18三体综合征检出率应不低于85%，13三体综合征检出率应不低于70%；复合假阳性率应不高于0.5%。4.样本要求：孕妇外周血5-10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5.检测周期：不大于10个工作日。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6.数据量：每个样本唯一比对序列数(Unique reads,UR)不少于3.5M reads。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7.检测设备和检测试剂均具备药监局批准可用于临床检测（提供医疗器械注册证或备案凭证复印件）。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8.胎儿染色体非整倍体基因检测软件获得药品监督管理局颁发的医疗器械注册证（提供注册证复印件）。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有较强的技术开发能力，胎儿染色体非整倍体基因检测项目获得由国家知识产权局颁发的中国专利优秀奖。（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10.具有充足临床经验，胎儿染色体非整倍体基因检测项目已完成检测例数大于1000万例。（若投标人为子公司的，可提供所属集团公司的佐证材料；若投标人为代理商的，可提供厂家的佐证材料）。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11.投标人近五年每年均参与全国外周血胎儿染色体非整倍体（T21、T18、T13）高通量测序室间质评，并合格通过，需提供室间质评合格证书（投标人成立时间不足五年的可从成立之日起计算，即每年均需提供）。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12.具有良好的科研能力，胎儿无创产前基因检测项目发表SCI文章80篇以上，需提供文章清单。（若投标人为子公司的，可提供所属集团公司的佐证材料；若投标人为代理商的，可提供厂家的佐证材料）。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13.为提高检测成功率，使用胎儿浓度富集技术以提高胎儿浓度。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14.可针对多条染色体离群而导致检测失败的样本提供孕期肿瘤风险评估以进一步排查检测失败原因（提供脱敏版真实检测报告）。</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271116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1AB16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不大于10个工作日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10BC2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孕妇外周血5-10mL</w:t>
            </w:r>
          </w:p>
        </w:tc>
      </w:tr>
      <w:tr w14:paraId="078F4CBA">
        <w:tblPrEx>
          <w:shd w:val="clear" w:color="auto" w:fill="auto"/>
          <w:tblCellMar>
            <w:top w:w="0" w:type="dxa"/>
            <w:left w:w="108" w:type="dxa"/>
            <w:bottom w:w="0" w:type="dxa"/>
            <w:right w:w="108" w:type="dxa"/>
          </w:tblCellMar>
        </w:tblPrEx>
        <w:trPr>
          <w:trHeight w:val="741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435D4D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胎儿染色体非整倍体无创基因检测PLUS</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709CB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检测21三体综合征、18 三体综合征和13 三体综合征、性染色体异常在内的其它染色体非整倍体异常，不少于90种临床意义明确的染色体缺失重复综合征。</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25198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1.检测内容：21三体综合征、18 三体综合征和13 三体综合征、性染色体异常在内的其它染色体非整倍体异常，不少于90种临床意义明确的染色体缺失重复综合征。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2.可检测其它不少于40种染色体非整倍体异常。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3.可额外提示母体DMD外显子缺失。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4.检测准确性：按卫健委要求，胎儿染色体非整倍体基因检测，21 三体综合征检出率应不低于95%，18 三体综合征检出率应不低于85%，13 三体综合征检出率应不低于70%；复合假阳性率应不高于0.5%。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5.CNV复合阳性预测值不低于50%（提供前瞻性队列文章）（若投标人为子公司的，可提供所属集团公司的佐证材料）。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6.样本要求：孕妇外周血5-10mL。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7.检测周期：不大于10个工作日。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8.数据量：每个样本唯一比对序列数(Unique reads,UR)不少于10M reads。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9.检测范围内的CNV可通过算法区分变异来源（附文章证明）。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较强的技术开发能力，胎儿染色体非整倍体基因检测项目获得由国家知识产权局颁发中国专利优秀奖。（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11.具有丰富的临床经验，胎儿染色体非整倍体基因检测项目已完成检测例数大于1000万例。（若投标人为子公司的，可提供所属集团公司的佐证材料；若投标人为代理商的，可提供厂家的佐证材料）。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12.投标人近五年每年均参与全国外周血胎儿染色体非整倍体（T21、T18、T13）高通量检测室间质评，并合格通过，需提供室间质评合格证书（投标人成立时间不足五年的可从成立之日起计算，即每年均需提供）。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13.具有良好的科研能力，胎儿无创产前基因检测项目发表SCI文章80篇以上，需提供文章清单。（若投标人为子公司的，可提供所属集团公司的佐证材料；若投标人为代理商的，可提供厂家的佐证材料）。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14.为提高检测成功率，使用胎儿浓度富集技术以提高胎儿浓度。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可针对多条染色体离群而导致检测失败的样本提供孕期肿瘤风险评估以进一步排查检测失败原因（提供脱敏版真实检测报告）。</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21B806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36C5A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不大于10个工作日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2DE82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孕妇外周血5-10mL</w:t>
            </w:r>
          </w:p>
        </w:tc>
      </w:tr>
      <w:tr w14:paraId="49BC1820">
        <w:tblPrEx>
          <w:shd w:val="clear" w:color="auto" w:fill="auto"/>
          <w:tblCellMar>
            <w:top w:w="0" w:type="dxa"/>
            <w:left w:w="108" w:type="dxa"/>
            <w:bottom w:w="0" w:type="dxa"/>
            <w:right w:w="108" w:type="dxa"/>
          </w:tblCellMar>
        </w:tblPrEx>
        <w:trPr>
          <w:trHeight w:val="5115"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7AA1E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产前：染色体高通量测序分析CNV-seq(100K)</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044C8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检测23对染色体非整倍体、100K以上的缺失重复，并可提示宫内病原感染。</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79A2C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1.检测内容：23对染色体非整倍体、100K以上的缺失重复，并可提示宫内病原感染。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2.检测方法：高通量测序技术。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3.样本类型：羊水、DNA、外周血等。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4.报告周期：收到合格样本7个自然日内。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5.数据量：唯一比对序列数(Unique reads,UR)不少于15M reads。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6.可检测嵌合比例≥10%以上的染色体非整倍体。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7.检测设备获得NMPA认证，且可用于对来源于人体样本的脱氧核糖核苷酸（DNA）和核糖核酸（RNA）进行测序，以检测基因变化（提供注册证复印件）。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室间质量评价：投标人近三年每年均参与国家临床检验中心组织的染色体基因组结构异常室间质量评价，并合格通过，需提供室间质评合格证书（投标人成立时间不足五年的可从成立之日起计算，即每年均需提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9.具备染色体非整倍体和片段缺失检测试剂盒注册证，可用于检测羊水样本中13、18、21、X和Y染色体非整倍体及染色体4p16.3、染色体5p15.2-5p、染色体7q11.23、染色体15q11-q13等区域的缺失情况（提供注册证复印件）。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10.具备染色体非整倍体和片段缺失检测软件注册证，可用于13、18、21、性染色体非整倍体及染色体4p16.3、染色体5p15.2-5p、染色体7q11.23、染色体15q11-q13等区域的数据分析（提供注册证复印件）。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投标人具有CNV-seq智能化解读平台，可智能化ACMG打分、变异注释、自动出报告等。</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5AA8B7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3CFE9C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收到合格样本7个自然日内</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21B92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羊水、DNA、外周血等</w:t>
            </w:r>
          </w:p>
        </w:tc>
      </w:tr>
      <w:tr w14:paraId="72586BDA">
        <w:tblPrEx>
          <w:shd w:val="clear" w:color="auto" w:fill="auto"/>
          <w:tblCellMar>
            <w:top w:w="0" w:type="dxa"/>
            <w:left w:w="108" w:type="dxa"/>
            <w:bottom w:w="0" w:type="dxa"/>
            <w:right w:w="108" w:type="dxa"/>
          </w:tblCellMar>
        </w:tblPrEx>
        <w:trPr>
          <w:trHeight w:val="5115"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33024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流产物和疑似患者：染色体高通量测序分析CNV-seq(100K)</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2288E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检测三倍体、23对染色体非整倍体及1M以上的缺失重复。</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1861F2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1.检测内容：三倍体、23对染色体非整倍体及1M以上的缺失重复。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2.检测方法：高通量测序技术。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3.样本类型：胚胎绒毛组织、DNA。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4.报告周期：收到合格样本7个自然日内。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5.采用STR技术进行三倍体分析。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6.数据量：唯一比对序列数(Unique reads,UR)不少于4M reads。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7.可检测嵌合比例≥10%以上的染色体非整倍体。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8.检测设备获得NMPA认证，且可用于对来源于人体样本的脱氧核糖核苷酸（DNA）和核糖核酸（RNA）进行测序，以检测基因变化（提供注册证复印件）。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9.具备染色体非整倍体检测试剂盒医疗器械注册证，可用于定性检测人流产绒毛组织样本中13、16、18、21和X染色体单体等非整倍体（提供注册证复印件）。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10.具备染色体非整倍体分析相关软件注册证，可对人流产绒毛组织样本的基因检测数据进行比对、计数、矫正和统计计算，其结果作为临床辅助性诊断指标。（提供注册证复印件）。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室间质量评价：投标人近三年每年均参与国家临床检验中心组织的染色体基因组结构异常室间质量评价，并合格通过，需提供室间质评合格证书（投标人成立时间不足五年的可从成立之日起计算，即每年均需提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12.投标人具有CNV-seq智能化解读平台，可智能化ACMG打分、变异注释、自动出报告等。</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3744D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6B528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收到合格样本7个自然日内</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1AE63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胚胎绒毛组织、DNA</w:t>
            </w:r>
          </w:p>
        </w:tc>
      </w:tr>
      <w:tr w14:paraId="717A4D6B">
        <w:tblPrEx>
          <w:shd w:val="clear" w:color="auto" w:fill="auto"/>
          <w:tblCellMar>
            <w:top w:w="0" w:type="dxa"/>
            <w:left w:w="108" w:type="dxa"/>
            <w:bottom w:w="0" w:type="dxa"/>
            <w:right w:w="108" w:type="dxa"/>
          </w:tblCellMar>
        </w:tblPrEx>
        <w:trPr>
          <w:trHeight w:val="819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7587B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临床全外显子组检测（单人&amp;Trio）</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138571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次性检测人类基因组中2万多个基因的外显子区及外显子相邻20bp的内含子区中的点突变（检测准确率＞99%）、小的缺失插入突变（20bp以内）（检测准确率＞99%），以及外显子水平的缺失重复变异。可同时检测线粒体基因组上的不少于150个点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可额外检测ClinVar及 HGMD 数据库记录致病的内含子区变异。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可提示与受检者表型相关的其它变异类型，包括大片段的基因组拷贝数变异、染色体非整倍体、三倍体、杂合性缺失，及部分动态突变。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可对常见隐性单基因遗传病的携带者筛查分析。</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5A913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1.检测范围：一次性检测人类基因组中2万多个基因的外显子区及外显子相邻20bp的内含子区中的点突变（检测准确率＞99%）、小的缺失插入突变（20bp以内）（检测准确率＞99%），以及外显子水平的缺失重复变异。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2.可同时检测线粒体基因组上的不少于150个点突变。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3.可额外检测ClinVar及 HGMD 数据库记录致病的内含子区变异。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4.可提示与受检者表型相关的其它变异类型，包括大片段的基因组拷贝数变异、染色体非整倍体、三倍体、杂合性缺失，及部分动态突变。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5.可对常见隐性单基因遗传病的携带者筛查分析。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6.样本类型：外周血、新鲜组织、唾液、DNA等。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7.检测方法：芯片捕获高通量测序。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8.报告周期：样本中心收到合格样本25个自然日；急速全外为9个工作日。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生信分析能力：投标人近三年每年均参与国家遗传病高通量测序检测生物信息学分析室间质量评价，并合格通过，需提供室间质评合格证书（投标人成立时间不足三年的可从成立之日起计算，即每年均需提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w:t>
            </w:r>
            <w:bookmarkStart w:id="0" w:name="_GoBack"/>
            <w:bookmarkEnd w:id="0"/>
            <w:r>
              <w:rPr>
                <w:rFonts w:hint="eastAsia" w:ascii="宋体" w:hAnsi="宋体" w:eastAsia="宋体" w:cs="宋体"/>
                <w:i w:val="0"/>
                <w:iCs w:val="0"/>
                <w:color w:val="000000"/>
                <w:kern w:val="0"/>
                <w:sz w:val="20"/>
                <w:szCs w:val="20"/>
                <w:u w:val="none"/>
                <w:lang w:val="en-US" w:eastAsia="zh-CN" w:bidi="ar"/>
              </w:rPr>
              <w:t>检测设备具有NMPA认证，在临床上用于对来源于人体样本的脱氧核糖核酸（DNA）和核糖核酸（RNA）进行测序，以检测基因序列（提供注册证复印件）。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11.采用线性扩增方法，无指数PCR累计错误。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12.外显子捕获探针不低于42M，探针设计采用CCDS、RefSeq、Ensembl、GENCODE、ClinVar等数据库。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13.全外信息分析数据标准：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（1）测序数据量不小于15G；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（2）基因组比对率＞99%；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（3）去重前测序深度≥200X；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（4）全外显子组区域覆盖度≥99.5%、20X覆盖度≥98.5%、30X覆盖度≥98%；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（5）捕获效率&gt;65%；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（6）线粒体平均深度≥2000X。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14.数据解读：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（1）数据解读规则参考美国医学遗传学和基因组学学院（American College of Medical Genetics and Genomics，ACMG）相关指南。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（2）报告中致病位点给出明确的致病性评级证据项。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（3）报告主要针对目前明确与疾病相关或可能与疾病相关的突变。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15.具有丰富的项目经验，单基因遗传病检测超过20万例。（若投标人为子公司的，可提供所属集团公司的佐证材料；若投标人为代理商的，可提供厂家的佐证材料）。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疾病-基因数据库更新迅速：每三个月更新一次，紧跟临床前沿进度，提升检出率。</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6B74A9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CapNGS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7FF3E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样本中心收到合格样本25个自然日；急速全外为9个工作日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3DA83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外周血、新鲜组织、唾液、DNA等</w:t>
            </w:r>
          </w:p>
        </w:tc>
      </w:tr>
      <w:tr w14:paraId="4487FCB3">
        <w:tblPrEx>
          <w:shd w:val="clear" w:color="auto" w:fill="auto"/>
          <w:tblCellMar>
            <w:top w:w="0" w:type="dxa"/>
            <w:left w:w="108" w:type="dxa"/>
            <w:bottom w:w="0" w:type="dxa"/>
            <w:right w:w="108" w:type="dxa"/>
          </w:tblCellMar>
        </w:tblPrEx>
        <w:trPr>
          <w:trHeight w:val="819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2B51D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临床全基因组检测（单人&amp;Trio）</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7D403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一次性检测人类基因组中2万多个基因，可分析的变异包括但不限于：核基因编码及非编码区的点突变(SNV)、小片段插入缺失(InDel)，外显子水平的拷贝数变异 (ExonCNV)、30Kb 以上的大片段缺失重复变异、染色体非整倍体、三倍体变异以及不少于150个线粒体基因变异等。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可同时提示杂合性缺失(LOH)、易位倒位等结构变异(SV)、部分动态突变(STR)等。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可分析表型相关的6000多种疾病，包括神经肌肉系统、听觉系统、智力障碍、糖尿病、代谢功能、老年病等。</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2028B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1.检测范围：一次性检测人类基因组中2万多个基因，可分析的变异包括但不限于：核基因编码及非编码区的点突变(SNV)、小片段插入缺失(InDel)，外显子水平的拷贝数变异 (ExonCNV)、30Kb 以上的大片段缺失重复变异、染色体非整倍体、三倍体变异以及不少于150个线粒体基因变异等。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2.可同时提示杂合性缺失(LOH)、易位倒位等结构变异(SV)、部分动态突变(STR)等。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3.可分析表型相关的6000多种疾病，包括神经肌肉系统、听觉系统、智力障碍、糖尿病、代谢功能、老年病等。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4.▲检测设备具有NMPA认证，在临床上用于对来源于人体样本的脱氧核糖核酸（DNA）和核糖核酸（RNA）进行测序，以检测基因序列（提供注册证复印件）。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5.采用线性扩增方法，无指数PCR累计错误。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6.样本类型：外周血、基因组DNA。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7.检测方法：全基因组高通量测序。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8.报告周期：收到合格样本后30个自然日。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9.单个样本数据量不少于120G。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10.质控标准：去重测序深度＞40X，20X覆盖度≥90%，线粒体200X覆盖度≥99%且线粒体拷贝数≥50。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生信分析能力：投标人近三年每年均参与国家遗传病高通量测序检测生物信息学分析室间质量评价，并合格通过，需提供室间质评合格证书（投标人成立时间不足三年的可从成立之日起计算，即每年均需提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12.数据解读：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（1）数据解读规则参考美国医学遗传学和基因组学学院（American College of Medical Genetics and Genomics，ACMG）相关指南。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（2）报告中致病位点给出明确的致病性评级证据项。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（3）报告主要针对目前明确与疾病相关或可能与疾病相关的突变。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13.具有丰富的项目经验，已完成单基因遗传病基因检测例数超过20万例。（若投标人为子公司的，可提供所属集团公司的佐证材料;若投标人为代理商的，可提供厂家的佐证材料）。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▲具有较好的单基因遗传病检测的项目科研能力，单基因遗传病项目已发表SCI文章超过200篇，需提供文章清单列表。</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1E5DF6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017EE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收到合格样本后30个自然日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7439D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外周血、基因组DNA</w:t>
            </w:r>
          </w:p>
        </w:tc>
      </w:tr>
      <w:tr w14:paraId="67CE6F2C">
        <w:tblPrEx>
          <w:shd w:val="clear" w:color="auto" w:fill="auto"/>
          <w:tblCellMar>
            <w:top w:w="0" w:type="dxa"/>
            <w:left w:w="108" w:type="dxa"/>
            <w:bottom w:w="0" w:type="dxa"/>
            <w:right w:w="108" w:type="dxa"/>
          </w:tblCellMar>
        </w:tblPrEx>
        <w:trPr>
          <w:trHeight w:val="819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029B89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胃肠道肿瘤基因检测（组织+配对血）（不含MSI）</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4DBBBE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靶向捕获技术和高通量测序平台，从DNA和RNA层面共检测不少于59个与结直肠癌、胃肠道间质瘤和胃癌诊疗、预后和发生发展相关基因。为胃肠道肿瘤患者提供靶向治疗、免疫治疗、化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检测包含POLE、POLD1、MMR、DNMT3A、MDM2/4、JAK1/2等基因，为免疫治疗提供指导。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从RNA层面检测不少于14个基因的融合变异结果，包括ALK、BRAF、EGFR、ERBB2、FGFR1、FGFR2、FGFR3、MET、NRG1、NTRK1、NTRK2、NTRK3、RET、ROS1等。</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61A9E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采用靶向捕获技术和高通量测序平台，从DNA和RNA层面共检测不少于59个与结直肠癌、胃肠道间质瘤和胃癌诊疗、预后和发生发展相关基因。为胃肠道肿瘤患者提供靶向治疗、免疫治疗、化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2.▲检测包含POLE、POLD1、MMR、DNMT3A、MDM2/4、JAK1/2等基因，为免疫治疗提供指导。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3.从RNA层面检测不少于14个基因的融合变异结果，包括ALK、BRAF、EGFR、ERBB2、FGFR1、FGFR2、FGFR3、MET、NRG1、NTRK1、NTRK2、NTRK3、RET、ROS1等。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4.检测方法：采用高通量测序技术。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5.样本类型：肿瘤组织+外周血、胸腹水+外周血。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6.检测突变类型：体细胞变异（单核苷酸变异SNV、小片段插入/缺失InDel、拷贝数变异CNV、基因融合Fusion）；胚系变异（单核苷酸变异SNV、小片段插入/缺失InDel、拷贝数变异CNV）。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7.质控要求：DNA检测的有效平均测序深度≥1000X；RNA检测有效reads总数≥6M。</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628BD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364E82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6个自然日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23F12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肿瘤组织+外周血、胸腹水+外周血</w:t>
            </w:r>
          </w:p>
        </w:tc>
      </w:tr>
      <w:tr w14:paraId="5EB93934">
        <w:tblPrEx>
          <w:shd w:val="clear" w:color="auto" w:fill="auto"/>
          <w:tblCellMar>
            <w:top w:w="0" w:type="dxa"/>
            <w:left w:w="108" w:type="dxa"/>
            <w:bottom w:w="0" w:type="dxa"/>
            <w:right w:w="108" w:type="dxa"/>
          </w:tblCellMar>
        </w:tblPrEx>
        <w:trPr>
          <w:trHeight w:val="6645"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4FCA64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胃肠道肿瘤基因检测（ctDNA）</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0EFEC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靶向捕获技术和高通量测序平台，检测不少于59个与结直肠癌、胃肠道间质瘤和胃癌诊疗、预后和发生发展相关基因，并提供微卫星不稳定性（MSI）分析。为胃肠道肿瘤患者提供靶向治疗、免疫治疗、化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检测胃肠道肿瘤相关遗传性易感基因不少于27个。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检测不少于60个MS位点来评估MSI的状态。</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4B999B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采用靶向捕获技术和高通量测序平台，检测不少于59个与结直肠癌、胃肠道间质瘤和胃癌诊疗、预后和发生发展相关基因，并提供微卫星不稳定性（MSI）分析。为胃肠道肿瘤患者提供靶向治疗、免疫治疗、化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2.检测胃肠道肿瘤相关遗传性易感基因不少于27个。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3.▲检测不少于60个MS位点来评估MSI的状态。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4.检测方法：采用高通量测序技术。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5.样本类型：外周血、恶性渗出液+外周血。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6.▲检测突变类型：体细胞变异（单核苷酸变异SNV、小片段插入/缺失InDel、拷贝数变异CNV、基因融合Fusion）；胚系变异（单核苷酸变异SNV、小片段插入/缺失InDel、拷贝数变异CNV）。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7.质控要求：有效平均测序深度≥2700X。</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69F457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753DEB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6个自然日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3F1AD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外周血、恶性渗出液+外周血</w:t>
            </w:r>
          </w:p>
        </w:tc>
      </w:tr>
      <w:tr w14:paraId="4F32435E">
        <w:tblPrEx>
          <w:shd w:val="clear" w:color="auto" w:fill="auto"/>
          <w:tblCellMar>
            <w:top w:w="0" w:type="dxa"/>
            <w:left w:w="108" w:type="dxa"/>
            <w:bottom w:w="0" w:type="dxa"/>
            <w:right w:w="108" w:type="dxa"/>
          </w:tblCellMar>
        </w:tblPrEx>
        <w:trPr>
          <w:trHeight w:val="639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610A6A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非小细胞肺癌基因检测（单组织）</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2D6E93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采用靶向捕获技术和高通量测序平台，从DNA和RNA层面共检测不少于55个与非小细胞肺癌诊疗、预后和发生发展相关基因，为非小细胞肺癌患者提供靶向治疗指导。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从RNA层面检测不少于15个基因的融合变异结果，包括ALK、BRAF、EGFR、ERBB2、FGFR1、FGFR2、FGFR3、MET、NRG1、NRG2、NTRK1、NTRK2、NTRK3、RET、ROS1等。</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69FCE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1.▲检测内容：采用靶向捕获技术和高通量测序平台，从DNA和RNA层面共检测不少于55个与非小细胞肺癌诊疗、预后和发生发展相关基因，为非小细胞肺癌患者提供靶向治疗指导。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2.从RNA层面检测不少于15个基因的融合变异结果，包括ALK、BRAF、EGFR、ERBB2、FGFR1、FGFR2、FGFR3、MET、NRG1、NRG2、NTRK1、NTRK2、NTRK3、RET、ROS1等。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3.检测方法：采用高通量测序技术。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4.样本类型：组织、胸腹水。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5.检测突变类型：单核苷酸变异SNV、小片段插入/缺失InDel、拷贝数变异CNV、基因融合Fusion。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6.▲质控要求：DNA检测的有效平均测序深度≥1000X；RNA检测有效reads总数≥6M。</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4D905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5B08F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7个工作日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465D3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组织、胸腹水</w:t>
            </w:r>
          </w:p>
        </w:tc>
      </w:tr>
      <w:tr w14:paraId="33689CEE">
        <w:tblPrEx>
          <w:shd w:val="clear" w:color="auto" w:fill="auto"/>
          <w:tblCellMar>
            <w:top w:w="0" w:type="dxa"/>
            <w:left w:w="108" w:type="dxa"/>
            <w:bottom w:w="0" w:type="dxa"/>
            <w:right w:w="108" w:type="dxa"/>
          </w:tblCellMar>
        </w:tblPrEx>
        <w:trPr>
          <w:trHeight w:val="282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4239F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非小细胞肺癌基因检测（ctDNA）</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36F04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采用靶向捕获技术和高通量测序平台，检测不少于55个与非小细胞肺癌诊疗、预后和发生发展相关基因，为非小细胞肺癌患者提供靶向治疗指导</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38ABA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1.▲检测内容：采用靶向捕获技术和高通量测序平台，检测不少于55个与非小细胞肺癌诊疗、预后和发生发展相关基因，为非小细胞肺癌患者提供靶向治疗指导。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2.检测方法：采用高通量测序技术。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3.样本类型：外周血、恶性渗出液+外周血（对照）。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4.▲检测突变类型：单核苷酸变异SNV、小片段插入/缺失InDel、拷贝数变异CNV、基因融合Fusion。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质控要求：有效平均测序深度≥2700X。</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11E93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68670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7个工作日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36896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外周血、恶性渗出液+外周血（对照）</w:t>
            </w:r>
          </w:p>
        </w:tc>
      </w:tr>
      <w:tr w14:paraId="471B2439">
        <w:tblPrEx>
          <w:shd w:val="clear" w:color="auto" w:fill="auto"/>
          <w:tblCellMar>
            <w:top w:w="0" w:type="dxa"/>
            <w:left w:w="108" w:type="dxa"/>
            <w:bottom w:w="0" w:type="dxa"/>
            <w:right w:w="108" w:type="dxa"/>
          </w:tblCellMar>
        </w:tblPrEx>
        <w:trPr>
          <w:trHeight w:val="6645"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3F01B7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肝胆胰肿瘤基因检测（组织+配对血）</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1D7BC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靶向捕获技术和高通量测序平台，从DNA和RNA层面共检测不少于56个与肝胆胰肿瘤（肝细胞癌、胆管癌、胆囊癌、胰腺癌）诊疗、预后和发生发展相关基因，并提供微卫星不稳定性（MSI）分析。为肝胆胰肿瘤患者提供靶向治疗、免疫治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检测包含POLE、POLD1、MMR、MDM2/4等基因，为免疫治疗提供指导。</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0CD5C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采用靶向捕获技术和高通量测序平台，从DNA和RNA层面共检测不少于56个与肝胆胰肿瘤（肝细胞癌、胆管癌、胆囊癌、胰腺癌）诊疗、预后和发生发展相关基因，并提供微卫星不稳定性（MSI）分析。为肝胆胰肿瘤患者提供靶向治疗、免疫治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2.检测包含POLE、POLD1、MMR、MDM2/4等基因，为免疫治疗提供指导。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3.▲对肿瘤组织标本进行DNA和RNA共提取。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4.检测方法：采用高通量测序技术。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5.样本类型：肿瘤组织+外周血、胸腹水+外周血。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6.▲检测突变类型：体细胞变异（单核苷酸变异SNV、小片段插入/缺失InDel、拷贝数变异CNV、基因融合Fusion）；胚系变异（单核苷酸变异SNV、小片段插入/缺失InDel、拷贝数变异CNV）。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质控要求：DNA检测的有效平均测序深度≥1000X；RNA检测有效reads总数≥6M。</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00569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3A717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6个自然日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4A4E0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肿瘤组织+外周血、胸腹水+外周血</w:t>
            </w:r>
          </w:p>
        </w:tc>
      </w:tr>
      <w:tr w14:paraId="01C99F2C">
        <w:tblPrEx>
          <w:shd w:val="clear" w:color="auto" w:fill="auto"/>
          <w:tblCellMar>
            <w:top w:w="0" w:type="dxa"/>
            <w:left w:w="108" w:type="dxa"/>
            <w:bottom w:w="0" w:type="dxa"/>
            <w:right w:w="108" w:type="dxa"/>
          </w:tblCellMar>
        </w:tblPrEx>
        <w:trPr>
          <w:trHeight w:val="639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3BE53E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肝胆胰肿瘤基因检测（ctDNA）</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696C09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靶向捕获技术和高通量测序平台，检测不少于56个与肝胆胰肿瘤（肝细胞癌、胆管癌、胆囊癌、胰腺癌）诊疗、预后和发生发展相关基因，并提供微卫星不稳定性（MSI）分析。为肝胆胰肿瘤患者提供靶向治疗、免疫治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检测能准确区分胚系突变与体细胞突变。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检测不少于60个MS位点来评估MSI的状态</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39F1A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采用靶向捕获技术和高通量测序平台，检测不少于56个与肝胆胰肿瘤（肝细胞癌、胆管癌、胆囊癌、胰腺癌）诊疗、预后和发生发展相关基因，并提供微卫星不稳定性（MSI）分析。为肝胆胰肿瘤患者提供靶向治疗、免疫治疗的用药指导和遗传性肿瘤风险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2.检测能准确区分胚系突变与体细胞突变。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3.▲检测不少于60个MS位点来评估MSI的状态。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4.检测方法：采用高通量测序技术。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5.样本类型：外周血、恶性渗出液+外周血。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6.▲检测突变类型：体细胞变异（单核苷酸变异SNV、小片段插入/缺失InDel、拷贝数变异CNV、基因融合Fusion）；胚系变异（单核苷酸变异SNV、小片段插入/缺失InDel、拷贝数变异CNV）。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7.质控要求：有效平均测序深度≥2700X。</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1C6EB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46EC7E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6个自然日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705A2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外周血、恶性渗出液+外周血</w:t>
            </w:r>
          </w:p>
        </w:tc>
      </w:tr>
      <w:tr w14:paraId="74F4D55E">
        <w:tblPrEx>
          <w:shd w:val="clear" w:color="auto" w:fill="auto"/>
          <w:tblCellMar>
            <w:top w:w="0" w:type="dxa"/>
            <w:left w:w="108" w:type="dxa"/>
            <w:bottom w:w="0" w:type="dxa"/>
            <w:right w:w="108" w:type="dxa"/>
          </w:tblCellMar>
        </w:tblPrEx>
        <w:trPr>
          <w:trHeight w:val="333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117B0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遗传性肿瘤全景套餐（108个基因）</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7E8FD6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检测所有相关基因的全外显子及其上下游20bp区域。至少包含 APC, ATM, BAP1, BARD1, BLM, BRCA1, BRCA2等基因，基因数目不少于108个，遗传性肿瘤种类不少于26种。</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506F0E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1.检测内容：检测所有相关基因的全外显子及其上下游20bp区域。至少包含 APC, ATM, BAP1, BARD1, BLM, BRCA1, BRCA2等基因，基因数目不少于108个，遗传性肿瘤种类不少于26种。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2.检测技术：采用目标区域捕获和高通量测序技术。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3.报告周期：14个自然日。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4.样本类型：血液，唾液。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5.检测突变类型：SNV、InDel、CNV（高通量算法检测）。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6.质控要求：测序有效深度≥100X。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7.报告解读：变异位点解读遵循最新的AGMG指南，解读意义未明变异及以上的变异等级的位点。报告中包含阳性结果的肿瘤遗传风险的风险值提示和风险管理方案。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8.▲分析软件获得医疗器械注册证。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9.有充足项目经验，已完成遗传性肿瘤基因检测例数≥8万例。</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47236A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CapNGS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560F5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14个自然日</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7DEC4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：血液，唾液</w:t>
            </w:r>
          </w:p>
        </w:tc>
      </w:tr>
      <w:tr w14:paraId="1E626282">
        <w:tblPrEx>
          <w:shd w:val="clear" w:color="auto" w:fill="auto"/>
          <w:tblCellMar>
            <w:top w:w="0" w:type="dxa"/>
            <w:left w:w="108" w:type="dxa"/>
            <w:bottom w:w="0" w:type="dxa"/>
            <w:right w:w="108" w:type="dxa"/>
          </w:tblCellMar>
        </w:tblPrEx>
        <w:trPr>
          <w:trHeight w:val="792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65AF3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扩展型携带者筛查(246基因)</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1EA90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覆盖美国妇产科协会（ACOG）和医学遗传学与基因组学学会制定的携带者筛查指南推荐的隐性基因，以及迈基诺中国人群基因大数据库高频隐性基因。共包括245个隐性致病基因及1个药物性耳聋相关线粒体基因（MT-RNR1三个热点），涉及致病性和可能致病性位点15024个，与459种疾病亚型相关，用于携带者筛查分析。同时检测维生素D、叶酸吸收利用相关基因的SNP位点，评估代谢利用能力，指导营养素科学补充。</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25654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SMN1基因全长设计，地贫基因HBA1/HBA2/HBB全长设计，DMD基因加密设计，可以更准确的分析CNV；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数据量不小于 1.2G；最低质控：20X覆盖度&gt;95%，深度&gt;240；或者20X覆盖度&gt;97%，深度200-240；Q30≥90%。</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65D86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CapNGS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440D3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31B5B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外周血（EDTA）或干血斑</w:t>
            </w:r>
          </w:p>
        </w:tc>
      </w:tr>
      <w:tr w14:paraId="721977AB">
        <w:tblPrEx>
          <w:tblCellMar>
            <w:top w:w="0" w:type="dxa"/>
            <w:left w:w="108" w:type="dxa"/>
            <w:bottom w:w="0" w:type="dxa"/>
            <w:right w:w="108" w:type="dxa"/>
          </w:tblCellMar>
        </w:tblPrEx>
        <w:trPr>
          <w:trHeight w:val="384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352D4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十九种常见单基因病基因检测</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72B59B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19种常见单基因遗传病相关致病位点检测，平均每个基因报告的变异位点数＞100个，平均每个基因的非编码区致病性位点＞5个；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同时检测叶酸和维生素D吸收利用相关的SNP位点；</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7E914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可检测点突变、小片段插入缺失（≤20bp）外，还可以检测Panel范围内基因外显子的部分缺失与重复，如DMD、SMA的常见CNV变异类型；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SMN1基因进行全长探针设计，DMD基因进行探针加密设计，需覆盖外显子两边的内含子区；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数据量不小于 0.5G；最低质控：20X覆盖度&gt;95%，深度&gt;240；或者20X覆盖度&gt;97%，深度200-240；Q30≥90%；</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55F08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CapNGS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476CF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310E5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外周血（EDTA）或干血斑</w:t>
            </w:r>
          </w:p>
        </w:tc>
      </w:tr>
      <w:tr w14:paraId="420D503C">
        <w:tblPrEx>
          <w:tblCellMar>
            <w:top w:w="0" w:type="dxa"/>
            <w:left w:w="108" w:type="dxa"/>
            <w:bottom w:w="0" w:type="dxa"/>
            <w:right w:w="108" w:type="dxa"/>
          </w:tblCellMar>
        </w:tblPrEx>
        <w:trPr>
          <w:trHeight w:val="384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7B5CC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BRCA1/BRCA2基因检测项目</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75744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采用靶向捕获技术和高通量测序平台，检测BRCA1和BRCA2基因的全部外显子区域及其上下游20bp区域。为肿瘤患者提供靶向治疗和遗传性肿瘤风险评估。</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05416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用于体外定性检测上皮性卵巢癌患者外周血样本DNA中BRCA1基因和BRCA2基因全编码区（包括BRCA1基因（NM_007294.3）外显子2、3、5~24，BRCA2基因（NM000059.3）外显子2~27）及外显子-内含子连接区、UTR区（非翻译区）和启动子区的点突变和插入缺失突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2、样本类型：周血样本。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3、基于illumina平台可逆末端终止测序法，采用多重PCR建库建库方式。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项目实验员：①NGS检测技术人员应具备临床病理学、分子生物学的相关专业本科以上学历，并经过NGS技术的理论与技能培训合格。②数据分析人员有临床医学、分子生物学、遗传学知识背景并经生物信息学培训合格。③最终报告应由中级或硕士以上具有病理学背景、经培训合格的本单位执业医师或者授权签字人（医学博士学位或高级职称）审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5、室内质控：①对于每批次标本的检测，设置用于阴阳性对照，用于试剂质量控制及环境监测；②每个环节设置质控过程，确保操作准备性。从而全程保证实验结果的可靠性。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6、获得NMPA批准上市。</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11133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NGS</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780E1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5D432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周血样本</w:t>
            </w:r>
          </w:p>
        </w:tc>
      </w:tr>
      <w:tr w14:paraId="6F2BAA06">
        <w:tblPrEx>
          <w:shd w:val="clear" w:color="auto" w:fill="auto"/>
          <w:tblCellMar>
            <w:top w:w="0" w:type="dxa"/>
            <w:left w:w="108" w:type="dxa"/>
            <w:bottom w:w="0" w:type="dxa"/>
            <w:right w:w="108" w:type="dxa"/>
          </w:tblCellMar>
        </w:tblPrEx>
        <w:trPr>
          <w:trHeight w:val="2565"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247DC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子痫前期风险评估-孕早期</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7708C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11+2-14+1孕周：早期子痫，检测pappa（妊娠相关的血浆蛋白a）+plgf（胎盘生长因子），辅助孕早期先兆子痫的风险预测</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4C442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血清标志物胎盘生长因子（PLGF）、妊娠相关血浆蛋白A（PAPP-A）。依据基于筛查阳性率为10%时，设立的截断值。当截断值为1/200时，联合母体因素、UTPI、MAP、PAPP-A、PlGF等因素，筛查孕产妇的阳性率为9.7%，其中正常人阳性率为7.6%，早产型子痫前期（PE&lt;孕34周）的检出率为94.4%。</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4E525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化学发光</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42FBB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08B56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血清</w:t>
            </w:r>
          </w:p>
        </w:tc>
      </w:tr>
      <w:tr w14:paraId="66F3E393">
        <w:tblPrEx>
          <w:shd w:val="clear" w:color="auto" w:fill="auto"/>
          <w:tblCellMar>
            <w:top w:w="0" w:type="dxa"/>
            <w:left w:w="108" w:type="dxa"/>
            <w:bottom w:w="0" w:type="dxa"/>
            <w:right w:w="108" w:type="dxa"/>
          </w:tblCellMar>
        </w:tblPrEx>
        <w:trPr>
          <w:trHeight w:val="2565"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12A2B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子痫前期风险评估-孕中晚期</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7A7B7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20-末孕周：晚期子痫，检测plgf（胎盘生长因子）+sflt-1（可溶性 FMS 样酪氨酸激酶 -1），辅助孕早期先兆子痫的风险预测</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4CC7C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检测血清标志物胎盘生长因子（PLGF）、可溶性血管内皮生长因子受体-1（sFlt-1）。Flt-1/PlGF比值≤38提示1周内不发生子痫前期的阴性预测值（NPV）为99.3%；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sFlt-1/PlGF比值&gt;38提示4周内发生子痫前期的阳性预测值（PPV）为36.7%。</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2BCC0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化学发光</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4D75E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0968F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血清</w:t>
            </w:r>
          </w:p>
        </w:tc>
      </w:tr>
      <w:tr w14:paraId="3F268A59">
        <w:tblPrEx>
          <w:shd w:val="clear" w:color="auto" w:fill="auto"/>
          <w:tblCellMar>
            <w:top w:w="0" w:type="dxa"/>
            <w:left w:w="108" w:type="dxa"/>
            <w:bottom w:w="0" w:type="dxa"/>
            <w:right w:w="108" w:type="dxa"/>
          </w:tblCellMar>
        </w:tblPrEx>
        <w:trPr>
          <w:trHeight w:val="8190" w:hRule="atLeast"/>
          <w:jc w:val="center"/>
        </w:trPr>
        <w:tc>
          <w:tcPr>
            <w:tcW w:w="1050" w:type="dxa"/>
            <w:tcBorders>
              <w:top w:val="nil"/>
              <w:left w:val="single" w:color="000000" w:sz="8" w:space="0"/>
              <w:bottom w:val="single" w:color="000000" w:sz="8" w:space="0"/>
              <w:right w:val="single" w:color="000000" w:sz="8" w:space="0"/>
            </w:tcBorders>
            <w:shd w:val="clear" w:color="auto" w:fill="auto"/>
            <w:vAlign w:val="center"/>
          </w:tcPr>
          <w:p w14:paraId="5EEC5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胸苷激酶1</w:t>
            </w:r>
          </w:p>
        </w:tc>
        <w:tc>
          <w:tcPr>
            <w:tcW w:w="2115" w:type="dxa"/>
            <w:tcBorders>
              <w:top w:val="nil"/>
              <w:left w:val="single" w:color="000000" w:sz="8" w:space="0"/>
              <w:bottom w:val="single" w:color="000000" w:sz="8" w:space="0"/>
              <w:right w:val="single" w:color="000000" w:sz="8" w:space="0"/>
            </w:tcBorders>
            <w:shd w:val="clear" w:color="auto" w:fill="auto"/>
            <w:vAlign w:val="center"/>
          </w:tcPr>
          <w:p w14:paraId="5731D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TK1的独特价值：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核心功能：TK1是DNA合成补救途径的关键酶，直接反映细胞增殖活性。在恶性肿瘤发生发展的早期（癌前病变、原位癌阶段），异常增殖的细胞即可导致血清/血浆中TK1水平升高。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早期预警潜力：TK1作为广谱细胞增殖标志物，理论上可适用于多种实体瘤（如肺癌、乳腺癌、结直肠癌、胃癌、肝癌、前列腺癌等）及血液系统肿瘤（如白血病、淋巴瘤）的早期风险筛查。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动态监测价值：TK1水平变化能灵敏反映肿瘤细胞增殖状态的变化，是评估治疗效果（手术、放化疗、靶向治疗、免疫治疗）和复发/转移风险的有力工具。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预后评估指标：治疗前高水平TK1或治疗后下降不理想往往提示预后不良。</w:t>
            </w:r>
          </w:p>
        </w:tc>
        <w:tc>
          <w:tcPr>
            <w:tcW w:w="5595" w:type="dxa"/>
            <w:tcBorders>
              <w:top w:val="nil"/>
              <w:left w:val="single" w:color="000000" w:sz="8" w:space="0"/>
              <w:bottom w:val="single" w:color="000000" w:sz="8" w:space="0"/>
              <w:right w:val="single" w:color="000000" w:sz="8" w:space="0"/>
            </w:tcBorders>
            <w:shd w:val="clear" w:color="auto" w:fill="auto"/>
            <w:vAlign w:val="center"/>
          </w:tcPr>
          <w:p w14:paraId="3CB4D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新技术、项目的诊疗常规及操作规范：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TK1是DNA合成补救途径的关键酶，检测TK1浓度直接反映细胞增殖活性。在恶性肿瘤发生发展的早期（癌前病变、原位癌阶段），异常增殖的细胞即可导致血清中TK1水平升高。TK1检测可补充现有肿瘤筛查范围，且在肿瘤形成初期就异常升高，通过对TK1的检测能够帮助医生更早、更及时地预测早癌风险，同时联合现有肿标诊断能够提高相关指标的灵敏度，对开展治疗的病患有很好的疗效评估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2、样本类型：血清。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3、量子点免疫荧光法，采用双抗体夹心法进行检测。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4、项目实验员：。无需特殊技能的操作人员，项目操作简便，技术人员经过厂家专业技术培训指导，可熟练应用。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5、室内质控：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1）样本采集参照《全国临床检验操作规程》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2）血清用分离胶采血管;采血后应尽快分离，并注意避免溶血；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3）分离后的血清样本应在室温条件下4小时内完成检测;若不能及时检测，样本在2~8℃可储存3天:长期（一年内） 请于-20℃以下密封保存;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4）样本检测前需恢复室温并充分混匀后使用:冻融样本使用前需完全融化冻融次数不超过五次。反复冻融样本可能导致分析物变质，应避免使用;严重乳魔和溶血样本也会影响检测，应避免使用。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5）厂家定期提供一套质控卡，以供医院每天进行质控校准，若质控结果不在靶值内，可以联系售后工程师进行仪器校准，并发放校准报告。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6、获得NMPA批准上市。</w:t>
            </w:r>
          </w:p>
        </w:tc>
        <w:tc>
          <w:tcPr>
            <w:tcW w:w="698" w:type="dxa"/>
            <w:tcBorders>
              <w:top w:val="nil"/>
              <w:left w:val="single" w:color="000000" w:sz="8" w:space="0"/>
              <w:bottom w:val="single" w:color="000000" w:sz="8" w:space="0"/>
              <w:right w:val="single" w:color="000000" w:sz="8" w:space="0"/>
            </w:tcBorders>
            <w:shd w:val="clear" w:color="auto" w:fill="auto"/>
            <w:vAlign w:val="center"/>
          </w:tcPr>
          <w:p w14:paraId="73287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量子点免疫荧光法</w:t>
            </w:r>
          </w:p>
        </w:tc>
        <w:tc>
          <w:tcPr>
            <w:tcW w:w="720" w:type="dxa"/>
            <w:tcBorders>
              <w:top w:val="nil"/>
              <w:left w:val="single" w:color="000000" w:sz="8" w:space="0"/>
              <w:bottom w:val="single" w:color="000000" w:sz="8" w:space="0"/>
              <w:right w:val="single" w:color="000000" w:sz="8" w:space="0"/>
            </w:tcBorders>
            <w:shd w:val="clear" w:color="auto" w:fill="auto"/>
            <w:vAlign w:val="center"/>
          </w:tcPr>
          <w:p w14:paraId="4A3B9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53562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全血/血清/血浆</w:t>
            </w:r>
          </w:p>
        </w:tc>
      </w:tr>
    </w:tbl>
    <w:p w14:paraId="5C1303C7">
      <w:r>
        <w:rPr>
          <w:rFonts w:hint="eastAsia"/>
        </w:rPr>
        <w:t>技术参数（注：“▲”项为重要技术参数，若有“▲”项未响应或不满足，将导致其响应性评审加重扣分，不视为无效投标。）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ZjY3NDFhYWUwYTJhZWZjOWE3ZDQ4NDQ3OTMwZjYifQ=="/>
  </w:docVars>
  <w:rsids>
    <w:rsidRoot w:val="53B07811"/>
    <w:rsid w:val="53B07811"/>
    <w:rsid w:val="7FF36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10042</Words>
  <Characters>11828</Characters>
  <Lines>0</Lines>
  <Paragraphs>0</Paragraphs>
  <TotalTime>3</TotalTime>
  <ScaleCrop>false</ScaleCrop>
  <LinksUpToDate>false</LinksUpToDate>
  <CharactersWithSpaces>11886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2026-03-09T16:54:00Z</dcterms:created>
  <dc:creator>凯迪</dc:creator>
  <cp:lastModifiedBy>陈冰</cp:lastModifiedBy>
  <dcterms:modified xsi:type="dcterms:W3CDTF">2026-03-12T02:44:40Z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07F3FE388C404BDBAE50C879C41847F3_11</vt:lpwstr>
  </property>
  <property fmtid="{D5CDD505-2E9C-101B-9397-08002B2CF9AE}" pid="4" name="KSOTemplateDocerSaveRecord">
    <vt:lpwstr>eyJoZGlkIjoiYjdlYjUwMDM5MDYwOTNmOTk2MWZkOTNhYzAyNDc4OTMiLCJ1c2VySWQiOiI4NTY4MzAyNDcifQ==</vt:lpwstr>
  </property>
</Properties>
</file>