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3749F">
      <w:pPr>
        <w:spacing w:line="360" w:lineRule="auto"/>
        <w:jc w:val="center"/>
        <w:textAlignment w:val="center"/>
        <w:rPr>
          <w:rFonts w:hint="eastAsia" w:ascii="宋体" w:hAnsi="宋体" w:cs="宋体"/>
          <w:b/>
          <w:bCs/>
          <w:szCs w:val="21"/>
        </w:rPr>
      </w:pPr>
      <w:bookmarkStart w:id="1" w:name="_GoBack"/>
      <w:bookmarkEnd w:id="1"/>
    </w:p>
    <w:tbl>
      <w:tblPr>
        <w:tblStyle w:val="7"/>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1752"/>
        <w:gridCol w:w="4426"/>
        <w:gridCol w:w="1987"/>
      </w:tblGrid>
      <w:tr w14:paraId="3E1E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vAlign w:val="center"/>
          </w:tcPr>
          <w:p w14:paraId="56FDE2D5">
            <w:pPr>
              <w:pStyle w:val="2"/>
              <w:jc w:val="center"/>
              <w:rPr>
                <w:rFonts w:hint="eastAsia" w:ascii="宋体" w:hAnsi="宋体" w:cs="宋体"/>
              </w:rPr>
            </w:pPr>
            <w:r>
              <w:rPr>
                <w:rFonts w:hint="eastAsia" w:ascii="宋体" w:hAnsi="宋体" w:cs="宋体"/>
              </w:rPr>
              <w:t>序号</w:t>
            </w:r>
          </w:p>
        </w:tc>
        <w:tc>
          <w:tcPr>
            <w:tcW w:w="880" w:type="pct"/>
            <w:vAlign w:val="center"/>
          </w:tcPr>
          <w:p w14:paraId="64F3F4DF">
            <w:pPr>
              <w:spacing w:line="360" w:lineRule="auto"/>
              <w:jc w:val="center"/>
              <w:rPr>
                <w:rFonts w:hint="eastAsia" w:ascii="宋体" w:hAnsi="宋体" w:eastAsia="宋体" w:cs="宋体"/>
                <w:b/>
                <w:szCs w:val="21"/>
              </w:rPr>
            </w:pPr>
            <w:r>
              <w:rPr>
                <w:rFonts w:hint="eastAsia" w:ascii="宋体" w:hAnsi="宋体" w:eastAsia="宋体" w:cs="宋体"/>
                <w:b/>
                <w:szCs w:val="21"/>
              </w:rPr>
              <w:t>货物</w:t>
            </w:r>
          </w:p>
          <w:p w14:paraId="7E05F3A3">
            <w:pPr>
              <w:spacing w:line="360" w:lineRule="auto"/>
              <w:jc w:val="center"/>
              <w:rPr>
                <w:rFonts w:hint="eastAsia" w:ascii="宋体" w:hAnsi="宋体" w:eastAsia="宋体" w:cs="宋体"/>
              </w:rPr>
            </w:pPr>
            <w:r>
              <w:rPr>
                <w:rFonts w:hint="eastAsia" w:ascii="宋体" w:hAnsi="宋体" w:eastAsia="宋体" w:cs="宋体"/>
                <w:b/>
                <w:szCs w:val="21"/>
              </w:rPr>
              <w:t>名称</w:t>
            </w:r>
          </w:p>
        </w:tc>
        <w:tc>
          <w:tcPr>
            <w:tcW w:w="2223" w:type="pct"/>
            <w:vAlign w:val="center"/>
          </w:tcPr>
          <w:p w14:paraId="4560B23F">
            <w:pPr>
              <w:spacing w:line="360" w:lineRule="auto"/>
              <w:jc w:val="center"/>
              <w:rPr>
                <w:rFonts w:hint="eastAsia" w:ascii="宋体" w:hAnsi="宋体" w:eastAsia="宋体" w:cs="宋体"/>
              </w:rPr>
            </w:pPr>
            <w:r>
              <w:rPr>
                <w:rFonts w:hint="eastAsia" w:ascii="宋体" w:hAnsi="宋体" w:eastAsia="宋体" w:cs="宋体"/>
                <w:b/>
                <w:szCs w:val="21"/>
              </w:rPr>
              <w:t>货物技术规格、配置参数</w:t>
            </w:r>
          </w:p>
        </w:tc>
        <w:tc>
          <w:tcPr>
            <w:tcW w:w="998" w:type="pct"/>
            <w:vAlign w:val="center"/>
          </w:tcPr>
          <w:p w14:paraId="29A2E272">
            <w:pPr>
              <w:spacing w:line="360" w:lineRule="auto"/>
              <w:jc w:val="center"/>
              <w:rPr>
                <w:rFonts w:hint="eastAsia" w:ascii="宋体" w:hAnsi="宋体" w:eastAsia="宋体" w:cs="宋体"/>
              </w:rPr>
            </w:pPr>
            <w:r>
              <w:rPr>
                <w:rFonts w:hint="eastAsia" w:ascii="宋体" w:hAnsi="宋体" w:eastAsia="宋体" w:cs="宋体"/>
                <w:b/>
                <w:szCs w:val="21"/>
              </w:rPr>
              <w:t>数量</w:t>
            </w:r>
          </w:p>
        </w:tc>
      </w:tr>
      <w:tr w14:paraId="3BAC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vAlign w:val="center"/>
          </w:tcPr>
          <w:p w14:paraId="41C7AA84">
            <w:pPr>
              <w:pStyle w:val="2"/>
              <w:jc w:val="center"/>
              <w:rPr>
                <w:rFonts w:hint="eastAsia" w:ascii="宋体" w:hAnsi="宋体" w:cs="宋体"/>
              </w:rPr>
            </w:pPr>
            <w:bookmarkStart w:id="0" w:name="OLE_LINK6" w:colFirst="5" w:colLast="5"/>
            <w:r>
              <w:rPr>
                <w:rFonts w:hint="eastAsia" w:ascii="宋体" w:hAnsi="宋体" w:cs="宋体"/>
              </w:rPr>
              <w:t>1</w:t>
            </w:r>
          </w:p>
        </w:tc>
        <w:tc>
          <w:tcPr>
            <w:tcW w:w="880" w:type="pct"/>
            <w:vAlign w:val="center"/>
          </w:tcPr>
          <w:p w14:paraId="23E55808">
            <w:pPr>
              <w:spacing w:line="360" w:lineRule="auto"/>
              <w:jc w:val="center"/>
              <w:textAlignment w:val="center"/>
              <w:rPr>
                <w:rFonts w:hint="eastAsia" w:ascii="宋体" w:hAnsi="宋体" w:eastAsia="宋体" w:cs="宋体"/>
              </w:rPr>
            </w:pPr>
            <w:r>
              <w:rPr>
                <w:rFonts w:hint="eastAsia" w:ascii="宋体" w:hAnsi="宋体" w:eastAsia="宋体" w:cs="宋体"/>
              </w:rPr>
              <w:t>平衡功能训练及评估系统</w:t>
            </w:r>
          </w:p>
        </w:tc>
        <w:tc>
          <w:tcPr>
            <w:tcW w:w="2223" w:type="pct"/>
            <w:vAlign w:val="center"/>
          </w:tcPr>
          <w:p w14:paraId="306EE8B9">
            <w:r>
              <w:rPr>
                <w:rFonts w:hint="eastAsia"/>
              </w:rPr>
              <w:t>1、额定输入功率：≤15VA。</w:t>
            </w:r>
          </w:p>
          <w:p w14:paraId="29E2D56E">
            <w:r>
              <w:rPr>
                <w:rFonts w:hint="eastAsia"/>
              </w:rPr>
              <w:t>2、活动平台绕球心摆动范围：-8°～+8°，允差±2°。</w:t>
            </w:r>
          </w:p>
          <w:p w14:paraId="7E2296BA">
            <w:r>
              <w:rPr>
                <w:rFonts w:hint="eastAsia"/>
              </w:rPr>
              <w:t>3、液压阻尼器阻力调节：≥5级。</w:t>
            </w:r>
          </w:p>
          <w:p w14:paraId="0FFD5F80">
            <w:r>
              <w:rPr>
                <w:rFonts w:hint="eastAsia"/>
              </w:rPr>
              <w:t>4、测试平台最大承重：≥136kg。</w:t>
            </w:r>
          </w:p>
          <w:p w14:paraId="064563C8">
            <w:r>
              <w:rPr>
                <w:rFonts w:hint="eastAsia"/>
              </w:rPr>
              <w:t>5、情景互动模式训练：至少包含姿态稳定、承重转移、双重任务（指向性引导）3种训练类别，≥30款游戏，训练游戏包括控制物体移动、高等运动、左右运动、记忆、上下左右简单气泡游戏训练等；并可进行单双侧、单双向、单双轴训练，训练后生成训练报告及数据评估。</w:t>
            </w:r>
          </w:p>
          <w:p w14:paraId="2F119E90">
            <w:pPr>
              <w:spacing w:line="360" w:lineRule="auto"/>
            </w:pPr>
            <w:r>
              <w:rPr>
                <w:rFonts w:hint="eastAsia"/>
              </w:rPr>
              <w:t>6、提供稳定测试，稳定测试范围步骤包括：患者遵照医嘱站在平衡板上，测试系统能显示医生信息，可以选择患者，可以设置平衡测试相关参数，点击【开始测试】后，患者按照提示信息进行测试，测试完成停止测试，点击【保存结果】，在测试记录列表增加一条记录，点击记录可以查看测试数据报告。</w:t>
            </w:r>
          </w:p>
          <w:p w14:paraId="51FCC8E9">
            <w:pPr>
              <w:spacing w:line="360" w:lineRule="auto"/>
            </w:pPr>
            <w:r>
              <w:rPr>
                <w:rFonts w:hint="eastAsia"/>
              </w:rPr>
              <w:t>7、评估系统主界面点击【查看报告】，打开查看报告界面，能显示分为训练报告、稳定范围测试和姿态稳定测试，并准确记录患者的姓名、年龄、身高、体重、BMI指数、医生诊断信息以及患者的康复训练图，医生可以对应开出处方；</w:t>
            </w:r>
          </w:p>
          <w:p w14:paraId="69B4813D">
            <w:r>
              <w:rPr>
                <w:rFonts w:hint="eastAsia"/>
              </w:rPr>
              <w:t>8、评估报告至少包含稳定指数、标准差、区域占比，支持打印功能。</w:t>
            </w:r>
          </w:p>
          <w:p w14:paraId="4CCEDEE5">
            <w:r>
              <w:rPr>
                <w:rFonts w:hint="eastAsia"/>
              </w:rPr>
              <w:t>9、训练方式：至少包含游戏训练和常规训练两种。</w:t>
            </w:r>
          </w:p>
          <w:p w14:paraId="3749D9F3">
            <w:r>
              <w:rPr>
                <w:rFonts w:hint="eastAsia"/>
              </w:rPr>
              <w:t>10测试方式：至少包含睁眼稳定范围测试、睁眼姿态稳定测试、闭眼姿态稳定测试三种。</w:t>
            </w:r>
          </w:p>
          <w:p w14:paraId="273B0231">
            <w:pPr>
              <w:numPr>
                <w:ilvl w:val="0"/>
                <w:numId w:val="1"/>
              </w:numPr>
            </w:pPr>
            <w:r>
              <w:rPr>
                <w:rFonts w:hint="eastAsia"/>
              </w:rPr>
              <w:t>具有病历储存功能。</w:t>
            </w:r>
          </w:p>
          <w:p w14:paraId="1DCFCD25">
            <w:pPr>
              <w:pStyle w:val="2"/>
            </w:pPr>
            <w:r>
              <w:rPr>
                <w:rFonts w:hint="eastAsia" w:ascii="宋体" w:hAnsi="宋体" w:cs="宋体"/>
              </w:rPr>
              <w:t>12、平衡功能训练及评估系统内置平衡功能障碍诊断软件和平衡训练评分软件，训练等级可以从1到10，分10个等级,训练方式可在360度范围内倾斜，并且患者可根据自身情况进行屈、蹲、坐、起立、双腿站立、单腿站立6种不同训练方式、训练模式符合YZB/豫0251-2012中4.13.5条中表5的要求，系统噪音</w:t>
            </w:r>
            <w:r>
              <w:rPr>
                <w:rFonts w:hint="eastAsia"/>
              </w:rPr>
              <w:t>≤60dB(A)；</w:t>
            </w:r>
          </w:p>
        </w:tc>
        <w:tc>
          <w:tcPr>
            <w:tcW w:w="998" w:type="pct"/>
            <w:vAlign w:val="center"/>
          </w:tcPr>
          <w:p w14:paraId="47FDD8E3">
            <w:pPr>
              <w:pStyle w:val="2"/>
              <w:jc w:val="center"/>
              <w:rPr>
                <w:rFonts w:hint="eastAsia" w:ascii="宋体" w:hAnsi="宋体" w:cs="宋体"/>
              </w:rPr>
            </w:pPr>
            <w:r>
              <w:rPr>
                <w:rFonts w:hint="eastAsia" w:ascii="宋体" w:hAnsi="宋体" w:cs="宋体"/>
              </w:rPr>
              <w:t>1套</w:t>
            </w:r>
          </w:p>
        </w:tc>
      </w:tr>
      <w:tr w14:paraId="3845E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vAlign w:val="center"/>
          </w:tcPr>
          <w:p w14:paraId="5ACC0CC8">
            <w:pPr>
              <w:pStyle w:val="2"/>
              <w:jc w:val="center"/>
              <w:rPr>
                <w:rFonts w:hint="eastAsia" w:ascii="宋体" w:hAnsi="宋体" w:cs="宋体"/>
              </w:rPr>
            </w:pPr>
            <w:r>
              <w:rPr>
                <w:rFonts w:hint="eastAsia" w:ascii="宋体" w:hAnsi="宋体" w:cs="宋体"/>
              </w:rPr>
              <w:t>2</w:t>
            </w:r>
          </w:p>
        </w:tc>
        <w:tc>
          <w:tcPr>
            <w:tcW w:w="880" w:type="pct"/>
            <w:vAlign w:val="center"/>
          </w:tcPr>
          <w:p w14:paraId="61133649">
            <w:pPr>
              <w:spacing w:line="360" w:lineRule="auto"/>
              <w:jc w:val="center"/>
              <w:textAlignment w:val="center"/>
              <w:rPr>
                <w:rFonts w:hint="eastAsia" w:ascii="宋体" w:hAnsi="宋体" w:eastAsia="宋体" w:cs="宋体"/>
              </w:rPr>
            </w:pPr>
            <w:r>
              <w:rPr>
                <w:rFonts w:hint="eastAsia" w:ascii="宋体" w:hAnsi="宋体" w:eastAsia="宋体" w:cs="宋体"/>
              </w:rPr>
              <w:t>悬吊康复训练器</w:t>
            </w:r>
          </w:p>
        </w:tc>
        <w:tc>
          <w:tcPr>
            <w:tcW w:w="2223" w:type="pct"/>
            <w:vAlign w:val="center"/>
          </w:tcPr>
          <w:p w14:paraId="3916825C">
            <w:pPr>
              <w:rPr>
                <w:rFonts w:hint="eastAsia" w:ascii="宋体" w:hAnsi="宋体" w:eastAsia="宋体" w:cs="宋体"/>
              </w:rPr>
            </w:pPr>
            <w:r>
              <w:rPr>
                <w:rFonts w:hint="eastAsia" w:ascii="宋体" w:hAnsi="宋体" w:eastAsia="宋体" w:cs="宋体"/>
              </w:rPr>
              <w:t>1、外形尺寸（长宽高）：2500×1520×2310mm，允差±10%。</w:t>
            </w:r>
          </w:p>
          <w:p w14:paraId="2F93D638">
            <w:pPr>
              <w:rPr>
                <w:rFonts w:hint="eastAsia" w:ascii="宋体" w:hAnsi="宋体" w:eastAsia="宋体" w:cs="宋体"/>
              </w:rPr>
            </w:pPr>
            <w:r>
              <w:rPr>
                <w:rFonts w:hint="eastAsia" w:ascii="宋体" w:hAnsi="宋体" w:eastAsia="宋体" w:cs="宋体"/>
              </w:rPr>
              <w:t>2、悬吊训练装置位移量：0～1800mm，允差±10%。</w:t>
            </w:r>
          </w:p>
          <w:p w14:paraId="558DF12B">
            <w:pPr>
              <w:rPr>
                <w:rFonts w:hint="eastAsia" w:ascii="宋体" w:hAnsi="宋体" w:eastAsia="宋体" w:cs="宋体"/>
              </w:rPr>
            </w:pPr>
            <w:r>
              <w:rPr>
                <w:rFonts w:hint="eastAsia" w:ascii="宋体" w:hAnsi="宋体" w:eastAsia="宋体" w:cs="宋体"/>
              </w:rPr>
              <w:t>3、拉力装置移动范围：0～1500mm，允差±10%。</w:t>
            </w:r>
          </w:p>
          <w:p w14:paraId="4169DBC2">
            <w:pPr>
              <w:rPr>
                <w:rFonts w:hint="eastAsia" w:ascii="宋体" w:hAnsi="宋体" w:eastAsia="宋体" w:cs="宋体"/>
              </w:rPr>
            </w:pPr>
            <w:r>
              <w:rPr>
                <w:rFonts w:hint="eastAsia" w:ascii="宋体" w:hAnsi="宋体" w:eastAsia="宋体" w:cs="宋体"/>
              </w:rPr>
              <w:t>4、随时锁定：三根绳具备任意滑动位置随时锁定。</w:t>
            </w:r>
          </w:p>
          <w:p w14:paraId="152072DA">
            <w:pPr>
              <w:rPr>
                <w:rFonts w:hint="eastAsia" w:ascii="宋体" w:hAnsi="宋体" w:eastAsia="宋体" w:cs="宋体"/>
              </w:rPr>
            </w:pPr>
            <w:r>
              <w:rPr>
                <w:rFonts w:hint="eastAsia" w:ascii="宋体" w:hAnsi="宋体" w:eastAsia="宋体" w:cs="宋体"/>
              </w:rPr>
              <w:t>5、具有多种不同规格的悬带，便于悬吊起身体不同部位，至少包含窄悬带、宽悬带、中分带、长悬带、T型带、面部悬带、训练手环等。</w:t>
            </w:r>
          </w:p>
          <w:p w14:paraId="18E2D2B7">
            <w:pPr>
              <w:rPr>
                <w:rFonts w:hint="eastAsia" w:ascii="宋体" w:hAnsi="宋体" w:eastAsia="宋体" w:cs="宋体"/>
              </w:rPr>
            </w:pPr>
            <w:r>
              <w:rPr>
                <w:rFonts w:hint="eastAsia" w:ascii="宋体" w:hAnsi="宋体" w:eastAsia="宋体" w:cs="宋体"/>
              </w:rPr>
              <w:t>6、瑜伽坐垫：直径330mm，允差±10%。</w:t>
            </w:r>
          </w:p>
          <w:p w14:paraId="50BA6ED3">
            <w:pPr>
              <w:rPr>
                <w:rFonts w:hint="eastAsia" w:ascii="宋体" w:hAnsi="宋体" w:eastAsia="宋体" w:cs="宋体"/>
              </w:rPr>
            </w:pPr>
            <w:r>
              <w:rPr>
                <w:rFonts w:hint="eastAsia" w:ascii="宋体" w:hAnsi="宋体" w:eastAsia="宋体" w:cs="宋体"/>
              </w:rPr>
              <w:t>7、柱形垫：直径250mm、长700mm，允差±10%。</w:t>
            </w:r>
          </w:p>
          <w:p w14:paraId="1B3A8546">
            <w:pPr>
              <w:rPr>
                <w:rFonts w:hint="eastAsia" w:ascii="宋体" w:hAnsi="宋体" w:eastAsia="宋体" w:cs="宋体"/>
              </w:rPr>
            </w:pPr>
            <w:r>
              <w:rPr>
                <w:rFonts w:hint="eastAsia" w:ascii="宋体" w:hAnsi="宋体" w:eastAsia="宋体" w:cs="宋体"/>
              </w:rPr>
              <w:t>8、绳索吊索自由组合：根据不同规格的拉绳满足不同的训练要求。</w:t>
            </w:r>
          </w:p>
          <w:p w14:paraId="2F178222">
            <w:pPr>
              <w:rPr>
                <w:rFonts w:hint="eastAsia" w:ascii="宋体" w:hAnsi="宋体" w:eastAsia="宋体" w:cs="宋体"/>
              </w:rPr>
            </w:pPr>
            <w:r>
              <w:rPr>
                <w:rFonts w:hint="eastAsia" w:ascii="宋体" w:hAnsi="宋体" w:eastAsia="宋体" w:cs="宋体"/>
              </w:rPr>
              <w:t>弹力绳：规格≥3种，数量≥6根，带卡绳器登山扣，最大承重≥30kg。</w:t>
            </w:r>
          </w:p>
          <w:p w14:paraId="33E81291">
            <w:pPr>
              <w:rPr>
                <w:rFonts w:hint="eastAsia" w:ascii="宋体" w:hAnsi="宋体" w:eastAsia="宋体" w:cs="宋体"/>
              </w:rPr>
            </w:pPr>
            <w:r>
              <w:rPr>
                <w:rFonts w:hint="eastAsia" w:ascii="宋体" w:hAnsi="宋体" w:eastAsia="宋体" w:cs="宋体"/>
              </w:rPr>
              <w:t>红绳：规格≥3种，数量≥6根，带卡绳器登山扣，最大承重≥100kg</w:t>
            </w:r>
          </w:p>
          <w:p w14:paraId="691D11B3">
            <w:pPr>
              <w:rPr>
                <w:rFonts w:hint="eastAsia" w:ascii="宋体" w:hAnsi="宋体" w:eastAsia="宋体" w:cs="宋体"/>
              </w:rPr>
            </w:pPr>
            <w:r>
              <w:rPr>
                <w:rFonts w:hint="eastAsia" w:ascii="宋体" w:hAnsi="宋体" w:eastAsia="宋体" w:cs="宋体"/>
              </w:rPr>
              <w:t>绳索吊索自由组合：根据不同规格的拉绳满足不同的训练要求。</w:t>
            </w:r>
          </w:p>
          <w:p w14:paraId="1B3CF5BE">
            <w:pPr>
              <w:rPr>
                <w:rFonts w:hint="eastAsia" w:ascii="宋体" w:hAnsi="宋体" w:eastAsia="宋体" w:cs="宋体"/>
              </w:rPr>
            </w:pPr>
            <w:r>
              <w:rPr>
                <w:rFonts w:hint="eastAsia" w:ascii="宋体" w:hAnsi="宋体" w:eastAsia="宋体" w:cs="宋体"/>
              </w:rPr>
              <w:t>9、定滑轮：每个悬吊训练器具有两组。</w:t>
            </w:r>
          </w:p>
          <w:p w14:paraId="0CAC3B37">
            <w:pPr>
              <w:rPr>
                <w:rFonts w:hint="eastAsia" w:ascii="宋体" w:hAnsi="宋体" w:eastAsia="宋体" w:cs="宋体"/>
              </w:rPr>
            </w:pPr>
            <w:r>
              <w:rPr>
                <w:rFonts w:hint="eastAsia" w:ascii="宋体" w:hAnsi="宋体" w:eastAsia="宋体" w:cs="宋体"/>
              </w:rPr>
              <w:t>10、既可以使用开链运动，也可以使用闭链运动。</w:t>
            </w:r>
          </w:p>
          <w:p w14:paraId="46686181">
            <w:pPr>
              <w:spacing w:line="360" w:lineRule="auto"/>
              <w:jc w:val="left"/>
              <w:textAlignment w:val="center"/>
              <w:rPr>
                <w:rFonts w:hint="eastAsia" w:ascii="宋体" w:hAnsi="宋体" w:eastAsia="宋体" w:cs="宋体"/>
              </w:rPr>
            </w:pPr>
            <w:r>
              <w:rPr>
                <w:rFonts w:hint="eastAsia" w:ascii="宋体" w:hAnsi="宋体" w:eastAsia="宋体" w:cs="宋体"/>
              </w:rPr>
              <w:t>11、最大承重≥150kg；</w:t>
            </w:r>
          </w:p>
        </w:tc>
        <w:tc>
          <w:tcPr>
            <w:tcW w:w="998" w:type="pct"/>
            <w:vAlign w:val="center"/>
          </w:tcPr>
          <w:p w14:paraId="2D71785E">
            <w:pPr>
              <w:pStyle w:val="2"/>
              <w:jc w:val="center"/>
              <w:rPr>
                <w:rFonts w:hint="eastAsia" w:ascii="宋体" w:hAnsi="宋体" w:cs="宋体"/>
              </w:rPr>
            </w:pPr>
            <w:r>
              <w:rPr>
                <w:rFonts w:hint="eastAsia" w:ascii="宋体" w:hAnsi="宋体" w:cs="宋体"/>
              </w:rPr>
              <w:t>1台</w:t>
            </w:r>
          </w:p>
        </w:tc>
      </w:tr>
      <w:tr w14:paraId="054E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vAlign w:val="center"/>
          </w:tcPr>
          <w:p w14:paraId="6CF695D3">
            <w:pPr>
              <w:pStyle w:val="2"/>
              <w:jc w:val="center"/>
              <w:rPr>
                <w:rFonts w:hint="eastAsia" w:ascii="宋体" w:hAnsi="宋体" w:cs="宋体"/>
              </w:rPr>
            </w:pPr>
            <w:r>
              <w:rPr>
                <w:rFonts w:hint="eastAsia" w:ascii="宋体" w:hAnsi="宋体" w:cs="宋体"/>
              </w:rPr>
              <w:t>3</w:t>
            </w:r>
          </w:p>
        </w:tc>
        <w:tc>
          <w:tcPr>
            <w:tcW w:w="880" w:type="pct"/>
            <w:vAlign w:val="center"/>
          </w:tcPr>
          <w:p w14:paraId="4ADEB97C">
            <w:pPr>
              <w:spacing w:line="360" w:lineRule="auto"/>
              <w:jc w:val="center"/>
              <w:textAlignment w:val="center"/>
              <w:rPr>
                <w:rFonts w:hint="eastAsia" w:ascii="宋体" w:hAnsi="宋体" w:eastAsia="宋体" w:cs="宋体"/>
              </w:rPr>
            </w:pPr>
            <w:r>
              <w:rPr>
                <w:rFonts w:hint="eastAsia" w:ascii="宋体" w:hAnsi="宋体" w:eastAsia="宋体" w:cs="宋体"/>
              </w:rPr>
              <w:t>体外冲击波治疗仪</w:t>
            </w:r>
          </w:p>
        </w:tc>
        <w:tc>
          <w:tcPr>
            <w:tcW w:w="2223" w:type="pct"/>
            <w:vAlign w:val="center"/>
          </w:tcPr>
          <w:p w14:paraId="5D7EB15F">
            <w:pPr>
              <w:rPr>
                <w:rFonts w:hint="eastAsia" w:ascii="宋体" w:hAnsi="宋体" w:eastAsia="宋体" w:cs="宋体"/>
              </w:rPr>
            </w:pPr>
            <w:r>
              <w:rPr>
                <w:rFonts w:hint="eastAsia" w:ascii="宋体" w:hAnsi="宋体" w:eastAsia="宋体" w:cs="宋体"/>
              </w:rPr>
              <w:t>1、应采用气压弹道式放射状冲击波源，手柄为气压弹道式原理设计(非电磁式)。</w:t>
            </w:r>
          </w:p>
          <w:p w14:paraId="606775DB">
            <w:pPr>
              <w:rPr>
                <w:rFonts w:hint="eastAsia" w:ascii="宋体" w:hAnsi="宋体" w:eastAsia="宋体" w:cs="宋体"/>
              </w:rPr>
            </w:pPr>
            <w:r>
              <w:rPr>
                <w:rFonts w:hint="eastAsia" w:ascii="宋体" w:hAnsi="宋体" w:eastAsia="宋体" w:cs="宋体"/>
              </w:rPr>
              <w:t>2.触摸屏设计，操作简单。</w:t>
            </w:r>
          </w:p>
          <w:p w14:paraId="7C21456C">
            <w:pPr>
              <w:rPr>
                <w:rFonts w:hint="eastAsia" w:ascii="宋体" w:hAnsi="宋体" w:eastAsia="宋体" w:cs="宋体"/>
              </w:rPr>
            </w:pPr>
            <w:r>
              <w:rPr>
                <w:rFonts w:hint="eastAsia" w:ascii="宋体" w:hAnsi="宋体" w:eastAsia="宋体" w:cs="宋体"/>
              </w:rPr>
              <w:t>3.最大治疗强度：≥5.2bar。</w:t>
            </w:r>
          </w:p>
          <w:p w14:paraId="23712B89">
            <w:pPr>
              <w:rPr>
                <w:rFonts w:hint="eastAsia" w:ascii="宋体" w:hAnsi="宋体" w:eastAsia="宋体" w:cs="宋体"/>
              </w:rPr>
            </w:pPr>
            <w:r>
              <w:rPr>
                <w:rFonts w:hint="eastAsia" w:ascii="宋体" w:hAnsi="宋体" w:eastAsia="宋体" w:cs="宋体"/>
              </w:rPr>
              <w:t>4.最小治疗强度：≤0.4bar。</w:t>
            </w:r>
          </w:p>
          <w:p w14:paraId="479FDE71">
            <w:pPr>
              <w:rPr>
                <w:rFonts w:hint="eastAsia" w:ascii="宋体" w:hAnsi="宋体" w:eastAsia="宋体" w:cs="宋体"/>
              </w:rPr>
            </w:pPr>
            <w:r>
              <w:rPr>
                <w:rFonts w:hint="eastAsia" w:ascii="宋体" w:hAnsi="宋体" w:eastAsia="宋体" w:cs="宋体"/>
              </w:rPr>
              <w:t>5、最大能量密度≥4.8mJ/mm²。</w:t>
            </w:r>
          </w:p>
          <w:p w14:paraId="5B256D51">
            <w:pPr>
              <w:rPr>
                <w:rFonts w:hint="eastAsia" w:ascii="宋体" w:hAnsi="宋体" w:eastAsia="宋体" w:cs="宋体"/>
              </w:rPr>
            </w:pPr>
            <w:r>
              <w:rPr>
                <w:rFonts w:hint="eastAsia" w:ascii="宋体" w:hAnsi="宋体" w:eastAsia="宋体" w:cs="宋体"/>
              </w:rPr>
              <w:t>6、手柄具备触发按钮，治疗中可控制手柄暂停与输出。</w:t>
            </w:r>
          </w:p>
          <w:p w14:paraId="45DF9537">
            <w:pPr>
              <w:rPr>
                <w:rFonts w:hint="eastAsia" w:ascii="宋体" w:hAnsi="宋体" w:eastAsia="宋体" w:cs="宋体"/>
              </w:rPr>
            </w:pPr>
            <w:r>
              <w:rPr>
                <w:rFonts w:hint="eastAsia" w:ascii="宋体" w:hAnsi="宋体" w:eastAsia="宋体" w:cs="宋体"/>
              </w:rPr>
              <w:t>7、主机单次治疗设置次数：连续模式，即无限次数。</w:t>
            </w:r>
          </w:p>
          <w:p w14:paraId="2D6C4230">
            <w:pPr>
              <w:rPr>
                <w:rFonts w:hint="eastAsia" w:ascii="宋体" w:hAnsi="宋体" w:eastAsia="宋体" w:cs="宋体"/>
              </w:rPr>
            </w:pPr>
            <w:r>
              <w:rPr>
                <w:rFonts w:hint="eastAsia" w:ascii="宋体" w:hAnsi="宋体" w:eastAsia="宋体" w:cs="宋体"/>
              </w:rPr>
              <w:t>8、最大治疗频率：≥10Hz。</w:t>
            </w:r>
          </w:p>
          <w:p w14:paraId="2D33F1CC">
            <w:pPr>
              <w:rPr>
                <w:rFonts w:hint="eastAsia" w:ascii="宋体" w:hAnsi="宋体" w:eastAsia="宋体" w:cs="宋体"/>
              </w:rPr>
            </w:pPr>
            <w:r>
              <w:rPr>
                <w:rFonts w:hint="eastAsia" w:ascii="宋体" w:hAnsi="宋体" w:eastAsia="宋体" w:cs="宋体"/>
              </w:rPr>
              <w:t>9、冲击波脉宽：≥180μs。</w:t>
            </w:r>
          </w:p>
          <w:p w14:paraId="3CCFE817">
            <w:pPr>
              <w:rPr>
                <w:rFonts w:hint="eastAsia" w:ascii="宋体" w:hAnsi="宋体" w:eastAsia="宋体" w:cs="宋体"/>
              </w:rPr>
            </w:pPr>
            <w:r>
              <w:rPr>
                <w:rFonts w:hint="eastAsia" w:ascii="宋体" w:hAnsi="宋体" w:eastAsia="宋体" w:cs="宋体"/>
              </w:rPr>
              <w:t>10、一体化设计，三通道输出，2路冲击治疗输出，1路按摩治疗输出。</w:t>
            </w:r>
          </w:p>
          <w:p w14:paraId="0F07910D">
            <w:pPr>
              <w:rPr>
                <w:rFonts w:hint="eastAsia" w:ascii="宋体" w:hAnsi="宋体" w:eastAsia="宋体" w:cs="宋体"/>
              </w:rPr>
            </w:pPr>
            <w:r>
              <w:rPr>
                <w:rFonts w:hint="eastAsia" w:ascii="宋体" w:hAnsi="宋体" w:eastAsia="宋体" w:cs="宋体"/>
              </w:rPr>
              <w:t>11、冲击手枪，配备≥6种冲击治疗探头，包括以下探头：（提供不少于6种款式按摩探头款式图及原厂功能截图）</w:t>
            </w:r>
          </w:p>
          <w:p w14:paraId="30545945">
            <w:pPr>
              <w:rPr>
                <w:rFonts w:hint="eastAsia" w:ascii="宋体" w:hAnsi="宋体" w:eastAsia="宋体" w:cs="宋体"/>
              </w:rPr>
            </w:pPr>
            <w:r>
              <w:rPr>
                <w:rFonts w:hint="eastAsia" w:ascii="宋体" w:hAnsi="宋体" w:eastAsia="宋体" w:cs="宋体"/>
              </w:rPr>
              <w:t>1、标准治疗探头：直径≥15mm，用于治疗肌腱炎、钙化性肌腱炎、肌腱病变、 肩部钙化、跟骨骨刺等；</w:t>
            </w:r>
          </w:p>
          <w:p w14:paraId="2EF172BA">
            <w:pPr>
              <w:rPr>
                <w:rFonts w:hint="eastAsia" w:ascii="宋体" w:hAnsi="宋体" w:eastAsia="宋体" w:cs="宋体"/>
              </w:rPr>
            </w:pPr>
            <w:r>
              <w:rPr>
                <w:rFonts w:hint="eastAsia" w:ascii="宋体" w:hAnsi="宋体" w:eastAsia="宋体" w:cs="宋体"/>
              </w:rPr>
              <w:t>2、D-ACTOR 变频治疗探头：直径≥20mm，用于治疗深层组织，如梨状肌、臀小肌、 结缔组织等的病变；修复纤维化改变，如腕管综合症、消除僵硬与粘连等；</w:t>
            </w:r>
          </w:p>
          <w:p w14:paraId="7FCB080F">
            <w:pPr>
              <w:rPr>
                <w:rFonts w:hint="eastAsia" w:ascii="宋体" w:hAnsi="宋体" w:eastAsia="宋体" w:cs="宋体"/>
              </w:rPr>
            </w:pPr>
            <w:r>
              <w:rPr>
                <w:rFonts w:hint="eastAsia" w:ascii="宋体" w:hAnsi="宋体" w:eastAsia="宋体" w:cs="宋体"/>
              </w:rPr>
              <w:t>3、DEEO IMPACT 深层治疗探头：直径≥15mm，能把原来散射型冲击波向平衡释放出来，因此能达到较深层的组织，适用于深层激痛点的治疗；</w:t>
            </w:r>
          </w:p>
          <w:p w14:paraId="2B011406">
            <w:pPr>
              <w:rPr>
                <w:rFonts w:hint="eastAsia" w:ascii="宋体" w:hAnsi="宋体" w:eastAsia="宋体" w:cs="宋体"/>
              </w:rPr>
            </w:pPr>
            <w:r>
              <w:rPr>
                <w:rFonts w:hint="eastAsia" w:ascii="宋体" w:hAnsi="宋体" w:eastAsia="宋体" w:cs="宋体"/>
              </w:rPr>
              <w:t>4、聚焦式治疗探头：直径≥15mm，能把原来散射冲击波集中于 20mm 短距释放，适用于近骨浅层患伤，如咬肌、颈部、个别激痛点；</w:t>
            </w:r>
          </w:p>
          <w:p w14:paraId="6369E54C">
            <w:pPr>
              <w:rPr>
                <w:rFonts w:hint="eastAsia" w:ascii="宋体" w:hAnsi="宋体" w:eastAsia="宋体" w:cs="宋体"/>
              </w:rPr>
            </w:pPr>
            <w:r>
              <w:rPr>
                <w:rFonts w:hint="eastAsia" w:ascii="宋体" w:hAnsi="宋体" w:eastAsia="宋体" w:cs="宋体"/>
              </w:rPr>
              <w:t>5、穴位治疗探头：直径≥6mm，针灸穴位治疗专用；</w:t>
            </w:r>
          </w:p>
          <w:p w14:paraId="708E7A82">
            <w:pPr>
              <w:rPr>
                <w:rFonts w:hint="eastAsia" w:ascii="宋体" w:hAnsi="宋体" w:eastAsia="宋体" w:cs="宋体"/>
              </w:rPr>
            </w:pPr>
            <w:r>
              <w:rPr>
                <w:rFonts w:hint="eastAsia" w:ascii="宋体" w:hAnsi="宋体" w:eastAsia="宋体" w:cs="宋体"/>
              </w:rPr>
              <w:t>6、D-ACTOR 变频治疗探头：直径≥35mm，适用于较大面积的肌肉，定位激痛点，治疗深层肌肉；</w:t>
            </w:r>
          </w:p>
          <w:p w14:paraId="24FECEA1">
            <w:pPr>
              <w:rPr>
                <w:rFonts w:hint="eastAsia" w:ascii="宋体" w:hAnsi="宋体" w:eastAsia="宋体" w:cs="宋体"/>
              </w:rPr>
            </w:pPr>
            <w:r>
              <w:rPr>
                <w:rFonts w:hint="eastAsia" w:ascii="宋体" w:hAnsi="宋体" w:eastAsia="宋体" w:cs="宋体"/>
              </w:rPr>
              <w:t>7、按摩手枪，配备≥2种按摩治疗头。</w:t>
            </w:r>
          </w:p>
          <w:p w14:paraId="5E49C4A3">
            <w:pPr>
              <w:spacing w:line="360" w:lineRule="auto"/>
              <w:rPr>
                <w:rFonts w:hint="eastAsia" w:ascii="宋体" w:hAnsi="宋体" w:cs="宋体"/>
                <w:b/>
                <w:bCs/>
                <w:szCs w:val="21"/>
              </w:rPr>
            </w:pPr>
            <w:r>
              <w:rPr>
                <w:rFonts w:hint="eastAsia" w:ascii="宋体" w:hAnsi="宋体" w:cs="宋体"/>
              </w:rPr>
              <w:t>12、治疗仪的空气压缩机与冲击手枪连接的管路应能承受的压力应不低于空气压缩机的最大输出压力，并且保持</w:t>
            </w:r>
            <w:r>
              <w:rPr>
                <w:rFonts w:hint="eastAsia" w:ascii="宋体" w:hAnsi="宋体" w:eastAsia="宋体" w:cs="宋体"/>
              </w:rPr>
              <w:t>≥</w:t>
            </w:r>
            <w:r>
              <w:rPr>
                <w:rFonts w:hint="eastAsia" w:ascii="宋体" w:hAnsi="宋体" w:cs="宋体"/>
              </w:rPr>
              <w:t>1min,管路应不破裂，不永久变形，连接管路的接头不脱落；</w:t>
            </w:r>
          </w:p>
          <w:p w14:paraId="4F098C5D">
            <w:pPr>
              <w:spacing w:line="360" w:lineRule="auto"/>
            </w:pPr>
            <w:r>
              <w:rPr>
                <w:rFonts w:hint="eastAsia"/>
              </w:rPr>
              <w:t>13、冲击手枪2具有以下功能：可显示、调节治疗压强；可显示、调节治疗频率；可显示冲击次数、当前工作次数、历史总次数、维护周期内的使用次数、手枪软件版本号等；并能启动和暂停工作；</w:t>
            </w:r>
          </w:p>
          <w:p w14:paraId="3C5A9BE2">
            <w:pPr>
              <w:rPr>
                <w:rFonts w:hint="eastAsia" w:ascii="宋体" w:hAnsi="宋体" w:eastAsia="宋体" w:cs="宋体"/>
              </w:rPr>
            </w:pPr>
            <w:r>
              <w:rPr>
                <w:rFonts w:hint="eastAsia"/>
              </w:rPr>
              <w:t>14、治疗模式≥4种。</w:t>
            </w:r>
          </w:p>
        </w:tc>
        <w:tc>
          <w:tcPr>
            <w:tcW w:w="998" w:type="pct"/>
            <w:vAlign w:val="center"/>
          </w:tcPr>
          <w:p w14:paraId="7B1B0D9B">
            <w:pPr>
              <w:pStyle w:val="2"/>
              <w:jc w:val="center"/>
              <w:rPr>
                <w:rFonts w:hint="eastAsia" w:ascii="宋体" w:hAnsi="宋体" w:cs="宋体"/>
              </w:rPr>
            </w:pPr>
            <w:r>
              <w:rPr>
                <w:rFonts w:hint="eastAsia" w:ascii="宋体" w:hAnsi="宋体" w:cs="宋体"/>
              </w:rPr>
              <w:t>1台</w:t>
            </w:r>
          </w:p>
        </w:tc>
      </w:tr>
      <w:tr w14:paraId="7022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vAlign w:val="center"/>
          </w:tcPr>
          <w:p w14:paraId="2C013A2F">
            <w:pPr>
              <w:pStyle w:val="2"/>
              <w:jc w:val="center"/>
              <w:rPr>
                <w:rFonts w:hint="eastAsia" w:ascii="宋体" w:hAnsi="宋体" w:cs="宋体"/>
              </w:rPr>
            </w:pPr>
            <w:r>
              <w:rPr>
                <w:rFonts w:hint="eastAsia" w:ascii="宋体" w:hAnsi="宋体" w:cs="宋体"/>
              </w:rPr>
              <w:t>4</w:t>
            </w:r>
          </w:p>
        </w:tc>
        <w:tc>
          <w:tcPr>
            <w:tcW w:w="880" w:type="pct"/>
            <w:vAlign w:val="center"/>
          </w:tcPr>
          <w:p w14:paraId="4621F0FE">
            <w:pPr>
              <w:spacing w:line="360" w:lineRule="auto"/>
              <w:jc w:val="center"/>
              <w:textAlignment w:val="center"/>
              <w:rPr>
                <w:rFonts w:hint="eastAsia" w:ascii="宋体" w:hAnsi="宋体" w:eastAsia="宋体" w:cs="宋体"/>
                <w:kern w:val="0"/>
                <w:szCs w:val="21"/>
              </w:rPr>
            </w:pPr>
            <w:r>
              <w:rPr>
                <w:rFonts w:hint="eastAsia" w:ascii="宋体" w:hAnsi="宋体" w:eastAsia="宋体" w:cs="宋体"/>
                <w:bCs/>
                <w:szCs w:val="21"/>
              </w:rPr>
              <w:t>气囊式体外反搏装置</w:t>
            </w:r>
          </w:p>
        </w:tc>
        <w:tc>
          <w:tcPr>
            <w:tcW w:w="2223" w:type="pct"/>
            <w:vAlign w:val="center"/>
          </w:tcPr>
          <w:p w14:paraId="1F272AE6">
            <w:pPr>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1、工作压力：</w:t>
            </w:r>
          </w:p>
          <w:p w14:paraId="3CA57F3D">
            <w:pPr>
              <w:shd w:val="clear" w:color="auto" w:fill="FFFFFF"/>
              <w:tabs>
                <w:tab w:val="left" w:pos="1005"/>
              </w:tabs>
              <w:spacing w:line="360" w:lineRule="auto"/>
              <w:jc w:val="left"/>
              <w:rPr>
                <w:rFonts w:hint="eastAsia" w:ascii="宋体" w:hAnsi="宋体" w:eastAsia="宋体" w:cs="宋体"/>
                <w:bCs/>
                <w:szCs w:val="21"/>
              </w:rPr>
            </w:pPr>
            <w:r>
              <w:rPr>
                <w:rFonts w:hint="eastAsia" w:ascii="宋体" w:hAnsi="宋体" w:eastAsia="宋体" w:cs="宋体"/>
                <w:bCs/>
                <w:szCs w:val="21"/>
              </w:rPr>
              <w:t>1.1反搏装置在心率为80bpm时，工作压力在43-59kPa范围内。</w:t>
            </w:r>
            <w:r>
              <w:rPr>
                <w:rFonts w:hint="eastAsia" w:ascii="宋体" w:hAnsi="宋体" w:eastAsia="宋体" w:cs="宋体"/>
                <w:bCs/>
                <w:szCs w:val="21"/>
              </w:rPr>
              <w:br w:type="textWrapping"/>
            </w:r>
            <w:r>
              <w:rPr>
                <w:rFonts w:hint="eastAsia" w:ascii="宋体" w:hAnsi="宋体" w:eastAsia="宋体" w:cs="宋体"/>
                <w:bCs/>
                <w:szCs w:val="21"/>
              </w:rPr>
              <w:t>1.2反搏装置使用</w:t>
            </w:r>
            <w:r>
              <w:rPr>
                <w:rFonts w:hint="eastAsia" w:ascii="宋体" w:hAnsi="宋体" w:eastAsia="宋体" w:cs="宋体"/>
                <w:bCs/>
                <w:szCs w:val="21"/>
                <w:shd w:val="clear" w:color="auto" w:fill="FFFFFF"/>
              </w:rPr>
              <w:t>专利体外反搏气路系统，含冷却装置</w:t>
            </w:r>
            <w:r>
              <w:rPr>
                <w:rFonts w:hint="eastAsia" w:ascii="宋体" w:hAnsi="宋体" w:eastAsia="宋体" w:cs="宋体"/>
                <w:bCs/>
                <w:szCs w:val="21"/>
              </w:rPr>
              <w:t>。</w:t>
            </w:r>
          </w:p>
          <w:p w14:paraId="340F1E27">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1.3设备</w:t>
            </w:r>
            <w:r>
              <w:rPr>
                <w:rFonts w:hint="eastAsia" w:ascii="宋体" w:hAnsi="宋体" w:eastAsia="宋体" w:cs="宋体"/>
                <w:bCs/>
                <w:szCs w:val="21"/>
                <w:shd w:val="clear" w:color="auto" w:fill="FFFFFF"/>
              </w:rPr>
              <w:t>输入功率不小于2000VA。</w:t>
            </w:r>
          </w:p>
          <w:p w14:paraId="43049396">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1.4</w:t>
            </w:r>
            <w:r>
              <w:rPr>
                <w:rFonts w:hint="eastAsia" w:ascii="宋体" w:hAnsi="宋体" w:eastAsia="宋体" w:cs="宋体"/>
                <w:bCs/>
                <w:szCs w:val="21"/>
                <w:shd w:val="clear" w:color="auto" w:fill="FFFFFF"/>
              </w:rPr>
              <w:t>电磁阀</w:t>
            </w:r>
            <w:r>
              <w:rPr>
                <w:rFonts w:hint="eastAsia" w:ascii="宋体" w:hAnsi="宋体" w:eastAsia="宋体" w:cs="宋体"/>
                <w:bCs/>
                <w:szCs w:val="21"/>
              </w:rPr>
              <w:t>：通径20mm，响应时间≤50ms；断电时，电磁阀处于排气状态，治疗界面显示电磁阀工作状态图像。</w:t>
            </w:r>
          </w:p>
          <w:p w14:paraId="219EBE08">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1.5囊套：含小腿、大腿、臀部囊套，覆盖面积＞0.3㎡。</w:t>
            </w:r>
          </w:p>
          <w:p w14:paraId="61ECF8E5">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2、心电：</w:t>
            </w:r>
          </w:p>
          <w:p w14:paraId="5B1547AD">
            <w:pPr>
              <w:shd w:val="clear" w:color="auto" w:fill="FFFFFF"/>
              <w:tabs>
                <w:tab w:val="left" w:pos="1005"/>
              </w:tabs>
              <w:spacing w:line="360" w:lineRule="auto"/>
              <w:rPr>
                <w:rFonts w:hint="eastAsia" w:ascii="宋体" w:hAnsi="宋体" w:eastAsia="宋体" w:cs="宋体"/>
                <w:bCs/>
                <w:szCs w:val="21"/>
                <w:shd w:val="clear" w:color="auto" w:fill="FFFFFF"/>
              </w:rPr>
            </w:pPr>
            <w:r>
              <w:rPr>
                <w:rFonts w:hint="eastAsia" w:ascii="宋体" w:hAnsi="宋体" w:eastAsia="宋体" w:cs="宋体"/>
                <w:bCs/>
                <w:szCs w:val="21"/>
              </w:rPr>
              <w:t>2.1以心电R波为触发信号，充排气和心动周期同步</w:t>
            </w:r>
            <w:r>
              <w:rPr>
                <w:rFonts w:hint="eastAsia" w:ascii="宋体" w:hAnsi="宋体" w:eastAsia="宋体" w:cs="宋体"/>
                <w:bCs/>
                <w:szCs w:val="21"/>
                <w:shd w:val="clear" w:color="auto" w:fill="FFFFFF"/>
              </w:rPr>
              <w:t>。</w:t>
            </w:r>
          </w:p>
          <w:p w14:paraId="5A6B938F">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2.2心率测量范围:35bpm～165bpm； 心电波形增益可调范围：1～32级。</w:t>
            </w:r>
          </w:p>
          <w:p w14:paraId="6C08BB60">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2.3当心率超过反搏限值时，具有自动停止反搏功能，心率正常时自动恢复反搏；自动跟踪不齐心率，实现反搏同步。</w:t>
            </w:r>
          </w:p>
          <w:p w14:paraId="26093754">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2.4</w:t>
            </w:r>
            <w:r>
              <w:rPr>
                <w:rFonts w:hint="eastAsia" w:ascii="宋体" w:hAnsi="宋体" w:eastAsia="宋体" w:cs="宋体"/>
                <w:bCs/>
                <w:szCs w:val="21"/>
                <w:shd w:val="clear" w:color="auto" w:fill="FFFFFF"/>
              </w:rPr>
              <w:t>早博保护：早搏信号能触发排气。</w:t>
            </w:r>
          </w:p>
          <w:p w14:paraId="4A9C6942">
            <w:pPr>
              <w:numPr>
                <w:ilvl w:val="0"/>
                <w:numId w:val="2"/>
              </w:numPr>
              <w:shd w:val="clear" w:color="auto" w:fill="FFFFFF"/>
              <w:tabs>
                <w:tab w:val="left" w:pos="1005"/>
              </w:tabs>
              <w:spacing w:line="360" w:lineRule="auto"/>
              <w:jc w:val="left"/>
              <w:rPr>
                <w:rFonts w:hint="eastAsia" w:ascii="宋体" w:hAnsi="宋体" w:eastAsia="宋体" w:cs="宋体"/>
                <w:bCs/>
                <w:szCs w:val="21"/>
              </w:rPr>
            </w:pPr>
            <w:r>
              <w:rPr>
                <w:rFonts w:hint="eastAsia" w:ascii="宋体" w:hAnsi="宋体" w:eastAsia="宋体" w:cs="宋体"/>
                <w:bCs/>
                <w:szCs w:val="21"/>
              </w:rPr>
              <w:t>脉搏血氧：</w:t>
            </w:r>
            <w:r>
              <w:rPr>
                <w:rFonts w:hint="eastAsia" w:ascii="宋体" w:hAnsi="宋体" w:eastAsia="宋体" w:cs="宋体"/>
                <w:bCs/>
                <w:szCs w:val="21"/>
              </w:rPr>
              <w:br w:type="textWrapping"/>
            </w:r>
            <w:r>
              <w:rPr>
                <w:rFonts w:hint="eastAsia" w:ascii="宋体" w:hAnsi="宋体" w:eastAsia="宋体" w:cs="宋体"/>
                <w:bCs/>
                <w:szCs w:val="21"/>
              </w:rPr>
              <w:t>3.1治疗中实时显示脉搏波形、D/S峰值比、面积比，反映治疗效果。</w:t>
            </w:r>
          </w:p>
          <w:p w14:paraId="6D7ED759">
            <w:pPr>
              <w:shd w:val="clear" w:color="auto" w:fill="FFFFFF"/>
              <w:tabs>
                <w:tab w:val="left" w:pos="1005"/>
              </w:tabs>
              <w:spacing w:line="360" w:lineRule="auto"/>
              <w:jc w:val="left"/>
              <w:rPr>
                <w:rFonts w:hint="eastAsia" w:ascii="宋体" w:hAnsi="宋体" w:eastAsia="宋体" w:cs="宋体"/>
                <w:bCs/>
                <w:szCs w:val="21"/>
              </w:rPr>
            </w:pPr>
            <w:r>
              <w:rPr>
                <w:rFonts w:hint="eastAsia" w:ascii="宋体" w:hAnsi="宋体" w:eastAsia="宋体" w:cs="宋体"/>
                <w:bCs/>
                <w:szCs w:val="21"/>
              </w:rPr>
              <w:t>3.</w:t>
            </w:r>
            <w:r>
              <w:rPr>
                <w:rFonts w:hint="eastAsia" w:ascii="宋体" w:hAnsi="宋体" w:eastAsia="宋体" w:cs="宋体"/>
                <w:bCs/>
                <w:szCs w:val="21"/>
                <w:shd w:val="clear" w:color="auto" w:fill="FFFFFF"/>
              </w:rPr>
              <w:t>2氧饱和度监测模块通过ISO80601-2-61检测。</w:t>
            </w:r>
          </w:p>
          <w:p w14:paraId="36187163">
            <w:pPr>
              <w:shd w:val="clear" w:color="auto" w:fill="FFFFFF"/>
              <w:tabs>
                <w:tab w:val="left" w:pos="1005"/>
              </w:tabs>
              <w:spacing w:line="360" w:lineRule="auto"/>
              <w:jc w:val="left"/>
              <w:rPr>
                <w:rFonts w:hint="eastAsia" w:ascii="宋体" w:hAnsi="宋体" w:eastAsia="宋体" w:cs="宋体"/>
                <w:bCs/>
                <w:szCs w:val="21"/>
              </w:rPr>
            </w:pPr>
            <w:r>
              <w:rPr>
                <w:rFonts w:hint="eastAsia" w:ascii="宋体" w:hAnsi="宋体" w:eastAsia="宋体" w:cs="宋体"/>
                <w:bCs/>
                <w:szCs w:val="21"/>
              </w:rPr>
              <w:t>3.3指脉波增益可调范围：1～32级。</w:t>
            </w:r>
          </w:p>
          <w:p w14:paraId="62C2A6C6">
            <w:pPr>
              <w:numPr>
                <w:ilvl w:val="0"/>
                <w:numId w:val="2"/>
              </w:num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排气信号前沿调节不落后于下一个生理信号的触发波。</w:t>
            </w:r>
          </w:p>
          <w:p w14:paraId="6084E287">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5、在相邻两级序贯的充气时差为：成人≤50ms.</w:t>
            </w:r>
          </w:p>
          <w:p w14:paraId="64F344C2">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6、实际工作压力应保持在设定值±1kPa范围内。</w:t>
            </w:r>
          </w:p>
          <w:p w14:paraId="63A1C002">
            <w:pPr>
              <w:shd w:val="clear" w:color="auto" w:fill="FFFFFF"/>
              <w:tabs>
                <w:tab w:val="left" w:pos="1005"/>
              </w:tabs>
              <w:spacing w:line="360" w:lineRule="auto"/>
              <w:rPr>
                <w:rFonts w:hint="eastAsia" w:ascii="宋体" w:hAnsi="宋体" w:eastAsia="宋体" w:cs="宋体"/>
                <w:bCs/>
                <w:szCs w:val="21"/>
                <w:shd w:val="clear" w:color="auto" w:fill="E36C09"/>
              </w:rPr>
            </w:pPr>
            <w:r>
              <w:rPr>
                <w:rFonts w:hint="eastAsia" w:ascii="宋体" w:hAnsi="宋体" w:eastAsia="宋体" w:cs="宋体"/>
                <w:bCs/>
                <w:szCs w:val="21"/>
              </w:rPr>
              <w:t>7、配备自主著作权的《病员信息管理软件》，数据库存储治疗者心电、血氧、治疗压力等数据，</w:t>
            </w:r>
            <w:r>
              <w:rPr>
                <w:rFonts w:hint="eastAsia" w:ascii="宋体" w:hAnsi="宋体" w:eastAsia="宋体" w:cs="宋体"/>
                <w:bCs/>
                <w:szCs w:val="21"/>
                <w:shd w:val="clear" w:color="auto" w:fill="FFFFFF"/>
              </w:rPr>
              <w:t>可增加数据回放功能。</w:t>
            </w:r>
          </w:p>
          <w:p w14:paraId="4F4FFE64">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8、治疗时间设置范围不小于5min～60min；设置步进不大于5min；反搏比率为1:1或1:2可调。</w:t>
            </w:r>
          </w:p>
          <w:p w14:paraId="4ADF3139">
            <w:pPr>
              <w:shd w:val="clear" w:color="auto" w:fill="FFFFFF"/>
              <w:tabs>
                <w:tab w:val="left" w:pos="1000"/>
              </w:tabs>
              <w:spacing w:line="360" w:lineRule="auto"/>
              <w:rPr>
                <w:rFonts w:hint="eastAsia" w:ascii="宋体" w:hAnsi="宋体" w:eastAsia="宋体" w:cs="宋体"/>
                <w:bCs/>
                <w:szCs w:val="21"/>
              </w:rPr>
            </w:pPr>
            <w:r>
              <w:rPr>
                <w:rFonts w:hint="eastAsia" w:ascii="宋体" w:hAnsi="宋体" w:eastAsia="宋体" w:cs="宋体"/>
                <w:bCs/>
                <w:szCs w:val="21"/>
              </w:rPr>
              <w:t>9、</w:t>
            </w:r>
            <w:r>
              <w:rPr>
                <w:rFonts w:hint="eastAsia" w:ascii="宋体" w:hAnsi="宋体" w:eastAsia="宋体" w:cs="宋体"/>
                <w:szCs w:val="21"/>
                <w:shd w:val="clear" w:color="auto" w:fill="FFFFFF"/>
              </w:rPr>
              <w:t>心电、血氧采集和系统控制集成在一块电路板上，避免多个板卡的数据传输问题，增强系统的可靠性。</w:t>
            </w:r>
          </w:p>
          <w:p w14:paraId="6F702AF3">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10、</w:t>
            </w:r>
            <w:r>
              <w:rPr>
                <w:rFonts w:hint="eastAsia" w:ascii="宋体" w:hAnsi="宋体" w:eastAsia="宋体" w:cs="宋体"/>
                <w:bCs/>
                <w:szCs w:val="21"/>
                <w:shd w:val="clear" w:color="auto" w:fill="FFFFFF"/>
              </w:rPr>
              <w:t>采用不小于14寸操作电脑</w:t>
            </w:r>
            <w:r>
              <w:rPr>
                <w:rFonts w:hint="eastAsia" w:ascii="宋体" w:hAnsi="宋体" w:eastAsia="宋体" w:cs="宋体"/>
                <w:bCs/>
                <w:szCs w:val="21"/>
              </w:rPr>
              <w:t>，安全、便捷。</w:t>
            </w:r>
          </w:p>
          <w:p w14:paraId="3D2CA4EA">
            <w:pPr>
              <w:spacing w:line="360" w:lineRule="auto"/>
              <w:rPr>
                <w:rFonts w:hint="eastAsia" w:ascii="宋体" w:hAnsi="宋体" w:eastAsia="宋体" w:cs="宋体"/>
                <w:bCs/>
                <w:szCs w:val="21"/>
              </w:rPr>
            </w:pPr>
            <w:r>
              <w:rPr>
                <w:rFonts w:hint="eastAsia" w:ascii="宋体" w:hAnsi="宋体" w:eastAsia="宋体" w:cs="宋体"/>
                <w:bCs/>
                <w:szCs w:val="21"/>
              </w:rPr>
              <w:t>11、采用医疗级隔离变压器，变压器的外壳有防止过热装置，确保变压器基本绝缘、辅助绝缘和加强绝缘在任何输出绕组短路或过载时过热，在最高温度超出前，保护装置动作、保护人身安全。</w:t>
            </w:r>
          </w:p>
          <w:p w14:paraId="74BF6990">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12、</w:t>
            </w:r>
            <w:r>
              <w:rPr>
                <w:rFonts w:hint="eastAsia" w:ascii="宋体" w:hAnsi="宋体" w:eastAsia="宋体" w:cs="宋体"/>
                <w:bCs/>
                <w:szCs w:val="21"/>
                <w:shd w:val="clear" w:color="auto" w:fill="FFFFFF"/>
              </w:rPr>
              <w:t>采用专用谐波滤波器</w:t>
            </w:r>
            <w:r>
              <w:rPr>
                <w:rFonts w:hint="eastAsia" w:ascii="宋体" w:hAnsi="宋体" w:eastAsia="宋体" w:cs="宋体"/>
                <w:bCs/>
                <w:szCs w:val="21"/>
              </w:rPr>
              <w:t>，有效控制谐波危害，降耗。</w:t>
            </w:r>
          </w:p>
          <w:p w14:paraId="6E41C13B">
            <w:pPr>
              <w:spacing w:line="360" w:lineRule="auto"/>
              <w:rPr>
                <w:rFonts w:hint="eastAsia" w:ascii="宋体" w:hAnsi="宋体" w:eastAsia="宋体" w:cs="宋体"/>
                <w:bCs/>
                <w:szCs w:val="21"/>
              </w:rPr>
            </w:pPr>
            <w:r>
              <w:rPr>
                <w:rFonts w:hint="eastAsia" w:ascii="宋体" w:hAnsi="宋体" w:eastAsia="宋体" w:cs="宋体"/>
                <w:bCs/>
                <w:szCs w:val="21"/>
              </w:rPr>
              <w:t>13、采用熔断器，形成过流保护，增强安全性。</w:t>
            </w:r>
          </w:p>
          <w:p w14:paraId="6B9EE174">
            <w:pPr>
              <w:spacing w:line="360" w:lineRule="auto"/>
              <w:rPr>
                <w:rFonts w:hint="eastAsia" w:ascii="宋体" w:hAnsi="宋体" w:eastAsia="宋体" w:cs="宋体"/>
                <w:kern w:val="0"/>
                <w:szCs w:val="21"/>
              </w:rPr>
            </w:pPr>
            <w:r>
              <w:rPr>
                <w:rFonts w:hint="eastAsia" w:ascii="宋体" w:hAnsi="宋体" w:eastAsia="宋体" w:cs="宋体"/>
                <w:bCs/>
                <w:szCs w:val="21"/>
              </w:rPr>
              <w:t>14、产品的保护接地电阻端子、连续漏电流和患者辅助电流、电介质强度等，符合GB9706.1的要求。</w:t>
            </w:r>
          </w:p>
        </w:tc>
        <w:tc>
          <w:tcPr>
            <w:tcW w:w="998" w:type="pct"/>
            <w:vAlign w:val="center"/>
          </w:tcPr>
          <w:p w14:paraId="493C0412">
            <w:pPr>
              <w:pStyle w:val="2"/>
              <w:jc w:val="center"/>
              <w:rPr>
                <w:rFonts w:hint="eastAsia" w:ascii="宋体" w:hAnsi="宋体" w:cs="宋体"/>
              </w:rPr>
            </w:pPr>
            <w:r>
              <w:rPr>
                <w:rFonts w:hint="eastAsia" w:ascii="宋体" w:hAnsi="宋体" w:cs="宋体"/>
              </w:rPr>
              <w:t>1台</w:t>
            </w:r>
          </w:p>
        </w:tc>
      </w:tr>
      <w:bookmarkEnd w:id="0"/>
    </w:tbl>
    <w:p w14:paraId="6E55C7C4">
      <w:pPr>
        <w:pStyle w:val="2"/>
      </w:pPr>
    </w:p>
    <w:p w14:paraId="6BDDA947"/>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3"/>
      <w:numFmt w:val="decimal"/>
      <w:suff w:val="nothing"/>
      <w:lvlText w:val="%1、"/>
      <w:lvlJc w:val="left"/>
    </w:lvl>
  </w:abstractNum>
  <w:abstractNum w:abstractNumId="1">
    <w:nsid w:val="68DE4700"/>
    <w:multiLevelType w:val="singleLevel"/>
    <w:tmpl w:val="68DE4700"/>
    <w:lvl w:ilvl="0" w:tentative="0">
      <w:start w:val="1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3319F"/>
    <w:rsid w:val="003275FE"/>
    <w:rsid w:val="003D1A58"/>
    <w:rsid w:val="00AF5987"/>
    <w:rsid w:val="00B865B5"/>
    <w:rsid w:val="059516C3"/>
    <w:rsid w:val="095B1777"/>
    <w:rsid w:val="0CE9643C"/>
    <w:rsid w:val="129C1110"/>
    <w:rsid w:val="13D822DA"/>
    <w:rsid w:val="1603319F"/>
    <w:rsid w:val="17AD70C3"/>
    <w:rsid w:val="1FC62D1E"/>
    <w:rsid w:val="279A3BBF"/>
    <w:rsid w:val="2EBC3E32"/>
    <w:rsid w:val="31532CBE"/>
    <w:rsid w:val="341D734C"/>
    <w:rsid w:val="355F539A"/>
    <w:rsid w:val="398C19F3"/>
    <w:rsid w:val="47343740"/>
    <w:rsid w:val="4D2B4BDA"/>
    <w:rsid w:val="578D5F1E"/>
    <w:rsid w:val="613E6B55"/>
    <w:rsid w:val="62F519EC"/>
    <w:rsid w:val="657464C0"/>
    <w:rsid w:val="72830922"/>
    <w:rsid w:val="7AD04AF3"/>
    <w:rsid w:val="7B026A13"/>
    <w:rsid w:val="7B9E0307"/>
    <w:rsid w:val="7C5F2D5B"/>
    <w:rsid w:val="7CFA3AFB"/>
    <w:rsid w:val="7D4B7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szCs w:val="24"/>
    </w:rPr>
  </w:style>
  <w:style w:type="paragraph" w:styleId="3">
    <w:name w:val="index 8"/>
    <w:basedOn w:val="1"/>
    <w:next w:val="1"/>
    <w:qFormat/>
    <w:uiPriority w:val="0"/>
    <w:pPr>
      <w:ind w:left="2940"/>
    </w:pPr>
  </w:style>
  <w:style w:type="paragraph" w:styleId="4">
    <w:name w:val="Normal Indent"/>
    <w:basedOn w:val="1"/>
    <w:next w:val="1"/>
    <w:qFormat/>
    <w:uiPriority w:val="0"/>
    <w:pPr>
      <w:ind w:firstLine="420"/>
    </w:pPr>
    <w:rPr>
      <w:rFonts w:ascii="Times New Roman" w:hAnsi="Times New Roman" w:eastAsia="宋体" w:cs="Times New Roman"/>
      <w:szCs w:val="20"/>
    </w:rPr>
  </w:style>
  <w:style w:type="paragraph" w:styleId="5">
    <w:name w:val="Plain Text"/>
    <w:basedOn w:val="1"/>
    <w:next w:val="3"/>
    <w:qFormat/>
    <w:uiPriority w:val="0"/>
    <w:rPr>
      <w:rFonts w:ascii="宋体" w:hAnsi="Courier New" w:eastAsia="宋体" w:cs="Times New Roma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段"/>
    <w:next w:val="1"/>
    <w:qFormat/>
    <w:uiPriority w:val="0"/>
    <w:pPr>
      <w:autoSpaceDE w:val="0"/>
      <w:autoSpaceDN w:val="0"/>
      <w:spacing w:after="160" w:line="278" w:lineRule="auto"/>
      <w:ind w:firstLine="420" w:firstLineChars="200"/>
      <w:jc w:val="both"/>
    </w:pPr>
    <w:rPr>
      <w:rFonts w:ascii="宋体" w:hAnsi="Times New Roman" w:eastAsia="宋体" w:cs="Times New Roman"/>
      <w:sz w:val="21"/>
      <w:szCs w:val="22"/>
      <w:lang w:val="en-US" w:eastAsia="zh-CN" w:bidi="ar-SA"/>
    </w:rPr>
  </w:style>
  <w:style w:type="paragraph" w:customStyle="1" w:styleId="10">
    <w:name w:val="列出段落1"/>
    <w:basedOn w:val="1"/>
    <w:qFormat/>
    <w:uiPriority w:val="0"/>
    <w:pPr>
      <w:ind w:firstLine="420" w:firstLineChars="200"/>
    </w:pPr>
    <w:rPr>
      <w:rFonts w:ascii="Times New Roman" w:hAnsi="Times New Roman" w:eastAsia="宋体" w:cs="Times New Roman"/>
      <w:szCs w:val="24"/>
    </w:rPr>
  </w:style>
  <w:style w:type="paragraph" w:customStyle="1" w:styleId="11">
    <w:name w:val="1"/>
    <w:basedOn w:val="1"/>
    <w:next w:val="5"/>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2528</Words>
  <Characters>2809</Characters>
  <Lines>20</Lines>
  <Paragraphs>5</Paragraphs>
  <TotalTime>1</TotalTime>
  <ScaleCrop>false</ScaleCrop>
  <LinksUpToDate>false</LinksUpToDate>
  <CharactersWithSpaces>2818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2025-03-05T14:05:00Z</dcterms:created>
  <dc:creator>ASUS</dc:creator>
  <cp:lastModifiedBy>陈冰</cp:lastModifiedBy>
  <dcterms:modified xsi:type="dcterms:W3CDTF">2026-04-09T09:44:14Z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eyJoZGlkIjoiYjdlYjUwMDM5MDYwOTNmOTk2MWZkOTNhYzAyNDc4OTMiLCJ1c2VySWQiOiI4NTY4MzAyNDcifQ==</vt:lpwstr>
  </property>
  <property fmtid="{D5CDD505-2E9C-101B-9397-08002B2CF9AE}" pid="4" name="ICV">
    <vt:lpwstr>582CE67A84F3408699578BA4265F3ED9_13</vt:lpwstr>
  </property>
</Properties>
</file>