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8EB5B">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Times New Roman" w:hAnsi="Times New Roman" w:eastAsia="宋体" w:cs="Times New Roman"/>
          <w:color w:val="auto"/>
          <w:sz w:val="30"/>
          <w:szCs w:val="30"/>
          <w:lang w:val="en-US" w:eastAsia="zh-CN"/>
        </w:rPr>
        <w:t>房颤全流程管理系统采购-</w:t>
      </w:r>
      <w:bookmarkStart w:id="0" w:name="_GoBack"/>
      <w:bookmarkEnd w:id="0"/>
      <w:r>
        <w:rPr>
          <w:rFonts w:hint="eastAsia" w:ascii="宋体" w:hAnsi="宋体" w:eastAsia="宋体" w:cs="宋体"/>
          <w:b/>
          <w:bCs w:val="0"/>
          <w:sz w:val="30"/>
          <w:szCs w:val="30"/>
          <w:lang w:val="en-US" w:eastAsia="zh-CN"/>
        </w:rPr>
        <w:t>功能需求</w:t>
      </w:r>
    </w:p>
    <w:p w14:paraId="2AB78736">
      <w:pPr>
        <w:jc w:val="left"/>
        <w:rPr>
          <w:rFonts w:hint="eastAsia" w:ascii="宋体" w:hAnsi="宋体" w:cs="宋体"/>
          <w:b/>
          <w:bCs w:val="0"/>
          <w:sz w:val="24"/>
          <w:szCs w:val="24"/>
          <w:lang w:val="en-US" w:eastAsia="zh-CN"/>
        </w:rPr>
      </w:pPr>
    </w:p>
    <w:p w14:paraId="660416E2">
      <w:pPr>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cs="宋体"/>
          <w:b/>
          <w:bCs w:val="0"/>
          <w:sz w:val="24"/>
          <w:szCs w:val="24"/>
          <w:lang w:val="en-US" w:eastAsia="zh-CN"/>
        </w:rPr>
        <w:t>一、技术要求</w:t>
      </w:r>
    </w:p>
    <w:tbl>
      <w:tblPr>
        <w:tblStyle w:val="7"/>
        <w:tblW w:w="9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193"/>
        <w:gridCol w:w="6190"/>
        <w:gridCol w:w="724"/>
        <w:gridCol w:w="714"/>
      </w:tblGrid>
      <w:tr w14:paraId="11872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45" w:type="dxa"/>
            <w:shd w:val="clear" w:color="auto" w:fill="auto"/>
            <w:vAlign w:val="center"/>
          </w:tcPr>
          <w:p w14:paraId="0A69F6AF">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lang w:val="en-US" w:eastAsia="zh-CN"/>
              </w:rPr>
              <w:t>序号</w:t>
            </w:r>
          </w:p>
        </w:tc>
        <w:tc>
          <w:tcPr>
            <w:tcW w:w="1193" w:type="dxa"/>
            <w:shd w:val="clear" w:color="auto" w:fill="auto"/>
            <w:vAlign w:val="center"/>
          </w:tcPr>
          <w:p w14:paraId="23F95DAC">
            <w:pPr>
              <w:widowControl/>
              <w:jc w:val="center"/>
              <w:rPr>
                <w:rFonts w:hint="default" w:ascii="宋体" w:hAnsi="宋体" w:eastAsia="宋体" w:cs="Arial"/>
                <w:b/>
                <w:bCs/>
                <w:kern w:val="0"/>
                <w:sz w:val="21"/>
                <w:szCs w:val="21"/>
                <w:lang w:val="en-US" w:eastAsia="zh-CN" w:bidi="ar-SA"/>
              </w:rPr>
            </w:pPr>
            <w:r>
              <w:rPr>
                <w:rFonts w:hint="eastAsia" w:ascii="宋体" w:hAnsi="宋体" w:cs="Arial"/>
                <w:b/>
                <w:bCs/>
                <w:kern w:val="0"/>
                <w:szCs w:val="21"/>
                <w:lang w:val="en-US" w:eastAsia="zh-CN"/>
              </w:rPr>
              <w:t>功能需求</w:t>
            </w:r>
          </w:p>
        </w:tc>
        <w:tc>
          <w:tcPr>
            <w:tcW w:w="6190" w:type="dxa"/>
            <w:shd w:val="clear" w:color="auto" w:fill="auto"/>
            <w:vAlign w:val="center"/>
          </w:tcPr>
          <w:p w14:paraId="752C8438">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lang w:val="en-US" w:eastAsia="zh-CN"/>
              </w:rPr>
              <w:t>需求内容</w:t>
            </w:r>
          </w:p>
        </w:tc>
        <w:tc>
          <w:tcPr>
            <w:tcW w:w="724" w:type="dxa"/>
            <w:shd w:val="clear" w:color="auto" w:fill="auto"/>
            <w:vAlign w:val="center"/>
          </w:tcPr>
          <w:p w14:paraId="035E6C6F">
            <w:pPr>
              <w:widowControl/>
              <w:jc w:val="center"/>
              <w:rPr>
                <w:rFonts w:ascii="宋体" w:hAnsi="宋体" w:eastAsia="宋体" w:cs="Arial"/>
                <w:b/>
                <w:bCs/>
                <w:kern w:val="0"/>
                <w:sz w:val="21"/>
                <w:szCs w:val="21"/>
                <w:lang w:val="en-US" w:eastAsia="zh-CN" w:bidi="ar-SA"/>
              </w:rPr>
            </w:pPr>
            <w:r>
              <w:rPr>
                <w:rFonts w:ascii="宋体" w:hAnsi="宋体" w:cs="Arial"/>
                <w:b/>
                <w:bCs/>
                <w:kern w:val="0"/>
                <w:szCs w:val="21"/>
              </w:rPr>
              <w:t>数量</w:t>
            </w:r>
          </w:p>
        </w:tc>
        <w:tc>
          <w:tcPr>
            <w:tcW w:w="714" w:type="dxa"/>
            <w:shd w:val="clear" w:color="auto" w:fill="auto"/>
            <w:vAlign w:val="center"/>
          </w:tcPr>
          <w:p w14:paraId="40976D3C">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rPr>
              <w:t>单位</w:t>
            </w:r>
          </w:p>
        </w:tc>
      </w:tr>
      <w:tr w14:paraId="0D2A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3CB334B4">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1193" w:type="dxa"/>
            <w:shd w:val="clear" w:color="auto" w:fill="auto"/>
            <w:vAlign w:val="center"/>
          </w:tcPr>
          <w:p w14:paraId="26DE0B5D">
            <w:pPr>
              <w:widowControl/>
              <w:jc w:val="center"/>
              <w:rPr>
                <w:rFonts w:hint="eastAsia" w:ascii="宋体" w:hAnsi="宋体" w:eastAsia="宋体" w:cs="宋体"/>
                <w:b w:val="0"/>
                <w:bCs/>
                <w:kern w:val="0"/>
                <w:sz w:val="21"/>
                <w:szCs w:val="21"/>
              </w:rPr>
            </w:pPr>
            <w:r>
              <w:rPr>
                <w:rFonts w:hint="eastAsia" w:ascii="仿宋" w:hAnsi="仿宋" w:eastAsia="仿宋" w:cs="仿宋"/>
                <w:lang w:val="en-US" w:eastAsia="zh-CN"/>
              </w:rPr>
              <w:t>数据直报</w:t>
            </w:r>
          </w:p>
        </w:tc>
        <w:tc>
          <w:tcPr>
            <w:tcW w:w="6190" w:type="dxa"/>
            <w:shd w:val="clear" w:color="auto" w:fill="auto"/>
            <w:vAlign w:val="center"/>
          </w:tcPr>
          <w:p w14:paraId="748932B3">
            <w:pPr>
              <w:rPr>
                <w:rFonts w:hint="eastAsia" w:ascii="仿宋" w:hAnsi="仿宋" w:eastAsia="仿宋" w:cs="仿宋"/>
              </w:rPr>
            </w:pPr>
            <w:r>
              <w:rPr>
                <w:rFonts w:hint="eastAsia" w:ascii="仿宋" w:hAnsi="仿宋" w:eastAsia="仿宋" w:cs="仿宋"/>
                <w:lang w:val="en-US" w:eastAsia="zh-CN"/>
              </w:rPr>
              <w:t>1、</w:t>
            </w:r>
            <w:r>
              <w:rPr>
                <w:rFonts w:ascii="仿宋" w:hAnsi="仿宋" w:eastAsia="仿宋" w:cs="仿宋"/>
              </w:rPr>
              <w:t>与医院数据中心对接，</w:t>
            </w:r>
            <w:r>
              <w:rPr>
                <w:rFonts w:hint="default" w:ascii="仿宋" w:hAnsi="仿宋" w:eastAsia="仿宋" w:cs="仿宋"/>
                <w:lang w:val="en-US" w:eastAsia="zh-CN"/>
              </w:rPr>
              <w:t>完成数据自动填报至房颤中心</w:t>
            </w:r>
            <w:r>
              <w:rPr>
                <w:rFonts w:hint="eastAsia" w:ascii="仿宋" w:hAnsi="仿宋" w:eastAsia="仿宋" w:cs="仿宋"/>
                <w:lang w:val="en-US" w:eastAsia="zh-CN"/>
              </w:rPr>
              <w:t>数据填报平台</w:t>
            </w:r>
            <w:r>
              <w:rPr>
                <w:rFonts w:ascii="仿宋" w:hAnsi="仿宋" w:eastAsia="仿宋" w:cs="仿宋"/>
              </w:rPr>
              <w:t>；</w:t>
            </w:r>
          </w:p>
          <w:p w14:paraId="58037FBB">
            <w:pPr>
              <w:rPr>
                <w:rFonts w:hint="eastAsia" w:ascii="仿宋" w:hAnsi="仿宋" w:eastAsia="仿宋" w:cs="仿宋"/>
              </w:rPr>
            </w:pPr>
            <w:r>
              <w:rPr>
                <w:rFonts w:hint="eastAsia" w:ascii="仿宋" w:hAnsi="仿宋" w:eastAsia="仿宋" w:cs="仿宋"/>
                <w:lang w:val="en-US" w:eastAsia="zh-CN"/>
              </w:rPr>
              <w:t>2、数</w:t>
            </w:r>
            <w:r>
              <w:rPr>
                <w:rFonts w:hint="default" w:ascii="仿宋" w:hAnsi="仿宋" w:eastAsia="仿宋" w:cs="仿宋"/>
                <w:lang w:val="en-US" w:eastAsia="zh-CN"/>
              </w:rPr>
              <w:t>据自动直报至房颤中心</w:t>
            </w:r>
            <w:r>
              <w:rPr>
                <w:rFonts w:hint="eastAsia" w:ascii="仿宋" w:hAnsi="仿宋" w:eastAsia="仿宋" w:cs="仿宋"/>
                <w:lang w:val="en-US" w:eastAsia="zh-CN"/>
              </w:rPr>
              <w:t>数据填报平台</w:t>
            </w:r>
            <w:r>
              <w:rPr>
                <w:rFonts w:hint="default" w:ascii="仿宋" w:hAnsi="仿宋" w:eastAsia="仿宋" w:cs="仿宋"/>
                <w:lang w:val="en-US" w:eastAsia="zh-CN"/>
              </w:rPr>
              <w:t>之后支持手动纠错</w:t>
            </w:r>
            <w:r>
              <w:rPr>
                <w:rFonts w:ascii="仿宋" w:hAnsi="仿宋" w:eastAsia="仿宋" w:cs="仿宋"/>
              </w:rPr>
              <w:t>；</w:t>
            </w:r>
          </w:p>
          <w:p w14:paraId="122E5E16">
            <w:pPr>
              <w:rPr>
                <w:rFonts w:hint="eastAsia" w:ascii="宋体" w:hAnsi="宋体" w:eastAsia="宋体" w:cs="宋体"/>
                <w:b w:val="0"/>
                <w:bCs/>
                <w:kern w:val="0"/>
                <w:sz w:val="21"/>
                <w:szCs w:val="21"/>
              </w:rPr>
            </w:pPr>
            <w:r>
              <w:rPr>
                <w:rFonts w:hint="eastAsia" w:ascii="仿宋" w:hAnsi="仿宋" w:eastAsia="仿宋" w:cs="仿宋"/>
                <w:lang w:val="en-US" w:eastAsia="zh-CN"/>
              </w:rPr>
              <w:t>3、提供</w:t>
            </w:r>
            <w:r>
              <w:rPr>
                <w:rFonts w:hint="default" w:ascii="仿宋" w:hAnsi="仿宋" w:eastAsia="仿宋" w:cs="仿宋"/>
                <w:lang w:val="en-US" w:eastAsia="zh-CN"/>
              </w:rPr>
              <w:t>数据填报微信小程序，可随时随地查看及完善填报数据</w:t>
            </w:r>
            <w:r>
              <w:rPr>
                <w:rFonts w:ascii="仿宋" w:hAnsi="仿宋" w:eastAsia="仿宋" w:cs="仿宋"/>
              </w:rPr>
              <w:t>；</w:t>
            </w:r>
          </w:p>
        </w:tc>
        <w:tc>
          <w:tcPr>
            <w:tcW w:w="724" w:type="dxa"/>
            <w:shd w:val="clear" w:color="auto" w:fill="auto"/>
            <w:vAlign w:val="center"/>
          </w:tcPr>
          <w:p w14:paraId="448A94AA">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6965C6A0">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项</w:t>
            </w:r>
          </w:p>
        </w:tc>
      </w:tr>
      <w:tr w14:paraId="159B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43C406FB">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rPr>
              <w:t>2</w:t>
            </w:r>
          </w:p>
        </w:tc>
        <w:tc>
          <w:tcPr>
            <w:tcW w:w="1193" w:type="dxa"/>
            <w:shd w:val="clear" w:color="auto" w:fill="auto"/>
            <w:vAlign w:val="center"/>
          </w:tcPr>
          <w:p w14:paraId="3DB71F94">
            <w:pPr>
              <w:rPr>
                <w:rFonts w:hint="default" w:ascii="仿宋" w:hAnsi="仿宋" w:eastAsia="仿宋" w:cs="仿宋"/>
                <w:lang w:val="en-US" w:eastAsia="zh-CN"/>
              </w:rPr>
            </w:pPr>
            <w:r>
              <w:rPr>
                <w:rFonts w:hint="eastAsia" w:ascii="仿宋" w:hAnsi="仿宋" w:eastAsia="仿宋" w:cs="仿宋"/>
                <w:lang w:val="en-US" w:eastAsia="zh-CN"/>
              </w:rPr>
              <w:t>数据对接</w:t>
            </w:r>
          </w:p>
        </w:tc>
        <w:tc>
          <w:tcPr>
            <w:tcW w:w="6190" w:type="dxa"/>
            <w:shd w:val="clear" w:color="auto" w:fill="auto"/>
            <w:vAlign w:val="center"/>
          </w:tcPr>
          <w:p w14:paraId="545112B8">
            <w:pPr>
              <w:rPr>
                <w:rFonts w:hint="default" w:ascii="仿宋" w:hAnsi="仿宋" w:eastAsia="仿宋" w:cs="仿宋"/>
                <w:lang w:val="en-US" w:eastAsia="zh-CN"/>
              </w:rPr>
            </w:pPr>
            <w:r>
              <w:rPr>
                <w:rFonts w:hint="eastAsia" w:ascii="仿宋" w:hAnsi="仿宋" w:eastAsia="仿宋" w:cs="仿宋"/>
                <w:lang w:val="en-US" w:eastAsia="zh-CN"/>
              </w:rPr>
              <w:t>1、</w:t>
            </w:r>
            <w:r>
              <w:rPr>
                <w:rFonts w:hint="default" w:ascii="仿宋" w:hAnsi="仿宋" w:eastAsia="仿宋" w:cs="仿宋"/>
                <w:lang w:val="en-US" w:eastAsia="zh-CN"/>
              </w:rPr>
              <w:t>支持与医院HIS/EMR/LIS/PACS系统对接，汇集房颤患者关键诊疗数据；</w:t>
            </w:r>
          </w:p>
          <w:p w14:paraId="4F824B5F">
            <w:pPr>
              <w:rPr>
                <w:rFonts w:hint="default" w:ascii="仿宋" w:hAnsi="仿宋" w:eastAsia="仿宋" w:cs="仿宋"/>
                <w:lang w:val="en-US" w:eastAsia="zh-CN"/>
              </w:rPr>
            </w:pPr>
            <w:r>
              <w:rPr>
                <w:rFonts w:hint="eastAsia" w:ascii="仿宋" w:hAnsi="仿宋" w:eastAsia="仿宋" w:cs="仿宋"/>
                <w:lang w:val="en-US" w:eastAsia="zh-CN"/>
              </w:rPr>
              <w:t>2、</w:t>
            </w:r>
            <w:r>
              <w:rPr>
                <w:rFonts w:hint="default" w:ascii="仿宋" w:hAnsi="仿宋" w:eastAsia="仿宋" w:cs="仿宋"/>
                <w:lang w:val="en-US" w:eastAsia="zh-CN"/>
              </w:rPr>
              <w:t>支持将房颤患者诊疗数据自动上报至房颤中心数据填报平台；</w:t>
            </w:r>
          </w:p>
          <w:p w14:paraId="7B2A463F">
            <w:pPr>
              <w:rPr>
                <w:rFonts w:hint="eastAsia" w:ascii="仿宋" w:hAnsi="仿宋" w:eastAsia="仿宋" w:cs="仿宋"/>
                <w:lang w:val="en-US" w:eastAsia="zh-CN"/>
              </w:rPr>
            </w:pPr>
            <w:r>
              <w:rPr>
                <w:rFonts w:hint="eastAsia" w:ascii="仿宋" w:hAnsi="仿宋" w:eastAsia="仿宋" w:cs="仿宋"/>
                <w:lang w:val="en-US" w:eastAsia="zh-CN"/>
              </w:rPr>
              <w:t>3、</w:t>
            </w:r>
            <w:r>
              <w:rPr>
                <w:rFonts w:hint="default" w:ascii="仿宋" w:hAnsi="仿宋" w:eastAsia="仿宋" w:cs="仿宋"/>
                <w:lang w:val="en-US" w:eastAsia="zh-CN"/>
              </w:rPr>
              <w:t>接口方式：支持数据库视图对接方式与Webservice对接方式；</w:t>
            </w:r>
          </w:p>
        </w:tc>
        <w:tc>
          <w:tcPr>
            <w:tcW w:w="724" w:type="dxa"/>
            <w:shd w:val="clear" w:color="auto" w:fill="auto"/>
            <w:vAlign w:val="center"/>
          </w:tcPr>
          <w:p w14:paraId="408D3CB1">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1680C4A5">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2FD08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005C1397">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rPr>
              <w:t>3</w:t>
            </w:r>
          </w:p>
        </w:tc>
        <w:tc>
          <w:tcPr>
            <w:tcW w:w="1193" w:type="dxa"/>
            <w:shd w:val="clear" w:color="auto" w:fill="auto"/>
            <w:vAlign w:val="center"/>
          </w:tcPr>
          <w:p w14:paraId="4E4DFBF0">
            <w:pPr>
              <w:jc w:val="center"/>
              <w:rPr>
                <w:rFonts w:hint="eastAsia" w:ascii="宋体" w:hAnsi="宋体" w:eastAsia="宋体" w:cs="宋体"/>
                <w:b w:val="0"/>
                <w:bCs/>
                <w:kern w:val="0"/>
                <w:sz w:val="21"/>
                <w:szCs w:val="21"/>
              </w:rPr>
            </w:pPr>
            <w:r>
              <w:rPr>
                <w:rFonts w:hint="eastAsia" w:ascii="仿宋" w:hAnsi="仿宋" w:eastAsia="仿宋" w:cs="仿宋"/>
                <w:lang w:val="en-US" w:eastAsia="zh-CN"/>
              </w:rPr>
              <w:t>数据筛查</w:t>
            </w:r>
          </w:p>
        </w:tc>
        <w:tc>
          <w:tcPr>
            <w:tcW w:w="6190" w:type="dxa"/>
            <w:shd w:val="clear" w:color="auto" w:fill="auto"/>
            <w:vAlign w:val="center"/>
          </w:tcPr>
          <w:p w14:paraId="097CE650">
            <w:pPr>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支持按</w:t>
            </w:r>
            <w:r>
              <w:rPr>
                <w:rFonts w:hint="eastAsia" w:ascii="仿宋" w:hAnsi="仿宋" w:eastAsia="仿宋" w:cs="仿宋"/>
                <w:lang w:val="en-US" w:eastAsia="zh-CN"/>
              </w:rPr>
              <w:t>20</w:t>
            </w:r>
            <w:r>
              <w:rPr>
                <w:rFonts w:hint="eastAsia" w:ascii="仿宋" w:hAnsi="仿宋" w:eastAsia="仿宋" w:cs="仿宋"/>
              </w:rPr>
              <w:t>类心律失常事件从已对接的数据和设备中筛选有风险的患者</w:t>
            </w:r>
            <w:r>
              <w:rPr>
                <w:rFonts w:ascii="仿宋" w:hAnsi="仿宋" w:eastAsia="仿宋" w:cs="仿宋"/>
              </w:rPr>
              <w:t>；</w:t>
            </w:r>
          </w:p>
          <w:p w14:paraId="19DDD26A">
            <w:pPr>
              <w:rPr>
                <w:rFonts w:hint="eastAsia" w:ascii="宋体" w:hAnsi="宋体" w:eastAsia="宋体" w:cs="宋体"/>
                <w:b w:val="0"/>
                <w:bCs/>
                <w:kern w:val="0"/>
                <w:sz w:val="21"/>
                <w:szCs w:val="21"/>
              </w:rPr>
            </w:pPr>
            <w:r>
              <w:rPr>
                <w:rFonts w:hint="eastAsia" w:ascii="仿宋" w:hAnsi="仿宋" w:eastAsia="仿宋" w:cs="仿宋"/>
                <w:lang w:val="en-US" w:eastAsia="zh-CN"/>
              </w:rPr>
              <w:t>2、</w:t>
            </w:r>
            <w:r>
              <w:rPr>
                <w:rFonts w:hint="eastAsia" w:ascii="仿宋" w:hAnsi="仿宋" w:eastAsia="仿宋" w:cs="仿宋"/>
              </w:rPr>
              <w:t>对高危患者，可通过短信通知功能，引流患者来院就诊；</w:t>
            </w:r>
          </w:p>
        </w:tc>
        <w:tc>
          <w:tcPr>
            <w:tcW w:w="724" w:type="dxa"/>
            <w:shd w:val="clear" w:color="auto" w:fill="auto"/>
            <w:vAlign w:val="center"/>
          </w:tcPr>
          <w:p w14:paraId="7A8958F0">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69989B66">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2453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57CC270E">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rPr>
              <w:t>4</w:t>
            </w:r>
          </w:p>
        </w:tc>
        <w:tc>
          <w:tcPr>
            <w:tcW w:w="1193" w:type="dxa"/>
            <w:shd w:val="clear" w:color="auto" w:fill="auto"/>
            <w:vAlign w:val="center"/>
          </w:tcPr>
          <w:p w14:paraId="697EC351">
            <w:pPr>
              <w:jc w:val="center"/>
              <w:rPr>
                <w:rFonts w:hint="eastAsia" w:ascii="宋体" w:hAnsi="宋体" w:eastAsia="宋体" w:cs="宋体"/>
                <w:b w:val="0"/>
                <w:bCs/>
                <w:kern w:val="0"/>
                <w:sz w:val="21"/>
                <w:szCs w:val="21"/>
              </w:rPr>
            </w:pPr>
            <w:r>
              <w:rPr>
                <w:rFonts w:hint="eastAsia" w:ascii="仿宋" w:hAnsi="仿宋" w:eastAsia="仿宋" w:cs="仿宋"/>
                <w:lang w:val="en-US" w:eastAsia="zh-CN"/>
              </w:rPr>
              <w:t>档案融合</w:t>
            </w:r>
          </w:p>
        </w:tc>
        <w:tc>
          <w:tcPr>
            <w:tcW w:w="6190" w:type="dxa"/>
            <w:shd w:val="clear" w:color="auto" w:fill="auto"/>
            <w:vAlign w:val="center"/>
          </w:tcPr>
          <w:p w14:paraId="678263A3">
            <w:pPr>
              <w:rPr>
                <w:rFonts w:hint="eastAsia" w:ascii="仿宋" w:hAnsi="仿宋" w:eastAsia="仿宋" w:cs="仿宋"/>
                <w:lang w:eastAsia="zh-CN"/>
              </w:rPr>
            </w:pPr>
            <w:r>
              <w:rPr>
                <w:rFonts w:hint="eastAsia" w:ascii="仿宋" w:hAnsi="仿宋" w:eastAsia="仿宋" w:cs="仿宋"/>
                <w:lang w:val="en-US" w:eastAsia="zh-CN"/>
              </w:rPr>
              <w:t>1、</w:t>
            </w:r>
            <w:r>
              <w:rPr>
                <w:rFonts w:hint="eastAsia" w:ascii="仿宋" w:hAnsi="仿宋" w:eastAsia="仿宋" w:cs="仿宋"/>
              </w:rPr>
              <w:t>支持通过数据清洗后按照身份证号、门诊号、住院号等将患者不同的数据融合在一条档案内;</w:t>
            </w:r>
          </w:p>
          <w:p w14:paraId="0511E4BB">
            <w:pPr>
              <w:rPr>
                <w:rFonts w:hint="eastAsia" w:ascii="宋体" w:hAnsi="宋体" w:eastAsia="宋体" w:cs="宋体"/>
                <w:b w:val="0"/>
                <w:bCs/>
                <w:kern w:val="0"/>
                <w:sz w:val="21"/>
                <w:szCs w:val="21"/>
              </w:rPr>
            </w:pPr>
            <w:r>
              <w:rPr>
                <w:rFonts w:hint="eastAsia" w:ascii="仿宋" w:hAnsi="仿宋" w:eastAsia="仿宋" w:cs="仿宋"/>
                <w:lang w:val="en-US" w:eastAsia="zh-CN"/>
              </w:rPr>
              <w:t>2、</w:t>
            </w:r>
            <w:r>
              <w:rPr>
                <w:rFonts w:hint="eastAsia" w:ascii="仿宋" w:hAnsi="仿宋" w:eastAsia="仿宋" w:cs="仿宋"/>
              </w:rPr>
              <w:t>提供高血压、糖尿病、房颤、高脂血症、脑卒中、冠心病6大病种的疾病标签展示和风险因素查看；</w:t>
            </w:r>
          </w:p>
        </w:tc>
        <w:tc>
          <w:tcPr>
            <w:tcW w:w="724" w:type="dxa"/>
            <w:shd w:val="clear" w:color="auto" w:fill="auto"/>
            <w:vAlign w:val="center"/>
          </w:tcPr>
          <w:p w14:paraId="67B67307">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512379A6">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3589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397D732F">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rPr>
              <w:t>5</w:t>
            </w:r>
          </w:p>
        </w:tc>
        <w:tc>
          <w:tcPr>
            <w:tcW w:w="1193" w:type="dxa"/>
            <w:shd w:val="clear" w:color="auto" w:fill="auto"/>
            <w:vAlign w:val="center"/>
          </w:tcPr>
          <w:p w14:paraId="7CA62D38">
            <w:pPr>
              <w:widowControl/>
              <w:jc w:val="center"/>
              <w:rPr>
                <w:rFonts w:hint="eastAsia" w:ascii="宋体" w:hAnsi="宋体" w:eastAsia="宋体" w:cs="宋体"/>
                <w:b w:val="0"/>
                <w:bCs/>
                <w:kern w:val="0"/>
                <w:sz w:val="21"/>
                <w:szCs w:val="21"/>
              </w:rPr>
            </w:pPr>
            <w:r>
              <w:rPr>
                <w:rFonts w:hint="eastAsia" w:ascii="仿宋" w:hAnsi="仿宋" w:eastAsia="仿宋" w:cs="仿宋"/>
                <w:lang w:val="en-US" w:eastAsia="zh-CN"/>
              </w:rPr>
              <w:t>患者管理</w:t>
            </w:r>
          </w:p>
        </w:tc>
        <w:tc>
          <w:tcPr>
            <w:tcW w:w="6190" w:type="dxa"/>
            <w:shd w:val="clear" w:color="auto" w:fill="auto"/>
            <w:vAlign w:val="center"/>
          </w:tcPr>
          <w:p w14:paraId="6E257F7C">
            <w:pPr>
              <w:rPr>
                <w:rFonts w:hint="eastAsia" w:ascii="宋体" w:hAnsi="宋体" w:eastAsia="仿宋" w:cs="宋体"/>
                <w:b w:val="0"/>
                <w:bCs/>
                <w:sz w:val="21"/>
                <w:szCs w:val="21"/>
                <w:lang w:eastAsia="zh-CN"/>
              </w:rPr>
            </w:pPr>
            <w:r>
              <w:rPr>
                <w:rFonts w:hint="eastAsia" w:ascii="仿宋" w:hAnsi="仿宋" w:eastAsia="仿宋" w:cs="仿宋"/>
                <w:lang w:val="en-US" w:eastAsia="zh-CN"/>
              </w:rPr>
              <w:t>1、</w:t>
            </w:r>
            <w:r>
              <w:rPr>
                <w:rFonts w:hint="eastAsia" w:ascii="仿宋" w:hAnsi="仿宋" w:eastAsia="仿宋" w:cs="仿宋"/>
              </w:rPr>
              <w:t>提供智能随访工具，可按筛查、门诊、住院、手术、用药、随访等条件创建自动随访规则，对符合条件的患者自动执行随访;</w:t>
            </w:r>
          </w:p>
        </w:tc>
        <w:tc>
          <w:tcPr>
            <w:tcW w:w="724" w:type="dxa"/>
            <w:shd w:val="clear" w:color="auto" w:fill="auto"/>
            <w:vAlign w:val="center"/>
          </w:tcPr>
          <w:p w14:paraId="72FB6A1B">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42EE4A86">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3CAE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3CBB6448">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rPr>
              <w:t>6</w:t>
            </w:r>
          </w:p>
        </w:tc>
        <w:tc>
          <w:tcPr>
            <w:tcW w:w="1193" w:type="dxa"/>
            <w:shd w:val="clear" w:color="auto" w:fill="auto"/>
            <w:vAlign w:val="center"/>
          </w:tcPr>
          <w:p w14:paraId="6FB62C3B">
            <w:pPr>
              <w:jc w:val="center"/>
              <w:rPr>
                <w:rFonts w:hint="eastAsia" w:ascii="宋体" w:hAnsi="宋体" w:eastAsia="宋体" w:cs="宋体"/>
                <w:b w:val="0"/>
                <w:bCs/>
                <w:color w:val="auto"/>
                <w:kern w:val="0"/>
                <w:sz w:val="21"/>
                <w:szCs w:val="21"/>
              </w:rPr>
            </w:pPr>
            <w:r>
              <w:rPr>
                <w:rFonts w:hint="eastAsia" w:ascii="仿宋" w:hAnsi="仿宋" w:eastAsia="仿宋" w:cs="仿宋"/>
                <w:lang w:val="en-US" w:eastAsia="zh-CN"/>
              </w:rPr>
              <w:t>数据统计</w:t>
            </w:r>
          </w:p>
        </w:tc>
        <w:tc>
          <w:tcPr>
            <w:tcW w:w="6190" w:type="dxa"/>
            <w:shd w:val="clear" w:color="auto" w:fill="auto"/>
            <w:vAlign w:val="center"/>
          </w:tcPr>
          <w:p w14:paraId="23FF6E9A">
            <w:pPr>
              <w:rPr>
                <w:rFonts w:hint="eastAsia" w:ascii="宋体" w:hAnsi="宋体" w:eastAsia="宋体" w:cs="宋体"/>
                <w:b w:val="0"/>
                <w:bCs/>
                <w:kern w:val="0"/>
                <w:sz w:val="21"/>
                <w:szCs w:val="21"/>
                <w:highlight w:val="none"/>
              </w:rPr>
            </w:pPr>
            <w:r>
              <w:rPr>
                <w:rFonts w:hint="eastAsia" w:ascii="仿宋" w:hAnsi="仿宋" w:eastAsia="仿宋" w:cs="仿宋"/>
                <w:lang w:val="en-US" w:eastAsia="zh-CN"/>
              </w:rPr>
              <w:t>1、</w:t>
            </w:r>
            <w:r>
              <w:rPr>
                <w:rFonts w:hint="eastAsia" w:ascii="仿宋" w:hAnsi="仿宋" w:eastAsia="仿宋" w:cs="仿宋"/>
              </w:rPr>
              <w:t>多维度数据分析结果展示，包括机构概况、基本信息、筛查统计、抗凝治疗、手术治疗、随访统计等，可视化图表减轻日常统计负担；</w:t>
            </w:r>
          </w:p>
        </w:tc>
        <w:tc>
          <w:tcPr>
            <w:tcW w:w="724" w:type="dxa"/>
            <w:shd w:val="clear" w:color="auto" w:fill="auto"/>
            <w:vAlign w:val="center"/>
          </w:tcPr>
          <w:p w14:paraId="49D9B4EC">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686D9E7E">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30A9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120F741A">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7</w:t>
            </w:r>
          </w:p>
        </w:tc>
        <w:tc>
          <w:tcPr>
            <w:tcW w:w="1193" w:type="dxa"/>
            <w:shd w:val="clear" w:color="auto" w:fill="auto"/>
            <w:vAlign w:val="center"/>
          </w:tcPr>
          <w:p w14:paraId="4F88F549">
            <w:pPr>
              <w:jc w:val="center"/>
              <w:rPr>
                <w:rFonts w:hint="eastAsia" w:ascii="宋体" w:hAnsi="宋体" w:eastAsia="宋体" w:cs="宋体"/>
                <w:b w:val="0"/>
                <w:bCs/>
                <w:kern w:val="0"/>
                <w:sz w:val="21"/>
                <w:szCs w:val="21"/>
              </w:rPr>
            </w:pPr>
            <w:r>
              <w:rPr>
                <w:rFonts w:hint="eastAsia" w:ascii="仿宋" w:hAnsi="仿宋" w:eastAsia="仿宋" w:cs="仿宋"/>
                <w:lang w:val="en-US" w:eastAsia="zh-CN"/>
              </w:rPr>
              <w:t>质控报告</w:t>
            </w:r>
          </w:p>
        </w:tc>
        <w:tc>
          <w:tcPr>
            <w:tcW w:w="6190" w:type="dxa"/>
            <w:shd w:val="clear" w:color="auto" w:fill="auto"/>
            <w:vAlign w:val="center"/>
          </w:tcPr>
          <w:p w14:paraId="3246AFA6">
            <w:pPr>
              <w:rPr>
                <w:rFonts w:hint="eastAsia" w:ascii="仿宋" w:hAnsi="仿宋" w:eastAsia="仿宋" w:cs="仿宋"/>
                <w:lang w:val="en-US" w:eastAsia="zh-CN"/>
              </w:rPr>
            </w:pPr>
            <w:r>
              <w:rPr>
                <w:rFonts w:hint="eastAsia" w:ascii="仿宋" w:hAnsi="仿宋" w:eastAsia="仿宋" w:cs="仿宋"/>
                <w:lang w:val="en-US" w:eastAsia="zh-CN"/>
              </w:rPr>
              <w:t>1、提供质控报告，规范诊疗行为；</w:t>
            </w:r>
          </w:p>
          <w:p w14:paraId="340D2F1E">
            <w:pPr>
              <w:rPr>
                <w:rFonts w:hint="eastAsia" w:ascii="仿宋" w:hAnsi="仿宋" w:eastAsia="仿宋" w:cs="仿宋"/>
                <w:lang w:val="en-US" w:eastAsia="zh-CN"/>
              </w:rPr>
            </w:pPr>
            <w:r>
              <w:rPr>
                <w:rFonts w:hint="eastAsia" w:ascii="仿宋" w:hAnsi="仿宋" w:eastAsia="仿宋" w:cs="仿宋"/>
                <w:lang w:val="en-US" w:eastAsia="zh-CN"/>
              </w:rPr>
              <w:t>2、用户可按照自定义时间段，随时生成本院质控报告；</w:t>
            </w:r>
          </w:p>
          <w:p w14:paraId="14B71FF8">
            <w:pPr>
              <w:rPr>
                <w:rFonts w:hint="eastAsia" w:ascii="宋体" w:hAnsi="宋体" w:eastAsia="宋体" w:cs="宋体"/>
                <w:b w:val="0"/>
                <w:bCs/>
                <w:kern w:val="0"/>
                <w:sz w:val="21"/>
                <w:szCs w:val="21"/>
                <w:highlight w:val="none"/>
              </w:rPr>
            </w:pPr>
            <w:r>
              <w:rPr>
                <w:rFonts w:hint="eastAsia" w:ascii="仿宋" w:hAnsi="仿宋" w:eastAsia="仿宋" w:cs="仿宋"/>
                <w:lang w:val="en-US" w:eastAsia="zh-CN"/>
              </w:rPr>
              <w:t>3、质控报告内容包括患者分布、患者基本特征分布、病情评估情况、患者治疗情况等内容。</w:t>
            </w:r>
          </w:p>
        </w:tc>
        <w:tc>
          <w:tcPr>
            <w:tcW w:w="724" w:type="dxa"/>
            <w:shd w:val="clear" w:color="auto" w:fill="auto"/>
            <w:vAlign w:val="center"/>
          </w:tcPr>
          <w:p w14:paraId="3C428919">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0A40ACDA">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32710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03D71C55">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8</w:t>
            </w:r>
          </w:p>
        </w:tc>
        <w:tc>
          <w:tcPr>
            <w:tcW w:w="1193" w:type="dxa"/>
            <w:shd w:val="clear" w:color="auto" w:fill="auto"/>
            <w:vAlign w:val="center"/>
          </w:tcPr>
          <w:p w14:paraId="73A81402">
            <w:pPr>
              <w:jc w:val="center"/>
              <w:rPr>
                <w:rFonts w:hint="default" w:ascii="仿宋" w:hAnsi="仿宋" w:eastAsia="仿宋" w:cs="仿宋"/>
                <w:lang w:val="en-US" w:eastAsia="zh-CN"/>
              </w:rPr>
            </w:pPr>
            <w:r>
              <w:rPr>
                <w:rFonts w:hint="eastAsia" w:ascii="仿宋" w:hAnsi="仿宋" w:eastAsia="仿宋" w:cs="仿宋"/>
                <w:lang w:val="en-US" w:eastAsia="zh-CN"/>
              </w:rPr>
              <w:t>智能管理平台（小程序）</w:t>
            </w:r>
          </w:p>
        </w:tc>
        <w:tc>
          <w:tcPr>
            <w:tcW w:w="6190" w:type="dxa"/>
            <w:shd w:val="clear" w:color="auto" w:fill="auto"/>
            <w:vAlign w:val="center"/>
          </w:tcPr>
          <w:p w14:paraId="23B02F9F">
            <w:pPr>
              <w:keepNext w:val="0"/>
              <w:keepLines w:val="0"/>
              <w:widowControl/>
              <w:suppressLineNumbers w:val="0"/>
              <w:jc w:val="left"/>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1、提供智能化管理平台，用于统计医院在房颤中心的数据上报量以及五大场景上报的分布情况。同时展示医院的质控得分和填报任务。</w:t>
            </w:r>
          </w:p>
          <w:p w14:paraId="62316B04">
            <w:pPr>
              <w:keepNext w:val="0"/>
              <w:keepLines w:val="0"/>
              <w:widowControl/>
              <w:suppressLineNumbers w:val="0"/>
              <w:jc w:val="left"/>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2、提供智能化填报功能，能够根据上传或拍摄的照片自动提取相关信息，以完成五大场景的数据填报。</w:t>
            </w:r>
          </w:p>
          <w:p w14:paraId="0308149F">
            <w:pPr>
              <w:keepNext w:val="0"/>
              <w:keepLines w:val="0"/>
              <w:widowControl/>
              <w:suppressLineNumbers w:val="0"/>
              <w:jc w:val="left"/>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3、提供质控视图，支持以住院人数、住院抗凝率、抗心律失常药物、控制心室率药物、导管消融人数、左心耳封堵人数、心脏起搏器人数等指标进行多维度质控分析。</w:t>
            </w:r>
          </w:p>
          <w:p w14:paraId="6367D6A6">
            <w:pPr>
              <w:keepNext w:val="0"/>
              <w:keepLines w:val="0"/>
              <w:widowControl/>
              <w:suppressLineNumbers w:val="0"/>
              <w:jc w:val="left"/>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4、提供质控等级查看模块，支持按年度、季度查看医院质控得分情况和质控等级。对于未达标的质控，提供优化建议。</w:t>
            </w:r>
          </w:p>
          <w:p w14:paraId="7EC6CFF6">
            <w:pPr>
              <w:keepNext w:val="0"/>
              <w:keepLines w:val="0"/>
              <w:widowControl/>
              <w:suppressLineNumbers w:val="0"/>
              <w:jc w:val="left"/>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5、提供心电筛查管理模块，整合本院与房颤数据填报平台对接的心电筛查设备数据，实现总筛查人数、高危患者数量、复诊已通知、已复诊的多维统计。</w:t>
            </w:r>
          </w:p>
          <w:p w14:paraId="2871EC34">
            <w:pPr>
              <w:keepNext w:val="0"/>
              <w:keepLines w:val="0"/>
              <w:widowControl/>
              <w:suppressLineNumbers w:val="0"/>
              <w:jc w:val="left"/>
              <w:rPr>
                <w:rFonts w:hint="default" w:ascii="仿宋" w:hAnsi="仿宋" w:eastAsia="仿宋" w:cs="仿宋"/>
                <w:lang w:val="en-US" w:eastAsia="zh-CN"/>
              </w:rPr>
            </w:pPr>
            <w:r>
              <w:rPr>
                <w:rFonts w:hint="eastAsia" w:ascii="仿宋" w:hAnsi="仿宋" w:eastAsia="仿宋" w:cs="仿宋"/>
                <w:kern w:val="2"/>
                <w:sz w:val="21"/>
                <w:szCs w:val="24"/>
                <w:lang w:val="en-US" w:eastAsia="zh-CN" w:bidi="ar-SA"/>
              </w:rPr>
              <w:t>6、提供复诊通知功能，向房颤高风险患者发送短信复诊通知，并支持复诊进度状态的标记与追踪管理功能。</w:t>
            </w:r>
          </w:p>
        </w:tc>
        <w:tc>
          <w:tcPr>
            <w:tcW w:w="724" w:type="dxa"/>
            <w:shd w:val="clear" w:color="auto" w:fill="auto"/>
            <w:vAlign w:val="center"/>
          </w:tcPr>
          <w:p w14:paraId="7CF72335">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1C9DF230">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7645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574CDDDF">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9</w:t>
            </w:r>
          </w:p>
        </w:tc>
        <w:tc>
          <w:tcPr>
            <w:tcW w:w="1193" w:type="dxa"/>
            <w:shd w:val="clear" w:color="auto" w:fill="auto"/>
            <w:vAlign w:val="center"/>
          </w:tcPr>
          <w:p w14:paraId="715BFCAA">
            <w:pPr>
              <w:jc w:val="center"/>
              <w:rPr>
                <w:rFonts w:hint="eastAsia" w:ascii="宋体" w:hAnsi="宋体" w:eastAsia="宋体" w:cs="宋体"/>
                <w:b w:val="0"/>
                <w:bCs/>
                <w:kern w:val="0"/>
                <w:sz w:val="21"/>
                <w:szCs w:val="21"/>
              </w:rPr>
            </w:pPr>
            <w:r>
              <w:rPr>
                <w:rFonts w:hint="eastAsia" w:ascii="仿宋" w:hAnsi="仿宋" w:eastAsia="仿宋" w:cs="仿宋"/>
              </w:rPr>
              <w:t>公众号平台</w:t>
            </w:r>
          </w:p>
        </w:tc>
        <w:tc>
          <w:tcPr>
            <w:tcW w:w="6190" w:type="dxa"/>
            <w:shd w:val="clear" w:color="auto" w:fill="auto"/>
            <w:vAlign w:val="bottom"/>
          </w:tcPr>
          <w:p w14:paraId="2592A01E">
            <w:pPr>
              <w:rPr>
                <w:rFonts w:hint="eastAsia" w:ascii="仿宋" w:hAnsi="仿宋" w:eastAsia="仿宋" w:cs="仿宋"/>
                <w:lang w:eastAsia="zh-CN"/>
              </w:rPr>
            </w:pPr>
            <w:r>
              <w:rPr>
                <w:rFonts w:hint="eastAsia" w:ascii="仿宋" w:hAnsi="仿宋" w:eastAsia="仿宋" w:cs="仿宋"/>
              </w:rPr>
              <w:t>1、支持居民在微信公众号查看筛查结果</w:t>
            </w:r>
            <w:r>
              <w:rPr>
                <w:rFonts w:hint="eastAsia" w:ascii="仿宋" w:hAnsi="仿宋" w:eastAsia="仿宋" w:cs="仿宋"/>
                <w:lang w:eastAsia="zh-CN"/>
              </w:rPr>
              <w:t>；</w:t>
            </w:r>
          </w:p>
          <w:p w14:paraId="735A3381">
            <w:pPr>
              <w:rPr>
                <w:rFonts w:hint="eastAsia" w:ascii="仿宋" w:hAnsi="仿宋" w:eastAsia="仿宋" w:cs="仿宋"/>
                <w:lang w:eastAsia="zh-CN"/>
              </w:rPr>
            </w:pPr>
            <w:r>
              <w:rPr>
                <w:rFonts w:hint="eastAsia" w:ascii="仿宋" w:hAnsi="仿宋" w:eastAsia="仿宋" w:cs="仿宋"/>
              </w:rPr>
              <w:t>2、支持居民在微信公众号上获取医院心内科专家的介绍及门诊时间</w:t>
            </w:r>
            <w:r>
              <w:rPr>
                <w:rFonts w:hint="eastAsia" w:ascii="仿宋" w:hAnsi="仿宋" w:eastAsia="仿宋" w:cs="仿宋"/>
                <w:lang w:eastAsia="zh-CN"/>
              </w:rPr>
              <w:t>；</w:t>
            </w:r>
          </w:p>
          <w:p w14:paraId="7E8A7B43">
            <w:pPr>
              <w:rPr>
                <w:rFonts w:hint="eastAsia" w:ascii="宋体" w:hAnsi="宋体" w:eastAsia="宋体" w:cs="宋体"/>
                <w:b w:val="0"/>
                <w:bCs/>
                <w:color w:val="000000"/>
                <w:sz w:val="21"/>
                <w:szCs w:val="21"/>
                <w:lang w:val="en-US" w:eastAsia="zh-CN"/>
              </w:rPr>
            </w:pPr>
            <w:r>
              <w:rPr>
                <w:rFonts w:hint="eastAsia" w:ascii="仿宋" w:hAnsi="仿宋" w:eastAsia="仿宋" w:cs="仿宋"/>
                <w:lang w:val="en-US" w:eastAsia="zh-CN"/>
              </w:rPr>
              <w:t>3</w:t>
            </w:r>
            <w:r>
              <w:rPr>
                <w:rFonts w:hint="eastAsia" w:ascii="仿宋" w:hAnsi="仿宋" w:eastAsia="仿宋" w:cs="仿宋"/>
              </w:rPr>
              <w:t>、支持居民在微信公众号上查询历史的心电筛查记录。</w:t>
            </w:r>
          </w:p>
        </w:tc>
        <w:tc>
          <w:tcPr>
            <w:tcW w:w="724" w:type="dxa"/>
            <w:shd w:val="clear" w:color="auto" w:fill="auto"/>
            <w:vAlign w:val="center"/>
          </w:tcPr>
          <w:p w14:paraId="57B90843">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0E01C231">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2767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45071550">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10</w:t>
            </w:r>
          </w:p>
        </w:tc>
        <w:tc>
          <w:tcPr>
            <w:tcW w:w="1193" w:type="dxa"/>
            <w:shd w:val="clear" w:color="auto" w:fill="auto"/>
            <w:vAlign w:val="center"/>
          </w:tcPr>
          <w:p w14:paraId="5DBE673F">
            <w:pPr>
              <w:jc w:val="center"/>
              <w:rPr>
                <w:rFonts w:hint="eastAsia" w:ascii="宋体" w:hAnsi="宋体" w:eastAsia="宋体" w:cs="宋体"/>
                <w:b w:val="0"/>
                <w:bCs/>
                <w:kern w:val="0"/>
                <w:sz w:val="21"/>
                <w:szCs w:val="21"/>
              </w:rPr>
            </w:pPr>
            <w:r>
              <w:rPr>
                <w:rFonts w:hint="eastAsia" w:ascii="仿宋" w:hAnsi="仿宋" w:eastAsia="仿宋" w:cs="仿宋"/>
              </w:rPr>
              <w:t>数据管理平台</w:t>
            </w:r>
          </w:p>
        </w:tc>
        <w:tc>
          <w:tcPr>
            <w:tcW w:w="6190" w:type="dxa"/>
            <w:shd w:val="clear" w:color="auto" w:fill="auto"/>
            <w:vAlign w:val="bottom"/>
          </w:tcPr>
          <w:p w14:paraId="14B43B54">
            <w:pPr>
              <w:rPr>
                <w:rFonts w:ascii="仿宋" w:hAnsi="仿宋" w:eastAsia="仿宋" w:cs="仿宋"/>
              </w:rPr>
            </w:pPr>
            <w:r>
              <w:rPr>
                <w:rFonts w:hint="eastAsia" w:ascii="仿宋" w:hAnsi="仿宋" w:eastAsia="仿宋" w:cs="仿宋"/>
              </w:rPr>
              <w:t>1、数据汇总：汇总居民的姓名、性别、年龄、手机号码和心电图，以及筛查结果；</w:t>
            </w:r>
          </w:p>
          <w:p w14:paraId="59539DCE">
            <w:pPr>
              <w:rPr>
                <w:rFonts w:ascii="仿宋" w:hAnsi="仿宋" w:eastAsia="仿宋" w:cs="仿宋"/>
              </w:rPr>
            </w:pPr>
            <w:r>
              <w:rPr>
                <w:rFonts w:hint="eastAsia" w:ascii="仿宋" w:hAnsi="仿宋" w:eastAsia="仿宋" w:cs="仿宋"/>
              </w:rPr>
              <w:t>2、快捷筛选：医生可便捷筛选出高危风险的疑似患者，进行重点关注；</w:t>
            </w:r>
          </w:p>
          <w:p w14:paraId="410F0036">
            <w:pPr>
              <w:rPr>
                <w:rFonts w:ascii="仿宋" w:hAnsi="仿宋" w:eastAsia="仿宋" w:cs="仿宋"/>
              </w:rPr>
            </w:pPr>
            <w:r>
              <w:rPr>
                <w:rFonts w:hint="eastAsia" w:ascii="仿宋" w:hAnsi="仿宋" w:eastAsia="仿宋" w:cs="仿宋"/>
              </w:rPr>
              <w:t>3、组合查询：支持通过居民信息、检查时间、检查机构、数据来源、场景、检查项、心电</w:t>
            </w:r>
            <w:r>
              <w:rPr>
                <w:rFonts w:hint="eastAsia" w:ascii="仿宋" w:hAnsi="仿宋" w:eastAsia="仿宋" w:cs="仿宋"/>
                <w:lang w:val="en-US" w:eastAsia="zh-CN"/>
              </w:rPr>
              <w:t>事件</w:t>
            </w:r>
            <w:r>
              <w:rPr>
                <w:rFonts w:hint="eastAsia" w:ascii="仿宋" w:hAnsi="仿宋" w:eastAsia="仿宋" w:cs="仿宋"/>
              </w:rPr>
              <w:t>进行查询；</w:t>
            </w:r>
          </w:p>
          <w:p w14:paraId="23CDDC29">
            <w:pPr>
              <w:rPr>
                <w:rFonts w:ascii="仿宋" w:hAnsi="仿宋" w:eastAsia="仿宋" w:cs="仿宋"/>
              </w:rPr>
            </w:pPr>
            <w:r>
              <w:rPr>
                <w:rFonts w:hint="eastAsia" w:ascii="仿宋" w:hAnsi="仿宋" w:eastAsia="仿宋" w:cs="仿宋"/>
              </w:rPr>
              <w:t>4、房颤填报：实现筛查数据自动上传到房颤中心数据填报平台，增加本院房颤数据填报量；</w:t>
            </w:r>
          </w:p>
          <w:p w14:paraId="0601E9BF">
            <w:pPr>
              <w:rPr>
                <w:rFonts w:ascii="仿宋" w:hAnsi="仿宋" w:eastAsia="仿宋" w:cs="仿宋"/>
              </w:rPr>
            </w:pPr>
            <w:r>
              <w:rPr>
                <w:rFonts w:hint="eastAsia" w:ascii="仿宋" w:hAnsi="仿宋" w:eastAsia="仿宋" w:cs="仿宋"/>
              </w:rPr>
              <w:t>5、数据导出：支持导出筛查数据用于科研分析；</w:t>
            </w:r>
          </w:p>
          <w:p w14:paraId="4C0E7D3E">
            <w:pPr>
              <w:rPr>
                <w:rFonts w:hint="eastAsia" w:ascii="宋体" w:hAnsi="宋体" w:eastAsia="宋体" w:cs="宋体"/>
                <w:b w:val="0"/>
                <w:bCs/>
                <w:kern w:val="0"/>
                <w:sz w:val="21"/>
                <w:szCs w:val="21"/>
              </w:rPr>
            </w:pPr>
            <w:r>
              <w:rPr>
                <w:rFonts w:hint="eastAsia" w:ascii="仿宋" w:hAnsi="仿宋" w:eastAsia="仿宋" w:cs="仿宋"/>
              </w:rPr>
              <w:t>6、批量操作：</w:t>
            </w:r>
            <w:r>
              <w:rPr>
                <w:rFonts w:hint="eastAsia" w:ascii="仿宋" w:hAnsi="仿宋" w:eastAsia="仿宋" w:cs="仿宋"/>
                <w:szCs w:val="21"/>
              </w:rPr>
              <w:t>支持对至多100项数据进行批量操作</w:t>
            </w:r>
            <w:r>
              <w:rPr>
                <w:rFonts w:hint="eastAsia" w:ascii="仿宋" w:hAnsi="仿宋" w:eastAsia="仿宋" w:cs="仿宋"/>
                <w:szCs w:val="21"/>
                <w:lang w:eastAsia="zh-CN"/>
              </w:rPr>
              <w:t>。</w:t>
            </w:r>
          </w:p>
        </w:tc>
        <w:tc>
          <w:tcPr>
            <w:tcW w:w="724" w:type="dxa"/>
            <w:shd w:val="clear" w:color="auto" w:fill="auto"/>
            <w:vAlign w:val="center"/>
          </w:tcPr>
          <w:p w14:paraId="07E90B3B">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1E076B74">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30B1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453F4323">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11</w:t>
            </w:r>
          </w:p>
        </w:tc>
        <w:tc>
          <w:tcPr>
            <w:tcW w:w="1193" w:type="dxa"/>
            <w:shd w:val="clear" w:color="auto" w:fill="auto"/>
            <w:vAlign w:val="center"/>
          </w:tcPr>
          <w:p w14:paraId="38AF9D3F">
            <w:pPr>
              <w:jc w:val="center"/>
              <w:rPr>
                <w:rFonts w:hint="eastAsia" w:ascii="宋体" w:hAnsi="宋体" w:eastAsia="宋体" w:cs="宋体"/>
                <w:b w:val="0"/>
                <w:bCs/>
                <w:kern w:val="0"/>
                <w:sz w:val="21"/>
                <w:szCs w:val="21"/>
              </w:rPr>
            </w:pPr>
            <w:r>
              <w:rPr>
                <w:rFonts w:hint="eastAsia" w:ascii="仿宋" w:hAnsi="仿宋" w:eastAsia="仿宋" w:cs="仿宋"/>
              </w:rPr>
              <w:t>人工智能分析系统</w:t>
            </w:r>
          </w:p>
        </w:tc>
        <w:tc>
          <w:tcPr>
            <w:tcW w:w="6190" w:type="dxa"/>
            <w:shd w:val="clear" w:color="auto" w:fill="auto"/>
            <w:vAlign w:val="bottom"/>
          </w:tcPr>
          <w:p w14:paraId="26FBB0E7">
            <w:pPr>
              <w:rPr>
                <w:rFonts w:ascii="仿宋" w:hAnsi="仿宋" w:eastAsia="仿宋" w:cs="仿宋"/>
              </w:rPr>
            </w:pPr>
            <w:r>
              <w:rPr>
                <w:rFonts w:hint="eastAsia" w:ascii="仿宋" w:hAnsi="仿宋" w:eastAsia="仿宋" w:cs="仿宋"/>
              </w:rPr>
              <w:t>1、智能分析：云端智能分析算法，可以同时分析大量数据，快速出具筛查结果；</w:t>
            </w:r>
          </w:p>
          <w:p w14:paraId="3BF5A10B">
            <w:pPr>
              <w:rPr>
                <w:rFonts w:hint="eastAsia" w:ascii="宋体" w:hAnsi="宋体" w:eastAsia="宋体" w:cs="宋体"/>
                <w:b w:val="0"/>
                <w:bCs/>
                <w:kern w:val="0"/>
                <w:sz w:val="21"/>
                <w:szCs w:val="21"/>
              </w:rPr>
            </w:pPr>
            <w:r>
              <w:rPr>
                <w:rFonts w:hint="eastAsia" w:ascii="仿宋" w:hAnsi="仿宋" w:eastAsia="仿宋" w:cs="仿宋"/>
              </w:rPr>
              <w:t>2、支持自动识别</w:t>
            </w:r>
            <w:r>
              <w:rPr>
                <w:rFonts w:hint="eastAsia" w:ascii="仿宋" w:hAnsi="仿宋" w:eastAsia="仿宋" w:cs="仿宋"/>
                <w:lang w:val="en-US" w:eastAsia="zh-CN"/>
              </w:rPr>
              <w:t>12</w:t>
            </w:r>
            <w:r>
              <w:rPr>
                <w:rFonts w:hint="eastAsia" w:ascii="仿宋" w:hAnsi="仿宋" w:eastAsia="仿宋" w:cs="仿宋"/>
              </w:rPr>
              <w:t>类心律失常事件</w:t>
            </w:r>
            <w:r>
              <w:rPr>
                <w:rFonts w:hint="eastAsia" w:ascii="仿宋" w:hAnsi="仿宋" w:eastAsia="仿宋" w:cs="仿宋"/>
                <w:lang w:eastAsia="zh-CN"/>
              </w:rPr>
              <w:t>。</w:t>
            </w:r>
          </w:p>
        </w:tc>
        <w:tc>
          <w:tcPr>
            <w:tcW w:w="724" w:type="dxa"/>
            <w:shd w:val="clear" w:color="auto" w:fill="auto"/>
            <w:vAlign w:val="center"/>
          </w:tcPr>
          <w:p w14:paraId="1E6AFA6B">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7E59402F">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项</w:t>
            </w:r>
          </w:p>
        </w:tc>
      </w:tr>
      <w:tr w14:paraId="5CE0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6947C9F1">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12</w:t>
            </w:r>
          </w:p>
        </w:tc>
        <w:tc>
          <w:tcPr>
            <w:tcW w:w="1193" w:type="dxa"/>
            <w:shd w:val="clear" w:color="auto" w:fill="auto"/>
            <w:vAlign w:val="center"/>
          </w:tcPr>
          <w:p w14:paraId="54FC2721">
            <w:pPr>
              <w:rPr>
                <w:rFonts w:hint="eastAsia" w:ascii="宋体" w:hAnsi="宋体" w:eastAsia="宋体" w:cs="宋体"/>
                <w:b w:val="0"/>
                <w:bCs/>
                <w:color w:val="000000"/>
                <w:kern w:val="2"/>
                <w:sz w:val="21"/>
                <w:szCs w:val="21"/>
              </w:rPr>
            </w:pPr>
            <w:r>
              <w:rPr>
                <w:rFonts w:hint="eastAsia" w:ascii="仿宋" w:hAnsi="仿宋" w:eastAsia="仿宋" w:cs="仿宋"/>
                <w:lang w:val="en-US" w:eastAsia="zh-CN"/>
              </w:rPr>
              <w:t>房颤筛查</w:t>
            </w:r>
            <w:r>
              <w:rPr>
                <w:rFonts w:hint="eastAsia" w:ascii="仿宋" w:hAnsi="仿宋" w:eastAsia="仿宋" w:cs="仿宋"/>
              </w:rPr>
              <w:t>数据采集终端</w:t>
            </w:r>
          </w:p>
        </w:tc>
        <w:tc>
          <w:tcPr>
            <w:tcW w:w="6190" w:type="dxa"/>
            <w:shd w:val="clear" w:color="auto" w:fill="auto"/>
            <w:vAlign w:val="center"/>
          </w:tcPr>
          <w:p w14:paraId="482EE2D4">
            <w:pPr>
              <w:rPr>
                <w:rFonts w:ascii="仿宋" w:hAnsi="仿宋" w:eastAsia="仿宋" w:cs="仿宋"/>
              </w:rPr>
            </w:pPr>
            <w:r>
              <w:rPr>
                <w:rFonts w:hint="eastAsia" w:ascii="仿宋" w:hAnsi="仿宋" w:eastAsia="仿宋" w:cs="仿宋"/>
              </w:rPr>
              <w:t>1、符合标准：GB9706.1-2007、YY1139-2013、YY0782-2010、YY0505-2012、GB10793-2000；</w:t>
            </w:r>
          </w:p>
          <w:p w14:paraId="6C5556FA">
            <w:pPr>
              <w:rPr>
                <w:rFonts w:ascii="仿宋" w:hAnsi="仿宋" w:eastAsia="仿宋" w:cs="仿宋"/>
              </w:rPr>
            </w:pPr>
            <w:r>
              <w:rPr>
                <w:rFonts w:hint="eastAsia" w:ascii="仿宋" w:hAnsi="仿宋" w:eastAsia="仿宋" w:cs="仿宋"/>
              </w:rPr>
              <w:t>2、单导联：I导联(手握</w:t>
            </w:r>
            <w:r>
              <w:rPr>
                <w:rFonts w:hint="eastAsia" w:ascii="仿宋" w:hAnsi="仿宋" w:eastAsia="仿宋" w:cs="仿宋"/>
                <w:lang w:eastAsia="zh-CN"/>
              </w:rPr>
              <w:t>)</w:t>
            </w:r>
            <w:r>
              <w:rPr>
                <w:rFonts w:hint="eastAsia" w:ascii="仿宋" w:hAnsi="仿宋" w:eastAsia="仿宋" w:cs="仿宋"/>
              </w:rPr>
              <w:t>-默认；</w:t>
            </w:r>
            <w:r>
              <w:rPr>
                <w:rFonts w:hint="eastAsia" w:ascii="仿宋" w:hAnsi="仿宋" w:eastAsia="仿宋" w:cs="仿宋"/>
              </w:rPr>
              <w:br w:type="textWrapping"/>
            </w:r>
            <w:r>
              <w:rPr>
                <w:rFonts w:hint="eastAsia" w:ascii="仿宋" w:hAnsi="仿宋" w:eastAsia="仿宋" w:cs="仿宋"/>
              </w:rPr>
              <w:t>七导联：“I导联”，“II导联”，“III导联”，“aVR导联”，“aVL导联”，“aVF导联”，“胸导联”。</w:t>
            </w:r>
          </w:p>
          <w:p w14:paraId="433EC0E3">
            <w:pPr>
              <w:rPr>
                <w:rFonts w:ascii="仿宋" w:hAnsi="仿宋" w:eastAsia="仿宋" w:cs="仿宋"/>
              </w:rPr>
            </w:pPr>
            <w:r>
              <w:rPr>
                <w:rFonts w:hint="eastAsia" w:ascii="仿宋" w:hAnsi="仿宋" w:eastAsia="仿宋" w:cs="仿宋"/>
              </w:rPr>
              <w:t>3、心率测量范围：30~300bpm，±5%或±5bpm；</w:t>
            </w:r>
          </w:p>
          <w:p w14:paraId="6EA70DED">
            <w:pPr>
              <w:rPr>
                <w:rFonts w:ascii="仿宋" w:hAnsi="仿宋" w:eastAsia="仿宋" w:cs="仿宋"/>
              </w:rPr>
            </w:pPr>
            <w:r>
              <w:rPr>
                <w:rFonts w:hint="eastAsia" w:ascii="仿宋" w:hAnsi="仿宋" w:eastAsia="仿宋" w:cs="仿宋"/>
              </w:rPr>
              <w:t>4、增益选择：可选择5.0mm/mV、10.0mm/mV、20.0mm/mV、40.0mm/mV；</w:t>
            </w:r>
          </w:p>
          <w:p w14:paraId="1ADE869E">
            <w:pPr>
              <w:rPr>
                <w:rFonts w:ascii="仿宋" w:hAnsi="仿宋" w:eastAsia="仿宋" w:cs="仿宋"/>
              </w:rPr>
            </w:pPr>
            <w:r>
              <w:rPr>
                <w:rFonts w:hint="eastAsia" w:ascii="仿宋" w:hAnsi="仿宋" w:eastAsia="仿宋" w:cs="仿宋"/>
              </w:rPr>
              <w:t>5、显示走纸：可选择12.5mm/s、25mm/s、50mm/s；</w:t>
            </w:r>
          </w:p>
          <w:p w14:paraId="33803099">
            <w:pPr>
              <w:rPr>
                <w:rFonts w:ascii="仿宋" w:hAnsi="仿宋" w:eastAsia="仿宋" w:cs="仿宋"/>
              </w:rPr>
            </w:pPr>
            <w:r>
              <w:rPr>
                <w:rFonts w:hint="eastAsia" w:ascii="仿宋" w:hAnsi="仿宋" w:eastAsia="仿宋" w:cs="仿宋"/>
              </w:rPr>
              <w:t>6、动态输入范围：在±300mV下，偏移≤5%；</w:t>
            </w:r>
          </w:p>
          <w:p w14:paraId="77B511E3">
            <w:pPr>
              <w:rPr>
                <w:rFonts w:ascii="仿宋" w:hAnsi="仿宋" w:eastAsia="仿宋" w:cs="仿宋"/>
              </w:rPr>
            </w:pPr>
            <w:r>
              <w:rPr>
                <w:rFonts w:hint="eastAsia" w:ascii="仿宋" w:hAnsi="仿宋" w:eastAsia="仿宋" w:cs="仿宋"/>
              </w:rPr>
              <w:t>7、系统误差：≤5%或±40uV；</w:t>
            </w:r>
          </w:p>
          <w:p w14:paraId="068CF7B3">
            <w:pPr>
              <w:rPr>
                <w:rFonts w:ascii="仿宋" w:hAnsi="仿宋" w:eastAsia="仿宋" w:cs="仿宋"/>
              </w:rPr>
            </w:pPr>
            <w:r>
              <w:rPr>
                <w:rFonts w:hint="eastAsia" w:ascii="仿宋" w:hAnsi="仿宋" w:eastAsia="仿宋" w:cs="仿宋"/>
              </w:rPr>
              <w:t>8、增益准确度：±5%；</w:t>
            </w:r>
          </w:p>
          <w:p w14:paraId="4F9F29DB">
            <w:pPr>
              <w:rPr>
                <w:rFonts w:ascii="仿宋" w:hAnsi="仿宋" w:eastAsia="仿宋" w:cs="仿宋"/>
              </w:rPr>
            </w:pPr>
            <w:r>
              <w:rPr>
                <w:rFonts w:hint="eastAsia" w:ascii="仿宋" w:hAnsi="仿宋" w:eastAsia="仿宋" w:cs="仿宋"/>
              </w:rPr>
              <w:t>9、系统噪声：＜30uVp-p；</w:t>
            </w:r>
          </w:p>
          <w:p w14:paraId="77B1B5AE">
            <w:pPr>
              <w:rPr>
                <w:rFonts w:ascii="仿宋" w:hAnsi="仿宋" w:eastAsia="仿宋" w:cs="仿宋"/>
              </w:rPr>
            </w:pPr>
            <w:r>
              <w:rPr>
                <w:rFonts w:hint="eastAsia" w:ascii="仿宋" w:hAnsi="仿宋" w:eastAsia="仿宋" w:cs="仿宋"/>
              </w:rPr>
              <w:t>10、频率响应：满足YY1139-2013中频率响应要求的方法A和方法D和方法E；</w:t>
            </w:r>
          </w:p>
          <w:p w14:paraId="5213F9A2">
            <w:pPr>
              <w:rPr>
                <w:rFonts w:ascii="仿宋" w:hAnsi="仿宋" w:eastAsia="仿宋" w:cs="仿宋"/>
              </w:rPr>
            </w:pPr>
            <w:r>
              <w:rPr>
                <w:rFonts w:hint="eastAsia" w:ascii="仿宋" w:hAnsi="仿宋" w:eastAsia="仿宋" w:cs="仿宋"/>
              </w:rPr>
              <w:t>11、手握不锈钢干电极导联把手，可重复使用，患者可自助操作使用；</w:t>
            </w:r>
          </w:p>
          <w:p w14:paraId="2FADA264">
            <w:pPr>
              <w:rPr>
                <w:rFonts w:ascii="仿宋" w:hAnsi="仿宋" w:eastAsia="仿宋" w:cs="仿宋"/>
              </w:rPr>
            </w:pPr>
            <w:r>
              <w:rPr>
                <w:rFonts w:hint="eastAsia" w:ascii="仿宋" w:hAnsi="仿宋" w:eastAsia="仿宋" w:cs="仿宋"/>
              </w:rPr>
              <w:t>12、防电击类型：网电源设备；</w:t>
            </w:r>
          </w:p>
          <w:p w14:paraId="23C7364C">
            <w:pPr>
              <w:rPr>
                <w:rFonts w:ascii="仿宋" w:hAnsi="仿宋" w:eastAsia="仿宋" w:cs="仿宋"/>
              </w:rPr>
            </w:pPr>
            <w:r>
              <w:rPr>
                <w:rFonts w:hint="eastAsia" w:ascii="仿宋" w:hAnsi="仿宋" w:eastAsia="仿宋" w:cs="仿宋"/>
              </w:rPr>
              <w:t>13、支持WiFi及4G联网传输，患者可通过手机查看心电图；</w:t>
            </w:r>
          </w:p>
          <w:p w14:paraId="69AD64B2">
            <w:pPr>
              <w:rPr>
                <w:rFonts w:ascii="仿宋" w:hAnsi="仿宋" w:eastAsia="仿宋" w:cs="仿宋"/>
              </w:rPr>
            </w:pPr>
            <w:r>
              <w:rPr>
                <w:rFonts w:hint="eastAsia" w:ascii="仿宋" w:hAnsi="仿宋" w:eastAsia="仿宋" w:cs="仿宋"/>
              </w:rPr>
              <w:t>14、支持PC端历史测量数据统计、查询测量者信息及当次测量心电图；</w:t>
            </w:r>
          </w:p>
          <w:p w14:paraId="090F2771">
            <w:pPr>
              <w:rPr>
                <w:rFonts w:ascii="仿宋" w:hAnsi="仿宋" w:eastAsia="仿宋" w:cs="仿宋"/>
              </w:rPr>
            </w:pPr>
            <w:r>
              <w:rPr>
                <w:rFonts w:hint="eastAsia" w:ascii="仿宋" w:hAnsi="仿宋" w:eastAsia="仿宋" w:cs="仿宋"/>
              </w:rPr>
              <w:t>15、设备分类：防除颤CF型应用部分设备；</w:t>
            </w:r>
          </w:p>
          <w:p w14:paraId="73DD80EC">
            <w:pPr>
              <w:rPr>
                <w:rFonts w:ascii="仿宋" w:hAnsi="仿宋" w:eastAsia="仿宋" w:cs="仿宋"/>
              </w:rPr>
            </w:pPr>
            <w:r>
              <w:rPr>
                <w:rFonts w:hint="eastAsia" w:ascii="仿宋" w:hAnsi="仿宋" w:eastAsia="仿宋" w:cs="仿宋"/>
              </w:rPr>
              <w:t>16、自带热敏打印机，支持心电图打印功能；</w:t>
            </w:r>
          </w:p>
          <w:p w14:paraId="2F92E7D2">
            <w:pPr>
              <w:rPr>
                <w:rFonts w:ascii="仿宋" w:hAnsi="仿宋" w:eastAsia="仿宋" w:cs="仿宋"/>
              </w:rPr>
            </w:pPr>
            <w:r>
              <w:rPr>
                <w:rFonts w:hint="eastAsia" w:ascii="仿宋" w:hAnsi="仿宋" w:eastAsia="仿宋" w:cs="仿宋"/>
              </w:rPr>
              <w:t>17、屏幕尺寸</w:t>
            </w:r>
            <w:r>
              <w:rPr>
                <w:rFonts w:hint="eastAsia" w:ascii="仿宋" w:hAnsi="仿宋" w:eastAsia="仿宋" w:cs="仿宋"/>
                <w:lang w:val="en-US" w:eastAsia="zh-CN"/>
              </w:rPr>
              <w:t>≥</w:t>
            </w:r>
            <w:r>
              <w:rPr>
                <w:rFonts w:hint="eastAsia" w:ascii="仿宋" w:hAnsi="仿宋" w:eastAsia="仿宋" w:cs="仿宋"/>
              </w:rPr>
              <w:t>21.5寸；</w:t>
            </w:r>
          </w:p>
          <w:p w14:paraId="5057B5AB">
            <w:pPr>
              <w:rPr>
                <w:rFonts w:hint="eastAsia" w:ascii="仿宋" w:hAnsi="仿宋" w:eastAsia="仿宋" w:cs="仿宋"/>
              </w:rPr>
            </w:pPr>
            <w:r>
              <w:rPr>
                <w:rFonts w:hint="eastAsia" w:ascii="仿宋" w:hAnsi="仿宋" w:eastAsia="仿宋" w:cs="仿宋"/>
              </w:rPr>
              <w:t>18、心电采集时间</w:t>
            </w:r>
            <w:r>
              <w:rPr>
                <w:rFonts w:hint="eastAsia" w:ascii="仿宋" w:hAnsi="仿宋" w:eastAsia="仿宋" w:cs="仿宋"/>
                <w:lang w:val="en-US" w:eastAsia="zh-CN"/>
              </w:rPr>
              <w:t>≥</w:t>
            </w:r>
            <w:r>
              <w:rPr>
                <w:rFonts w:hint="eastAsia" w:ascii="仿宋" w:hAnsi="仿宋" w:eastAsia="仿宋" w:cs="仿宋"/>
              </w:rPr>
              <w:t>35s；</w:t>
            </w:r>
          </w:p>
          <w:p w14:paraId="55585342">
            <w:pPr>
              <w:pStyle w:val="2"/>
              <w:rPr>
                <w:rFonts w:hint="eastAsia" w:ascii="宋体" w:hAnsi="宋体" w:cs="宋体"/>
                <w:b w:val="0"/>
                <w:bCs/>
                <w:color w:val="000000"/>
                <w:sz w:val="21"/>
                <w:szCs w:val="21"/>
                <w:lang w:val="en-US" w:eastAsia="zh-CN"/>
              </w:rPr>
            </w:pPr>
            <w:r>
              <w:rPr>
                <w:rFonts w:hint="eastAsia" w:ascii="仿宋" w:hAnsi="仿宋" w:eastAsia="仿宋" w:cs="仿宋"/>
                <w:szCs w:val="21"/>
              </w:rPr>
              <w:t>19、设备配置两只万向轮和两只固定支撑脚，便于设备推动和固定</w:t>
            </w:r>
            <w:r>
              <w:rPr>
                <w:rFonts w:hint="eastAsia" w:ascii="仿宋" w:hAnsi="仿宋" w:eastAsia="仿宋" w:cs="仿宋"/>
                <w:szCs w:val="21"/>
                <w:lang w:eastAsia="zh-CN"/>
              </w:rPr>
              <w:t>。</w:t>
            </w:r>
          </w:p>
        </w:tc>
        <w:tc>
          <w:tcPr>
            <w:tcW w:w="724" w:type="dxa"/>
            <w:shd w:val="clear" w:color="auto" w:fill="auto"/>
            <w:vAlign w:val="center"/>
          </w:tcPr>
          <w:p w14:paraId="68FD4054">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1</w:t>
            </w:r>
          </w:p>
        </w:tc>
        <w:tc>
          <w:tcPr>
            <w:tcW w:w="714" w:type="dxa"/>
            <w:shd w:val="clear" w:color="auto" w:fill="auto"/>
            <w:vAlign w:val="center"/>
          </w:tcPr>
          <w:p w14:paraId="0D5CB52F">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台</w:t>
            </w:r>
          </w:p>
        </w:tc>
      </w:tr>
    </w:tbl>
    <w:p w14:paraId="618E452E">
      <w:pPr>
        <w:pStyle w:val="6"/>
        <w:rPr>
          <w:rFonts w:hint="eastAsia" w:ascii="宋体" w:hAnsi="宋体" w:eastAsia="宋体" w:cs="宋体"/>
          <w:b w:val="0"/>
          <w:bCs w:val="0"/>
          <w:color w:val="000000"/>
          <w:sz w:val="24"/>
          <w:szCs w:val="24"/>
          <w:lang w:val="en-US" w:eastAsia="zh-CN"/>
        </w:rPr>
      </w:pPr>
    </w:p>
    <w:p w14:paraId="62A96D66">
      <w:pPr>
        <w:jc w:val="center"/>
        <w:rPr>
          <w:rFonts w:hint="eastAsia" w:ascii="宋体" w:hAnsi="宋体" w:eastAsia="宋体" w:cs="宋体"/>
          <w:b/>
          <w:bCs/>
          <w:color w:val="000000" w:themeColor="text1"/>
          <w:kern w:val="0"/>
          <w:sz w:val="24"/>
          <w:szCs w:val="24"/>
          <w14:textFill>
            <w14:solidFill>
              <w14:schemeClr w14:val="tx1"/>
            </w14:solidFill>
          </w14:textFill>
        </w:rPr>
      </w:pPr>
    </w:p>
    <w:p w14:paraId="5207E31D">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tbl>
      <w:tblPr>
        <w:tblStyle w:val="7"/>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8"/>
        <w:gridCol w:w="7388"/>
      </w:tblGrid>
      <w:tr w14:paraId="648F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2468" w:type="dxa"/>
            <w:shd w:val="clear" w:color="auto" w:fill="auto"/>
            <w:vAlign w:val="center"/>
          </w:tcPr>
          <w:p w14:paraId="60133E2B">
            <w:pPr>
              <w:snapToGrid w:val="0"/>
              <w:spacing w:line="336" w:lineRule="exact"/>
              <w:rPr>
                <w:rFonts w:hint="eastAsia" w:asciiTheme="minorEastAsia" w:hAnsiTheme="minorEastAsia" w:eastAsiaTheme="minorEastAsia" w:cstheme="minorEastAsia"/>
                <w:b w:val="0"/>
                <w:bCs/>
                <w:color w:val="FF0000"/>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1.供应商资质</w:t>
            </w:r>
          </w:p>
        </w:tc>
        <w:tc>
          <w:tcPr>
            <w:tcW w:w="7388" w:type="dxa"/>
            <w:shd w:val="clear" w:color="auto" w:fill="auto"/>
            <w:vAlign w:val="center"/>
          </w:tcPr>
          <w:p w14:paraId="3954397B">
            <w:pPr>
              <w:snapToGrid w:val="0"/>
              <w:spacing w:line="336" w:lineRule="exact"/>
              <w:rPr>
                <w:rFonts w:hint="eastAsia" w:asciiTheme="minorEastAsia" w:hAnsiTheme="minorEastAsia" w:eastAsiaTheme="minorEastAsia" w:cstheme="minorEastAsia"/>
                <w:b w:val="0"/>
                <w:bCs/>
                <w:color w:val="FF0000"/>
                <w:sz w:val="24"/>
                <w:szCs w:val="24"/>
                <w:lang w:val="en-US"/>
              </w:rPr>
            </w:pPr>
            <w:r>
              <w:rPr>
                <w:rFonts w:hint="eastAsia" w:asciiTheme="minorEastAsia" w:hAnsiTheme="minorEastAsia" w:eastAsiaTheme="minorEastAsia" w:cstheme="minorEastAsia"/>
                <w:sz w:val="24"/>
                <w:szCs w:val="24"/>
              </w:rPr>
              <w:t>国内注册【依法在市场监督管理部门（或行政审批部门）登记注册】的，具</w:t>
            </w:r>
            <w:r>
              <w:rPr>
                <w:rFonts w:hint="eastAsia" w:asciiTheme="minorEastAsia" w:hAnsiTheme="minorEastAsia" w:eastAsiaTheme="minorEastAsia" w:cstheme="minorEastAsia"/>
                <w:sz w:val="24"/>
                <w:szCs w:val="24"/>
                <w:lang w:val="en-US" w:eastAsia="zh-CN"/>
              </w:rPr>
              <w:t>备合法</w:t>
            </w:r>
            <w:r>
              <w:rPr>
                <w:rFonts w:hint="eastAsia" w:asciiTheme="minorEastAsia" w:hAnsiTheme="minorEastAsia" w:eastAsiaTheme="minorEastAsia" w:cstheme="minorEastAsia"/>
                <w:sz w:val="24"/>
                <w:szCs w:val="24"/>
              </w:rPr>
              <w:t>资格的供应商</w:t>
            </w:r>
            <w:r>
              <w:rPr>
                <w:rFonts w:hint="eastAsia" w:asciiTheme="minorEastAsia" w:hAnsiTheme="minorEastAsia" w:eastAsiaTheme="minorEastAsia" w:cstheme="minorEastAsia"/>
                <w:sz w:val="24"/>
                <w:szCs w:val="24"/>
                <w:lang w:eastAsia="zh-CN"/>
              </w:rPr>
              <w:t>。</w:t>
            </w:r>
          </w:p>
        </w:tc>
      </w:tr>
      <w:tr w14:paraId="02AF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2468" w:type="dxa"/>
            <w:shd w:val="clear" w:color="auto" w:fill="auto"/>
            <w:vAlign w:val="center"/>
          </w:tcPr>
          <w:p w14:paraId="2A7CC117">
            <w:pPr>
              <w:snapToGrid w:val="0"/>
              <w:spacing w:line="336" w:lineRule="exact"/>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val="zh-CN"/>
              </w:rPr>
              <w:t>提供免费技术培训</w:t>
            </w:r>
          </w:p>
          <w:p w14:paraId="2F957187">
            <w:pPr>
              <w:jc w:val="center"/>
              <w:rPr>
                <w:rFonts w:hint="eastAsia" w:asciiTheme="minorEastAsia" w:hAnsiTheme="minorEastAsia" w:eastAsiaTheme="minorEastAsia" w:cstheme="minorEastAsia"/>
                <w:b w:val="0"/>
                <w:bCs/>
                <w:color w:val="000000"/>
                <w:kern w:val="2"/>
                <w:sz w:val="24"/>
                <w:szCs w:val="24"/>
                <w:lang w:val="en-US" w:eastAsia="zh-CN" w:bidi="ar-SA"/>
              </w:rPr>
            </w:pPr>
          </w:p>
        </w:tc>
        <w:tc>
          <w:tcPr>
            <w:tcW w:w="7388" w:type="dxa"/>
            <w:shd w:val="clear" w:color="auto" w:fill="auto"/>
            <w:vAlign w:val="center"/>
          </w:tcPr>
          <w:p w14:paraId="6BC2C8E1">
            <w:pPr>
              <w:snapToGrid w:val="0"/>
              <w:spacing w:line="336" w:lineRule="exact"/>
              <w:rPr>
                <w:rFonts w:hint="eastAsia" w:asciiTheme="minorEastAsia" w:hAnsiTheme="minorEastAsia" w:eastAsiaTheme="minorEastAsia" w:cstheme="minorEastAsia"/>
                <w:b w:val="0"/>
                <w:bCs/>
                <w:kern w:val="0"/>
                <w:sz w:val="24"/>
                <w:szCs w:val="24"/>
                <w:lang w:val="en-US" w:eastAsia="zh-CN" w:bidi="ar-SA"/>
              </w:rPr>
            </w:pPr>
            <w:r>
              <w:rPr>
                <w:rFonts w:hint="eastAsia" w:asciiTheme="minorEastAsia" w:hAnsiTheme="minorEastAsia" w:eastAsiaTheme="minorEastAsia" w:cstheme="minorEastAsia"/>
                <w:sz w:val="24"/>
                <w:szCs w:val="24"/>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r>
      <w:tr w14:paraId="408F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2468" w:type="dxa"/>
            <w:shd w:val="clear" w:color="auto" w:fill="auto"/>
            <w:vAlign w:val="center"/>
          </w:tcPr>
          <w:p w14:paraId="3F6BD5AF">
            <w:pPr>
              <w:keepNext w:val="0"/>
              <w:keepLines w:val="0"/>
              <w:pageBreakBefore w:val="0"/>
              <w:kinsoku/>
              <w:wordWrap/>
              <w:overflowPunct/>
              <w:topLinePunct w:val="0"/>
              <w:autoSpaceDE/>
              <w:autoSpaceDN/>
              <w:bidi w:val="0"/>
              <w:adjustRightInd/>
              <w:snapToGrid w:val="0"/>
              <w:spacing w:line="360" w:lineRule="exact"/>
              <w:textAlignment w:val="auto"/>
              <w:rPr>
                <w:rFonts w:hint="eastAsia" w:asciiTheme="minorEastAsia" w:hAnsiTheme="minorEastAsia" w:eastAsiaTheme="minorEastAsia" w:cstheme="minorEastAsia"/>
                <w:b w:val="0"/>
                <w:bCs/>
                <w:color w:val="000000"/>
                <w:kern w:val="2"/>
                <w:sz w:val="24"/>
                <w:szCs w:val="24"/>
                <w:lang w:val="en-US" w:eastAsia="zh-CN" w:bidi="ar-SA"/>
              </w:rPr>
            </w:pPr>
            <w:r>
              <w:rPr>
                <w:rFonts w:hint="eastAsia" w:asciiTheme="minorEastAsia" w:hAnsiTheme="minorEastAsia" w:cstheme="minorEastAsia"/>
                <w:b w:val="0"/>
                <w:bCs/>
                <w:color w:val="auto"/>
                <w:sz w:val="21"/>
                <w:szCs w:val="21"/>
                <w:lang w:val="en-US" w:eastAsia="zh-CN"/>
              </w:rPr>
              <w:t>3</w:t>
            </w:r>
            <w:r>
              <w:rPr>
                <w:rFonts w:hint="eastAsia" w:asciiTheme="minorEastAsia" w:hAnsiTheme="minorEastAsia" w:eastAsiaTheme="minorEastAsia" w:cstheme="minorEastAsia"/>
                <w:b w:val="0"/>
                <w:bCs/>
                <w:color w:val="auto"/>
                <w:sz w:val="21"/>
                <w:szCs w:val="21"/>
                <w:lang w:val="en-US" w:eastAsia="zh-CN"/>
              </w:rPr>
              <w:t>.售后服务要求</w:t>
            </w:r>
          </w:p>
        </w:tc>
        <w:tc>
          <w:tcPr>
            <w:tcW w:w="7388" w:type="dxa"/>
            <w:shd w:val="clear" w:color="auto" w:fill="auto"/>
            <w:vAlign w:val="center"/>
          </w:tcPr>
          <w:p w14:paraId="17D1583F">
            <w:pPr>
              <w:keepNext w:val="0"/>
              <w:keepLines w:val="0"/>
              <w:pageBreakBefore w:val="0"/>
              <w:kinsoku/>
              <w:wordWrap/>
              <w:overflowPunct/>
              <w:topLinePunct w:val="0"/>
              <w:autoSpaceDE/>
              <w:autoSpaceDN/>
              <w:bidi w:val="0"/>
              <w:adjustRightInd/>
              <w:snapToGrid w:val="0"/>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技术服务及后续维保服务期不少于</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年（自验收合格之日起计算），技术服务及后续维保服务期内提供技术维护服务，要求2小时内响应，一般质量问题处理时限不超过8小时，保障系统正常运行，并负责上门维护(不收取任何费用）。</w:t>
            </w:r>
            <w:r>
              <w:rPr>
                <w:rFonts w:hint="eastAsia" w:asciiTheme="minorEastAsia" w:hAnsiTheme="minorEastAsia" w:eastAsiaTheme="minorEastAsia" w:cstheme="minorEastAsia"/>
                <w:sz w:val="24"/>
                <w:szCs w:val="24"/>
              </w:rPr>
              <w:t>合同维保到期以后每年的维保费用不超过合同总额的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w:t>
            </w:r>
          </w:p>
        </w:tc>
      </w:tr>
      <w:tr w14:paraId="2B93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2468" w:type="dxa"/>
            <w:shd w:val="clear" w:color="auto" w:fill="auto"/>
            <w:vAlign w:val="center"/>
          </w:tcPr>
          <w:p w14:paraId="59FDE80F">
            <w:pPr>
              <w:snapToGrid w:val="0"/>
              <w:spacing w:line="336" w:lineRule="exact"/>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交付地点</w:t>
            </w:r>
          </w:p>
        </w:tc>
        <w:tc>
          <w:tcPr>
            <w:tcW w:w="7388" w:type="dxa"/>
            <w:shd w:val="clear" w:color="auto" w:fill="auto"/>
            <w:vAlign w:val="center"/>
          </w:tcPr>
          <w:p w14:paraId="5F0D145C">
            <w:pPr>
              <w:snapToGrid w:val="0"/>
              <w:spacing w:line="336"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1.交付期：自签订合同之日起</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日历日内验收合格并交付采购人使用。</w:t>
            </w:r>
          </w:p>
          <w:p w14:paraId="4558604E">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招标人指定地点。</w:t>
            </w:r>
          </w:p>
        </w:tc>
      </w:tr>
      <w:tr w14:paraId="09E1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jc w:val="center"/>
        </w:trPr>
        <w:tc>
          <w:tcPr>
            <w:tcW w:w="2468" w:type="dxa"/>
            <w:shd w:val="clear" w:color="auto" w:fill="auto"/>
            <w:vAlign w:val="center"/>
          </w:tcPr>
          <w:p w14:paraId="14358007">
            <w:pPr>
              <w:jc w:val="both"/>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付款方式</w:t>
            </w:r>
          </w:p>
        </w:tc>
        <w:tc>
          <w:tcPr>
            <w:tcW w:w="7388" w:type="dxa"/>
            <w:shd w:val="clear" w:color="auto" w:fill="auto"/>
            <w:vAlign w:val="center"/>
          </w:tcPr>
          <w:p w14:paraId="0AA83085">
            <w:pPr>
              <w:spacing w:line="360" w:lineRule="exact"/>
              <w:ind w:right="-55" w:rightChars="-26"/>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sz w:val="24"/>
                <w:szCs w:val="24"/>
              </w:rPr>
              <w:t>付款方式：合同签订之后，乙方将尽快安排入场安装，在软件上线并验收合格后，乙方开具对应金额的有效发票，甲方在收到发票</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后</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个工作</w:t>
            </w:r>
            <w:r>
              <w:rPr>
                <w:rFonts w:hint="eastAsia" w:asciiTheme="minorEastAsia" w:hAnsiTheme="minorEastAsia" w:eastAsiaTheme="minorEastAsia" w:cstheme="minorEastAsia"/>
                <w:sz w:val="24"/>
                <w:szCs w:val="24"/>
                <w:lang w:val="en-US" w:eastAsia="zh-CN"/>
              </w:rPr>
              <w:t>日后</w:t>
            </w:r>
            <w:r>
              <w:rPr>
                <w:rFonts w:hint="eastAsia" w:asciiTheme="minorEastAsia" w:hAnsiTheme="minorEastAsia" w:eastAsiaTheme="minorEastAsia" w:cstheme="minorEastAsia"/>
                <w:sz w:val="24"/>
                <w:szCs w:val="24"/>
              </w:rPr>
              <w:t>将终验款（合同金额9</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%），一次性支付给乙方；合同总额中包含</w:t>
            </w:r>
            <w:r>
              <w:rPr>
                <w:rFonts w:hint="eastAsia" w:asciiTheme="minorEastAsia" w:hAnsiTheme="minorEastAsia" w:eastAsiaTheme="minorEastAsia" w:cstheme="minorEastAsia"/>
                <w:sz w:val="24"/>
                <w:szCs w:val="24"/>
                <w:lang w:val="en-US" w:eastAsia="zh-CN"/>
              </w:rPr>
              <w:t>不少于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年的维保，维保到期后乙方提出履约保证金付款申请，甲方收到申请</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个工作日</w:t>
            </w:r>
            <w:r>
              <w:rPr>
                <w:rFonts w:hint="eastAsia" w:asciiTheme="minorEastAsia" w:hAnsiTheme="minorEastAsia" w:eastAsiaTheme="minorEastAsia" w:cstheme="minorEastAsia"/>
                <w:sz w:val="24"/>
                <w:szCs w:val="24"/>
                <w:lang w:val="en-US" w:eastAsia="zh-CN"/>
              </w:rPr>
              <w:t>后</w:t>
            </w:r>
            <w:r>
              <w:rPr>
                <w:rFonts w:hint="eastAsia" w:asciiTheme="minorEastAsia" w:hAnsiTheme="minorEastAsia" w:eastAsiaTheme="minorEastAsia" w:cstheme="minorEastAsia"/>
                <w:sz w:val="24"/>
                <w:szCs w:val="24"/>
              </w:rPr>
              <w:t>将履约保证金（合同金额</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%）一次性支付给乙方。合同维保到期以后每年的维保费用不超过合同总额的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%，维保协议双方另行签订。</w:t>
            </w:r>
          </w:p>
          <w:p w14:paraId="7EDFC2AF">
            <w:pPr>
              <w:snapToGrid w:val="0"/>
              <w:spacing w:line="336" w:lineRule="exac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bCs/>
                <w:sz w:val="24"/>
                <w:szCs w:val="24"/>
              </w:rPr>
              <w:t>中标人申请款项时需同时开具正式足额发票给招标人，否则</w:t>
            </w:r>
            <w:r>
              <w:rPr>
                <w:rFonts w:hint="eastAsia" w:asciiTheme="minorEastAsia" w:hAnsiTheme="minorEastAsia" w:eastAsiaTheme="minorEastAsia" w:cstheme="minorEastAsia"/>
                <w:bCs/>
                <w:sz w:val="24"/>
                <w:szCs w:val="24"/>
                <w:lang w:val="en-US" w:eastAsia="zh-CN"/>
              </w:rPr>
              <w:t>采购人</w:t>
            </w:r>
            <w:r>
              <w:rPr>
                <w:rFonts w:hint="eastAsia" w:asciiTheme="minorEastAsia" w:hAnsiTheme="minorEastAsia" w:eastAsiaTheme="minorEastAsia" w:cstheme="minorEastAsia"/>
                <w:bCs/>
                <w:sz w:val="24"/>
                <w:szCs w:val="24"/>
              </w:rPr>
              <w:t>可以拒绝付款。</w:t>
            </w:r>
          </w:p>
        </w:tc>
      </w:tr>
      <w:tr w14:paraId="76E2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shd w:val="clear" w:color="auto" w:fill="auto"/>
            <w:vAlign w:val="center"/>
          </w:tcPr>
          <w:p w14:paraId="5A00F4EB">
            <w:pPr>
              <w:snapToGrid w:val="0"/>
              <w:spacing w:line="336" w:lineRule="exac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验收标准</w:t>
            </w:r>
          </w:p>
          <w:p w14:paraId="43726854">
            <w:pPr>
              <w:jc w:val="center"/>
              <w:rPr>
                <w:rFonts w:hint="eastAsia" w:asciiTheme="minorEastAsia" w:hAnsiTheme="minorEastAsia" w:eastAsiaTheme="minorEastAsia" w:cstheme="minorEastAsia"/>
                <w:b w:val="0"/>
                <w:bCs/>
                <w:color w:val="000000"/>
                <w:sz w:val="24"/>
                <w:szCs w:val="24"/>
              </w:rPr>
            </w:pPr>
          </w:p>
        </w:tc>
        <w:tc>
          <w:tcPr>
            <w:tcW w:w="7388" w:type="dxa"/>
            <w:shd w:val="clear" w:color="auto" w:fill="auto"/>
            <w:vAlign w:val="center"/>
          </w:tcPr>
          <w:p w14:paraId="550C8BFF">
            <w:pPr>
              <w:adjustRightInd w:val="0"/>
              <w:snapToGrid w:val="0"/>
              <w:spacing w:line="360" w:lineRule="exact"/>
              <w:rPr>
                <w:rFonts w:hint="eastAsia"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1.依据</w:t>
            </w:r>
            <w:r>
              <w:rPr>
                <w:rFonts w:hint="eastAsia" w:asciiTheme="minorEastAsia" w:hAnsiTheme="minorEastAsia" w:eastAsiaTheme="minorEastAsia" w:cstheme="minorEastAsia"/>
                <w:spacing w:val="-2"/>
                <w:sz w:val="24"/>
                <w:szCs w:val="24"/>
                <w:lang w:val="en-US" w:eastAsia="zh-CN"/>
              </w:rPr>
              <w:t>招标</w:t>
            </w:r>
            <w:r>
              <w:rPr>
                <w:rFonts w:hint="eastAsia" w:asciiTheme="minorEastAsia" w:hAnsiTheme="minorEastAsia" w:eastAsiaTheme="minorEastAsia" w:cstheme="minorEastAsia"/>
                <w:spacing w:val="-2"/>
                <w:sz w:val="24"/>
                <w:szCs w:val="24"/>
              </w:rPr>
              <w:t>文件要求的采购需求、</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报价响应文件承诺以及国家现行相关标准、规范履行合同。</w:t>
            </w:r>
          </w:p>
          <w:p w14:paraId="760B6B7C">
            <w:pPr>
              <w:snapToGrid w:val="0"/>
              <w:spacing w:line="336" w:lineRule="exac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2.采购人依照国家相关法律法规及行业规定及询价文件要求、</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报价响应文件承诺进行验收。</w:t>
            </w:r>
          </w:p>
        </w:tc>
      </w:tr>
      <w:tr w14:paraId="7384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shd w:val="clear" w:color="auto" w:fill="auto"/>
            <w:vAlign w:val="center"/>
          </w:tcPr>
          <w:p w14:paraId="1AF9F7FE">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7</w:t>
            </w:r>
            <w:r>
              <w:rPr>
                <w:rFonts w:hint="eastAsia" w:asciiTheme="minorEastAsia" w:hAnsiTheme="minorEastAsia" w:eastAsiaTheme="minorEastAsia" w:cstheme="minorEastAsia"/>
                <w:b w:val="0"/>
                <w:bCs/>
                <w:color w:val="000000"/>
                <w:sz w:val="24"/>
                <w:szCs w:val="24"/>
                <w:lang w:val="en-US" w:eastAsia="zh-CN"/>
              </w:rPr>
              <w:t>.报价要求</w:t>
            </w:r>
          </w:p>
        </w:tc>
        <w:tc>
          <w:tcPr>
            <w:tcW w:w="7388" w:type="dxa"/>
            <w:shd w:val="clear" w:color="auto" w:fill="auto"/>
            <w:vAlign w:val="center"/>
          </w:tcPr>
          <w:p w14:paraId="28F1B5A5">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本项目采用综合单价方式报价，综合单价应综合考虑完成本项目产生的所有成本、税金及合理利润，具体包含但不限于完成采购标的包含的所有人工费用、差旅费、交通费、故障诊断费</w:t>
            </w:r>
            <w:r>
              <w:rPr>
                <w:rFonts w:hint="eastAsia" w:asciiTheme="minorEastAsia" w:hAnsiTheme="minorEastAsia" w:eastAsiaTheme="minorEastAsia" w:cstheme="minorEastAsia"/>
                <w:spacing w:val="-2"/>
                <w:sz w:val="24"/>
                <w:szCs w:val="24"/>
                <w:lang w:eastAsia="zh-CN"/>
              </w:rPr>
              <w:t>、</w:t>
            </w:r>
            <w:r>
              <w:rPr>
                <w:rFonts w:hint="eastAsia" w:asciiTheme="minorEastAsia" w:hAnsiTheme="minorEastAsia" w:eastAsiaTheme="minorEastAsia" w:cstheme="minorEastAsia"/>
                <w:spacing w:val="-2"/>
                <w:sz w:val="24"/>
                <w:szCs w:val="24"/>
              </w:rPr>
              <w:t>培训费、保险、税金、利润等所有成本费用。在合同实施时，采购人将不予支付完成本项目必须的但成交人没有列入的费用，并认为此费用已包括在报价中。</w:t>
            </w:r>
          </w:p>
        </w:tc>
      </w:tr>
      <w:tr w14:paraId="4971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468" w:type="dxa"/>
            <w:shd w:val="clear" w:color="auto" w:fill="auto"/>
            <w:vAlign w:val="center"/>
          </w:tcPr>
          <w:p w14:paraId="127B986E">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8</w:t>
            </w:r>
            <w:r>
              <w:rPr>
                <w:rFonts w:hint="eastAsia" w:asciiTheme="minorEastAsia" w:hAnsiTheme="minorEastAsia" w:eastAsiaTheme="minorEastAsia" w:cstheme="minorEastAsia"/>
                <w:b w:val="0"/>
                <w:bCs/>
                <w:color w:val="000000"/>
                <w:sz w:val="24"/>
                <w:szCs w:val="24"/>
                <w:lang w:val="en-US" w:eastAsia="zh-CN"/>
              </w:rPr>
              <w:t>.最高限价</w:t>
            </w:r>
          </w:p>
        </w:tc>
        <w:tc>
          <w:tcPr>
            <w:tcW w:w="7388" w:type="dxa"/>
            <w:shd w:val="clear" w:color="auto" w:fill="auto"/>
            <w:vAlign w:val="center"/>
          </w:tcPr>
          <w:p w14:paraId="368C8CED">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本项目预算金额为</w:t>
            </w:r>
            <w:r>
              <w:rPr>
                <w:rFonts w:hint="eastAsia" w:asciiTheme="minorEastAsia" w:hAnsiTheme="minorEastAsia" w:eastAsiaTheme="minorEastAsia" w:cstheme="minorEastAsia"/>
                <w:sz w:val="24"/>
                <w:szCs w:val="24"/>
              </w:rPr>
              <w:t>人民币</w:t>
            </w:r>
            <w:r>
              <w:rPr>
                <w:rFonts w:hint="eastAsia" w:asciiTheme="minorEastAsia" w:hAnsiTheme="minorEastAsia" w:cstheme="minorEastAsia"/>
                <w:color w:val="FF0000"/>
                <w:sz w:val="24"/>
                <w:szCs w:val="24"/>
                <w:lang w:val="en-US" w:eastAsia="zh-CN"/>
              </w:rPr>
              <w:t>叁拾万元整（¥300000.00）</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报价超出参考预算金额的，按无效处理。</w:t>
            </w:r>
          </w:p>
        </w:tc>
      </w:tr>
      <w:tr w14:paraId="629D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468" w:type="dxa"/>
            <w:shd w:val="clear" w:color="auto" w:fill="auto"/>
            <w:vAlign w:val="center"/>
          </w:tcPr>
          <w:p w14:paraId="4C02CDB2">
            <w:pPr>
              <w:jc w:val="both"/>
              <w:rPr>
                <w:rFonts w:hint="eastAsia" w:asciiTheme="minorEastAsia" w:hAnsiTheme="minorEastAsia" w:eastAsiaTheme="minorEastAsia" w:cstheme="minorEastAsia"/>
                <w:b w:val="0"/>
                <w:bCs/>
                <w:color w:val="000000"/>
                <w:sz w:val="24"/>
                <w:szCs w:val="24"/>
                <w:lang w:eastAsia="zh-CN"/>
              </w:rPr>
            </w:pP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zh-CN"/>
              </w:rPr>
              <w:t>其他要求</w:t>
            </w:r>
          </w:p>
        </w:tc>
        <w:tc>
          <w:tcPr>
            <w:tcW w:w="7388" w:type="dxa"/>
            <w:shd w:val="clear" w:color="auto" w:fill="auto"/>
            <w:vAlign w:val="center"/>
          </w:tcPr>
          <w:p w14:paraId="2B82B182">
            <w:pPr>
              <w:snapToGrid w:val="0"/>
              <w:spacing w:line="336" w:lineRule="exac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z w:val="24"/>
                <w:szCs w:val="24"/>
              </w:rPr>
              <w:t>本项目所提供的软件必须具有合法的版权或使用权，如在本项目范围内使用过程中出现版权或使用权纠纷，应由中标人负责</w:t>
            </w:r>
            <w:r>
              <w:rPr>
                <w:rFonts w:hint="eastAsia" w:asciiTheme="minorEastAsia" w:hAnsiTheme="minorEastAsia" w:eastAsiaTheme="minorEastAsia" w:cstheme="minorEastAsia"/>
                <w:sz w:val="24"/>
                <w:szCs w:val="24"/>
                <w:lang w:eastAsia="zh-CN"/>
              </w:rPr>
              <w:t>。</w:t>
            </w:r>
          </w:p>
        </w:tc>
      </w:tr>
    </w:tbl>
    <w:p w14:paraId="51DFB7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7ACD"/>
    <w:rsid w:val="0DBC574E"/>
    <w:rsid w:val="12670401"/>
    <w:rsid w:val="17375756"/>
    <w:rsid w:val="184616E2"/>
    <w:rsid w:val="1E1332F5"/>
    <w:rsid w:val="2E693783"/>
    <w:rsid w:val="345B12C4"/>
    <w:rsid w:val="3F9E3E2A"/>
    <w:rsid w:val="411B504A"/>
    <w:rsid w:val="44E0071B"/>
    <w:rsid w:val="4D7A195F"/>
    <w:rsid w:val="5183133C"/>
    <w:rsid w:val="52CE1B5C"/>
    <w:rsid w:val="5C886ED1"/>
    <w:rsid w:val="5DD451FE"/>
    <w:rsid w:val="6D133DBF"/>
    <w:rsid w:val="77B5724E"/>
    <w:rsid w:val="784A4D50"/>
    <w:rsid w:val="79BF7F82"/>
    <w:rsid w:val="7A58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link w:val="10"/>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6">
    <w:name w:val="toc 1"/>
    <w:basedOn w:val="1"/>
    <w:next w:val="1"/>
    <w:qFormat/>
    <w:uiPriority w:val="39"/>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3 Char"/>
    <w:link w:val="5"/>
    <w:qFormat/>
    <w:uiPriority w:val="99"/>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2759</Words>
  <Characters>2990</Characters>
  <Lines>0</Lines>
  <Paragraphs>0</Paragraphs>
  <TotalTime>0</TotalTime>
  <ScaleCrop>false</ScaleCrop>
  <LinksUpToDate>false</LinksUpToDate>
  <CharactersWithSpaces>3004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2026-04-01T08:48:28Z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64F209A0A32948DC9287846C4855A1F2_13</vt:lpwstr>
  </property>
  <property fmtid="{D5CDD505-2E9C-101B-9397-08002B2CF9AE}" pid="4" name="KSOTemplateDocerSaveRecord">
    <vt:lpwstr>eyJoZGlkIjoiODJhZjYxNmNlMWQyYTI4MDdkNDQzYWM1MDViY2VlZTMiLCJ1c2VySWQiOiI0MzYyNDA5MDIifQ==</vt:lpwstr>
  </property>
</Properties>
</file>