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8EB5B">
      <w:pPr>
        <w:pStyle w:val="3"/>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sz w:val="30"/>
          <w:szCs w:val="30"/>
          <w:lang w:val="en-US" w:eastAsia="zh-CN"/>
        </w:rPr>
      </w:pPr>
      <w:r>
        <w:rPr>
          <w:rFonts w:hint="eastAsia" w:ascii="Times New Roman" w:hAnsi="Times New Roman" w:eastAsia="宋体" w:cs="Times New Roman"/>
          <w:color w:val="auto"/>
          <w:sz w:val="30"/>
          <w:szCs w:val="30"/>
          <w:lang w:val="en-US" w:eastAsia="zh-CN"/>
        </w:rPr>
        <w:t>体检及检前预约系统采购-</w:t>
      </w:r>
      <w:r>
        <w:rPr>
          <w:rFonts w:hint="eastAsia" w:ascii="宋体" w:hAnsi="宋体" w:eastAsia="宋体" w:cs="宋体"/>
          <w:b/>
          <w:bCs w:val="0"/>
          <w:sz w:val="30"/>
          <w:szCs w:val="30"/>
          <w:lang w:val="en-US" w:eastAsia="zh-CN"/>
        </w:rPr>
        <w:t>功能需求</w:t>
      </w:r>
    </w:p>
    <w:p w14:paraId="2AB78736">
      <w:pPr>
        <w:jc w:val="left"/>
        <w:rPr>
          <w:rFonts w:hint="eastAsia" w:ascii="宋体" w:hAnsi="宋体" w:cs="宋体"/>
          <w:b/>
          <w:bCs w:val="0"/>
          <w:sz w:val="24"/>
          <w:szCs w:val="24"/>
          <w:lang w:val="en-US" w:eastAsia="zh-CN"/>
        </w:rPr>
      </w:pPr>
    </w:p>
    <w:p w14:paraId="660416E2">
      <w:pPr>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cs="宋体"/>
          <w:b/>
          <w:bCs w:val="0"/>
          <w:sz w:val="24"/>
          <w:szCs w:val="24"/>
          <w:lang w:val="en-US" w:eastAsia="zh-CN"/>
        </w:rPr>
        <w:t>一、技术要求</w:t>
      </w:r>
    </w:p>
    <w:tbl>
      <w:tblPr>
        <w:tblStyle w:val="7"/>
        <w:tblW w:w="9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8"/>
        <w:gridCol w:w="1305"/>
        <w:gridCol w:w="7086"/>
      </w:tblGrid>
      <w:tr w14:paraId="4AE9B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BF7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系统模块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346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系统功能</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4CF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功能描述</w:t>
            </w:r>
          </w:p>
        </w:tc>
      </w:tr>
      <w:tr w14:paraId="1E96F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2CFAE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体检预约系统（微信公众号）</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0FFD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体检预约</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434A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实现保健对象客户微信预约体检套餐功能</w:t>
            </w:r>
          </w:p>
        </w:tc>
      </w:tr>
      <w:tr w14:paraId="3BF66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B678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7B7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团检预约</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2783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单位体检人员可通过微信预约体检时间，选择加项包</w:t>
            </w:r>
          </w:p>
        </w:tc>
      </w:tr>
      <w:tr w14:paraId="4F65A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4AC0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5D2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1+X</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665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个检预约套餐支持自选加项，加项包加项</w:t>
            </w:r>
          </w:p>
        </w:tc>
      </w:tr>
      <w:tr w14:paraId="31BBC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AC06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C959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DIY</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7F4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支持用户自主选择自定义项目生成个性套餐预约</w:t>
            </w:r>
          </w:p>
        </w:tc>
      </w:tr>
      <w:tr w14:paraId="413F3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04C9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D6E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问卷推套餐</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083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支持问卷自定义，通过问答形式量身定制推荐体检套餐</w:t>
            </w:r>
          </w:p>
        </w:tc>
      </w:tr>
      <w:tr w14:paraId="4A19D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635B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7B6B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AI 智能客服</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B6D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基于历史报告数据，支持 AI 智能问答、历年报告对比、异常指标分析、基于异常结论项目推荐</w:t>
            </w:r>
          </w:p>
        </w:tc>
      </w:tr>
      <w:tr w14:paraId="54887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60E5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37D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健康问卷维护</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CEF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系统支持健康问卷维护，自定义问卷题目、答案，跳转逻辑，可根据体检类型设置不同问卷内容，支持患者端填写多问卷</w:t>
            </w:r>
          </w:p>
        </w:tc>
      </w:tr>
      <w:tr w14:paraId="47B15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A282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13E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检前问卷</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D47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在线预约完成后，支持检前移动端填写问卷信息，回传到线下体检系统</w:t>
            </w:r>
          </w:p>
        </w:tc>
      </w:tr>
      <w:tr w14:paraId="73B97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E5D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4BED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体检评价</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96A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体检完成后，支持用户星级评价，反馈</w:t>
            </w:r>
          </w:p>
        </w:tc>
      </w:tr>
      <w:tr w14:paraId="6D6ED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D5B9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62C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对外宣传</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756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微信宣传功能，实现体检中心对外微信宣传</w:t>
            </w:r>
          </w:p>
        </w:tc>
      </w:tr>
      <w:tr w14:paraId="26677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6038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1DB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报告查询</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EEE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微信查询体检报告，实现体检客户微信在线查询体检报告功能</w:t>
            </w:r>
          </w:p>
        </w:tc>
      </w:tr>
      <w:tr w14:paraId="38D63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D51D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8C84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安全校验</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65C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微信安全校验，通过短信验证码方式验证登录，防止机主信息泄露</w:t>
            </w:r>
          </w:p>
        </w:tc>
      </w:tr>
      <w:tr w14:paraId="5578B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EEF9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8FC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数据互通</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588D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微信平台和体检系统接口对接，实现数据互通</w:t>
            </w:r>
          </w:p>
        </w:tc>
      </w:tr>
      <w:tr w14:paraId="53A76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4596E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体检管理软件</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68D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系统设计</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59BC">
            <w:pPr>
              <w:keepNext w:val="0"/>
              <w:keepLines w:val="0"/>
              <w:widowControl/>
              <w:suppressLineNumbers w:val="0"/>
              <w:jc w:val="left"/>
              <w:textAlignment w:val="center"/>
              <w:rPr>
                <w:rFonts w:hint="default"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B/S 框架设计，采用通用架构开发语言，与移动端等平台达到无缝对接响应，支持操作系统等国产信创认证，满足三级等保测评要求，需提供系统代码审计报告，达到基本安全及以上评级。</w:t>
            </w:r>
          </w:p>
        </w:tc>
      </w:tr>
      <w:tr w14:paraId="2331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95D9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F74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系统功能</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F98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须完成体检业务的整体流程，涵盖建档、登记、收费等闭环式管理流程</w:t>
            </w:r>
          </w:p>
        </w:tc>
      </w:tr>
      <w:tr w14:paraId="28CEB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8212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176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快捷菜单</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051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首页支持体检功能流程图展示，以及常用功能自定义配置，方便快速进去工作页面</w:t>
            </w:r>
          </w:p>
        </w:tc>
      </w:tr>
      <w:tr w14:paraId="46560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CD9F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CFB4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主题设置</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050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支持系统灵活显示方式配置，部分页面多样式交互布局选择，主题颜色选择、字体大小选择</w:t>
            </w:r>
          </w:p>
        </w:tc>
      </w:tr>
      <w:tr w14:paraId="31B74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B95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530C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多种登录方式</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202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系统支持账号密码登录、短信验证登录等多种登录模式，支持精简密码（不作限制）和安全密码（密码长度至少 6-12 位，字母 + 数字 + 特殊符号）</w:t>
            </w:r>
          </w:p>
        </w:tc>
      </w:tr>
      <w:tr w14:paraId="364E7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9C29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32A8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首页自定义导航</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33D5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每个账号可以根据需求展示对应的首页，首页展示内容可以选择数据仓、财务仓、体检流程图等不少于三种模式</w:t>
            </w:r>
          </w:p>
        </w:tc>
      </w:tr>
      <w:tr w14:paraId="1BD44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3D13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1E3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业务种类</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EBB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支持职业病体检、入职体检、驾驶员体检等</w:t>
            </w:r>
          </w:p>
        </w:tc>
      </w:tr>
      <w:tr w14:paraId="70364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69E3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CB7CE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干部体检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526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支持给干部的保健档案设置体检级别，设置干部财政报账经费窗口（体检经费）。根据套餐的层级规划干部团检订单；配置限制干部人群一年一检或一年多检</w:t>
            </w:r>
          </w:p>
        </w:tc>
      </w:tr>
      <w:tr w14:paraId="4887B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2A4C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B6A2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DFF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一个团检对应多个单位（可以根据干部的人群类型进行建团），干部团检支持使用市级预算限额、自定义限额等多种限额方式；包括经费限额；体检订单支持针对项目设置支付方式（财政、自筹），可以混合使用，可满足部分费用由财政支付或单位支出</w:t>
            </w:r>
          </w:p>
        </w:tc>
      </w:tr>
      <w:tr w14:paraId="2D293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A7C6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5578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9D63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财政支付的项目 / 费用单独开票；财政部分的项目 / 费用收入统计成报表</w:t>
            </w:r>
          </w:p>
        </w:tc>
      </w:tr>
      <w:tr w14:paraId="49E43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038E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4DDC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2D58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支持下属医院的干部进行标记，标记后在本院的团检进行自动停检（防止重复体检）；支持以接口方式同步保健档案</w:t>
            </w:r>
          </w:p>
        </w:tc>
      </w:tr>
      <w:tr w14:paraId="532A1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7A4F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898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干部安排</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8A5F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安排团检单位的大致体检时间段；对体检人员进行预安排，并打印体检通知书；对确认安排的体检人员进行安排确认操作。确认后自动发送体检短信通知；对已安排未登记体检人员切换套餐</w:t>
            </w:r>
          </w:p>
        </w:tc>
      </w:tr>
      <w:tr w14:paraId="22E36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2233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6E39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排期管理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1BD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支持对总人数排期；支持精确至时间段排期；支持区分个人团体排期；精确对不同单位客户进行排期</w:t>
            </w:r>
          </w:p>
        </w:tc>
      </w:tr>
      <w:tr w14:paraId="3E258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C009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0005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47C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支持特殊项目 / 科室排期限号，排期渠道灵活控制：前台登记是否限制号源</w:t>
            </w:r>
          </w:p>
        </w:tc>
      </w:tr>
      <w:tr w14:paraId="54482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9EAD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593D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体检登记</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5229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支持人脸识别登记，电话等预约方式登记；支持套餐及增、删项目；支持现场刷身份证新建订单及查询订单；快速引用已有订单的项目进行登记</w:t>
            </w:r>
          </w:p>
        </w:tc>
      </w:tr>
      <w:tr w14:paraId="07466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BEA8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4C23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0C5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支持对订单进行折扣调整，可以设置套餐折扣也可细化；支持登记或保存时校验用户信息的准确性及唯一性；登记时触发收费申请、检验检查申请；支持读取 EXCEL 文件，实现体检日期自由选择；支持开始查看历次总检结论</w:t>
            </w:r>
          </w:p>
        </w:tc>
      </w:tr>
      <w:tr w14:paraId="45A81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F325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DF5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匿名体检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D94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支持在体检登记时，对于想要保护隐私的人员，可以随机生成匿名姓名、证件号</w:t>
            </w:r>
          </w:p>
        </w:tc>
      </w:tr>
      <w:tr w14:paraId="6C5D0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7CB9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1C6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单位体检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9C2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支持根据关联单位 - 团检批次 - 分组 - 套餐的层级规划团体订单；支持根据性别、年龄等自动分组；支持在 excel 表中直接定义用户分组，导入后可自动判断常见问题并修复</w:t>
            </w:r>
          </w:p>
        </w:tc>
      </w:tr>
      <w:tr w14:paraId="3284B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AA40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208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单位体检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FDDE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支持设置加项由用户付费、特定项目单位付费、限额单位付费等多种加项付费方式；支持体检时间段的设置；支持单位先体检后缴费设置</w:t>
            </w:r>
          </w:p>
        </w:tc>
      </w:tr>
      <w:tr w14:paraId="50247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1100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27E6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加项 / 弃项管理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6310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支持关键字、拼音首字母等多维度快速搜索项目；项目标记男女，无法选择其他性别项目，防止误操作</w:t>
            </w:r>
          </w:p>
        </w:tc>
      </w:tr>
      <w:tr w14:paraId="57FE1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1BEE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6071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57CD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具备已执行项目不允许退费、未缴费项目不允许检查等流程控制；自动判断细项重复</w:t>
            </w:r>
          </w:p>
        </w:tc>
      </w:tr>
      <w:tr w14:paraId="7F922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25EB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15CA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备单管理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4E1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个人和单位的导检单、条码、医技科室的检查单的批量打印功能；并具备导检单补打操作，条码补打操作，检查单补打操作；支持一键打印直接触发打印机，避免烦琐操作；支持可定义导引单展示形式及展示内容</w:t>
            </w:r>
          </w:p>
        </w:tc>
      </w:tr>
      <w:tr w14:paraId="7D63A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EA93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20C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耗材管理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A46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支持申请单耗材维护，设置申请单耗材项目，数量。限制耗材计算次数</w:t>
            </w:r>
          </w:p>
        </w:tc>
      </w:tr>
      <w:tr w14:paraId="1A82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1153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915B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项目关联</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9B2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支持体检项目之间关联关系维护，开单时选择项目 A 可自动带出项目 B</w:t>
            </w:r>
          </w:p>
        </w:tc>
      </w:tr>
      <w:tr w14:paraId="26AB4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E246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E059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项目互斥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EBC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登记有项目细项的体检项目，系统支持自动提示互斥，不允许添加。也支持配置例外无需验证项目</w:t>
            </w:r>
          </w:p>
        </w:tc>
      </w:tr>
      <w:tr w14:paraId="34BB0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11A4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536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收费退费管理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977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根据业务要求支持按总金额进行收款、退款；根据业务要求支持按项目明细进行收款、退款；收费后获取发票号并打印发票；支持按订单打折，按项目打折；退费后废弃发票</w:t>
            </w:r>
          </w:p>
        </w:tc>
      </w:tr>
      <w:tr w14:paraId="61D74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2096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600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自定义收、退费</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7C7E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订单支持多次、多种收费方式、任意金额缴费，流水结账方式，直至缴费完成</w:t>
            </w:r>
          </w:p>
        </w:tc>
      </w:tr>
      <w:tr w14:paraId="22EA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BF81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2762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结算管理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BA7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系统支持收费员日结、收费处日结、收费处月结等结算报表输出</w:t>
            </w:r>
          </w:p>
        </w:tc>
      </w:tr>
      <w:tr w14:paraId="6D2C8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B1A5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B17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来检确认</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BD0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体检客户到达体检中心后，具备使用导检单或二代身份证到前台进行来检确认，确认时会自动拍下该人员的照片，以防止替检</w:t>
            </w:r>
          </w:p>
        </w:tc>
      </w:tr>
      <w:tr w14:paraId="12CC3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96D9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5684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自定义函数</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F4CF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支持单个、多项目指标同时判断计算，产生综合诊断</w:t>
            </w:r>
          </w:p>
        </w:tc>
      </w:tr>
      <w:tr w14:paraId="4C853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E3D7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5C4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防伪体检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BEB5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人脸核验：分科采集人脸支持人脸对比，核对是否本人体检；指纹识别：分科通过指纹识别，核对指纹信息，是否本人体检</w:t>
            </w:r>
          </w:p>
        </w:tc>
      </w:tr>
      <w:tr w14:paraId="0DE5B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C639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456C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139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采血管理：支持标本采集登记，标本送检登记，全流程质控管理</w:t>
            </w:r>
          </w:p>
        </w:tc>
      </w:tr>
      <w:tr w14:paraId="1F38E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39BF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9018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科室检查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D48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医生扫码自动带入体检人员信息，检查数据支持模板导入，支持与体重秤的数据对接，自动从设备获取结果数据，支持来检人员自助进行一般检查；阳性体征自动关联诊断，具备默认正常结果及快速录入阳性体征模板功能</w:t>
            </w:r>
          </w:p>
        </w:tc>
      </w:tr>
      <w:tr w14:paraId="04745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1F98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E620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D7AB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支持诊断是否进小结自由配置；支持拼音首字母等多种快速检索诊断，历史诊断和常用诊断的快捷选择；支持阳性体征医生勾选设定</w:t>
            </w:r>
          </w:p>
        </w:tc>
      </w:tr>
      <w:tr w14:paraId="7AEAD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2760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646C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596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诊断及对应的意义、建议可进行修改维护；支持小结自动生成，并且支持修改及重新添加</w:t>
            </w:r>
          </w:p>
        </w:tc>
      </w:tr>
      <w:tr w14:paraId="29EB3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664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AA76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2EA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批量保存：支持分科多项目按默认结果批量保存，快速操作</w:t>
            </w:r>
          </w:p>
        </w:tc>
      </w:tr>
      <w:tr w14:paraId="39AC4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594D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7F8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诊间互动</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398B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系统内提供即时通讯功能，体检中心医生在工作期间可通过即时通讯功能进行工作交流和讨论交流，可发送图片和文字</w:t>
            </w:r>
          </w:p>
        </w:tc>
      </w:tr>
      <w:tr w14:paraId="2D14D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65EF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AF0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AI 纠错</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462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支持分科结果关键字纠错、各科室结果逻辑互斥校验（前后描述逻辑不搭、男女关键字错误、体检结论互斥）</w:t>
            </w:r>
          </w:p>
        </w:tc>
      </w:tr>
      <w:tr w14:paraId="35485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BD9C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6EE1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体检质控</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2419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质量管控：按照中华医学会健康管理学会《健康体检质量控制指南》要求，通过流程管控及质量管控，包括防替检、防漏检、防错检等功能，提高体检结果产出及时性和正确性，确保体检质控</w:t>
            </w:r>
          </w:p>
        </w:tc>
      </w:tr>
      <w:tr w14:paraId="57347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5D4C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6045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8E71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防漏检功能：通过刷来检人员的导检单上条码，确定该人员是否所有项目检查都已经结束，如果有项目未检，则确认是否拒检，防止漏检</w:t>
            </w:r>
          </w:p>
        </w:tc>
      </w:tr>
      <w:tr w14:paraId="767DD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F7D6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4636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8D5E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结果质控：科室及总检通过系统智能算法辅助判断阳性结论及诊断，提高体检诊断和体检报告的准确性</w:t>
            </w:r>
          </w:p>
        </w:tc>
      </w:tr>
      <w:tr w14:paraId="688D2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8276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1A3E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012E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操作痕迹：系统支持订单操作痕迹记录。包括创建、加项等各个节点订单修改记录</w:t>
            </w:r>
          </w:p>
        </w:tc>
      </w:tr>
      <w:tr w14:paraId="45F84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B0B4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099E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F023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一人一号制：以身份证号为唯一识别号，并与姓名，性别绑定，确保最基本的质量控制，并为今后历年数据对比分析做好准备</w:t>
            </w:r>
          </w:p>
        </w:tc>
      </w:tr>
      <w:tr w14:paraId="7CF96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6133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5859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7108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防替检功能：通过身份证作为唯一识别 ID，并对人员唯一性进行校验，防止替检</w:t>
            </w:r>
          </w:p>
        </w:tc>
      </w:tr>
      <w:tr w14:paraId="442D2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670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FEC5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C72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防错检功能：支持与血压仪、体重秤等体检设备对接，自动从设备获取结果数据，避免手工输入的差错，避免人工夹塞报告出错，并支持来检人员自助进行一般检查</w:t>
            </w:r>
          </w:p>
        </w:tc>
      </w:tr>
      <w:tr w14:paraId="324A6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F9CE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D4A7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7F8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防性别错误：项目标记男女，无法选择其他性别项目，防止男女检查项目误操作；防重项设置：自动判断细项重复，防止误操作（如肝三与肝五）</w:t>
            </w:r>
          </w:p>
        </w:tc>
      </w:tr>
      <w:tr w14:paraId="63152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BE3B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089C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A588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标本交接管理：对实验室标本交接管理，并及时进行系统记录，与检验科病理科实现双向核对</w:t>
            </w:r>
          </w:p>
        </w:tc>
      </w:tr>
      <w:tr w14:paraId="474EA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E246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7741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738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阳性处理：诊断重大阳性后，系统通过铃铛消息，提醒医生进行进一步处理，支持发送短信或人工打电话进行处理，也可以给重大阳性患者添加随访任务，定时给客户随访</w:t>
            </w:r>
          </w:p>
        </w:tc>
      </w:tr>
      <w:tr w14:paraId="05B97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76AD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53F9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798F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信息安全：按照公安局信息安全认证证书要求，由专人负责体检信息系统的定期维护，保证信息系统的良好运行，防止工作人员泄露体检信息作为他用</w:t>
            </w:r>
          </w:p>
        </w:tc>
      </w:tr>
      <w:tr w14:paraId="50471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615E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0F44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75DC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权限设置：设置登录账号，防止科室以外人员操作系统，并通过权限设计，设计各岗位的权限和操作界面，防止误操作和信息泄露</w:t>
            </w:r>
          </w:p>
        </w:tc>
      </w:tr>
      <w:tr w14:paraId="3E186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EE83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4F40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9EA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日志记录：系统记录所有登录人员的操作行为，便于分清责任，追踪溯源，避免纷争</w:t>
            </w:r>
          </w:p>
        </w:tc>
      </w:tr>
      <w:tr w14:paraId="3F616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F320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F03B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A66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订单质控：可以跟踪异常流程的订单，如延期、总检超期、报告发出超期、结果超期，医生设置超期时间进行查询，首页超期提醒</w:t>
            </w:r>
          </w:p>
        </w:tc>
      </w:tr>
      <w:tr w14:paraId="35A44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D46C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457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导引单回收</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49B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对打印导引单客户进行扫码回收导引单操作；系统记录回收状态，并可实时查询当日登记未回收人员，以方便对体检实现闭环管理</w:t>
            </w:r>
          </w:p>
        </w:tc>
      </w:tr>
      <w:tr w14:paraId="64AB5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284E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245D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理单管理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1C0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订单数据监控中心，支持查看订单各个节点状态，操作时间，操作人员。同时支持查看已完成项目结果、并上报危急值。对未完成项目作延期、拒检操作。可通过理单控制流程（代替指引单回收），理单完成才能进入总检流程</w:t>
            </w:r>
          </w:p>
        </w:tc>
      </w:tr>
      <w:tr w14:paraId="67CC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06A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7AE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结果更新提醒</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330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总检开始后，如果第三方结果有更新回传，系统无法直接更新结果，会对订单项目做更新标记，提醒分科医生、总检医生撤回总检获取最新结果用于总检，确保数据准确性</w:t>
            </w:r>
          </w:p>
        </w:tc>
      </w:tr>
      <w:tr w14:paraId="0CAF2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6A72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6585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危急值管理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A28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危急值设置：对各项目指标，设置性别、年龄、参考范围多维度危急值判断标准</w:t>
            </w:r>
          </w:p>
        </w:tc>
      </w:tr>
      <w:tr w14:paraId="2FEBE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9C2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82E7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A33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危急值提醒：检查结果产生时自动提醒医生，某订单项目危急值提醒，可快速进去确认</w:t>
            </w:r>
          </w:p>
        </w:tc>
      </w:tr>
      <w:tr w14:paraId="395CB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1AF6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3974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46F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危急值手动上报：支持分科、理单手动上报危急值，修改危急值 AB 类型</w:t>
            </w:r>
          </w:p>
        </w:tc>
      </w:tr>
      <w:tr w14:paraId="76900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BFFB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0535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920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危急值跟踪：进去确认页，可以标记危急值处理状态记录处理方式和处理内容</w:t>
            </w:r>
          </w:p>
        </w:tc>
      </w:tr>
      <w:tr w14:paraId="1ED57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1DCC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39E1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完检确认</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F5D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体检完成后护士收单时，标记订单完检状态，进入总检派单环节</w:t>
            </w:r>
          </w:p>
        </w:tc>
      </w:tr>
      <w:tr w14:paraId="0F766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5A06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02FD7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体检排班</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EBD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体检排班：设置各科室医生每日值班工作记录。支持排除节假日，支持科室、医生批量快速设置排班</w:t>
            </w:r>
          </w:p>
        </w:tc>
      </w:tr>
      <w:tr w14:paraId="0A4FA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861B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29B8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109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排班详情：按月、周查询各科室医生上班日历，支持导出排班记录</w:t>
            </w:r>
          </w:p>
        </w:tc>
      </w:tr>
      <w:tr w14:paraId="23078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249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2B5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体检排班</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106A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总检值班：支持智能派单按照总检医生值班情况智能分派工作任务</w:t>
            </w:r>
          </w:p>
        </w:tc>
      </w:tr>
      <w:tr w14:paraId="67E59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87D3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FD6F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总检派单</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1FBA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智能派单：通过设置性别等条件，分配人员到总检医生任务列表</w:t>
            </w:r>
          </w:p>
        </w:tc>
      </w:tr>
      <w:tr w14:paraId="7033A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CBDE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EA53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32E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手动派单：由分工医护人员，单个、批量分配完检订单到各个总检医生</w:t>
            </w:r>
          </w:p>
        </w:tc>
      </w:tr>
      <w:tr w14:paraId="162E4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1055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479C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03CA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派单流程控制：三级审核各节点支持是否开启派单流程，总检流程灵活可控</w:t>
            </w:r>
          </w:p>
        </w:tc>
      </w:tr>
      <w:tr w14:paraId="5E967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4BEA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F9E7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总检审查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D43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多次总检：各审核节点，支持多次保存提交，与三级审核双重质控</w:t>
            </w:r>
          </w:p>
        </w:tc>
      </w:tr>
      <w:tr w14:paraId="08235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5BC5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D95B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6BF6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三级审核：支持初审、总审、终审三级审核；支持三级审核流程灵活配置，只开启一审、或二审、三审流程</w:t>
            </w:r>
          </w:p>
        </w:tc>
      </w:tr>
      <w:tr w14:paraId="07C23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0C4D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5219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4AF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支持可定义体检结论样式；支持可查看本次体征、诊断及小结，可查看同系统过往历史报告，支持报告对比；支持总检医生发现分科或者主检错误异常打回，修复完成后再次检查；支持总检可撤销重新总检</w:t>
            </w:r>
          </w:p>
        </w:tc>
      </w:tr>
      <w:tr w14:paraId="7F075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8D44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BCFA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501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总检结论合并：支持选择多个阳性诊断进行合并，诊断对应的诊断解释、建议进行一起合并</w:t>
            </w:r>
          </w:p>
        </w:tc>
      </w:tr>
      <w:tr w14:paraId="03BE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2B05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CF99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报告打印</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DAB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支持科室可定制入职、入户等不同类型个人体检报告，科室可定制团体分析报告并对展示项目进行调整；支持医生电子签名及科室电子印章</w:t>
            </w:r>
          </w:p>
        </w:tc>
      </w:tr>
      <w:tr w14:paraId="3E9F8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2929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1999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AD9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异常打回：支持护士发现分科或者总检错误可进行异常打回流程，修复完成后再次打印；支持预览、打印报告、支持下载 PDF 报告文件</w:t>
            </w:r>
          </w:p>
        </w:tc>
      </w:tr>
      <w:tr w14:paraId="22C69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68EE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B818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47B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体检报告历年对比：可以根据近 3 次的体检结果数据进行汇总，出具个人体检对比报告</w:t>
            </w:r>
          </w:p>
        </w:tc>
      </w:tr>
      <w:tr w14:paraId="1E90D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8F4C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AA7F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3B2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团体报告：支持多个单位生成一份报告。支持团体报告可以按照区分性别生成报告、前 10 名阳性诊断生成报告或者自由选择阳性诊断生成报告</w:t>
            </w:r>
          </w:p>
        </w:tc>
      </w:tr>
      <w:tr w14:paraId="0DB1E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A942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E14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报告发送</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07D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支持报告已出短信通知、电子报告已出通知</w:t>
            </w:r>
          </w:p>
        </w:tc>
      </w:tr>
      <w:tr w14:paraId="572D4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BDA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96CA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报告短信模板</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1EE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支持根据不同体检类型报告已出短信通知模板配置、电子报告已发短信模板配置</w:t>
            </w:r>
          </w:p>
        </w:tc>
      </w:tr>
      <w:tr w14:paraId="4E35F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BA6A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8D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报告领取</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F93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支持报告单个领取、批量领取，留取领取人信息</w:t>
            </w:r>
          </w:p>
        </w:tc>
      </w:tr>
      <w:tr w14:paraId="1F435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6A9A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E50C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检后随访</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FC5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总检设定随访人群，随访方案制定，可制定随访方案模板，根据模板自动生成方案</w:t>
            </w:r>
          </w:p>
        </w:tc>
      </w:tr>
      <w:tr w14:paraId="466A2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0CCF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0F9B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DB4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随访分组维护，支持人员按分组归类，根据分组关联随访方案自动生成随访方案</w:t>
            </w:r>
          </w:p>
        </w:tc>
      </w:tr>
      <w:tr w14:paraId="4A30E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0709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A349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654E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随访方案管理：创建方案模板，总结关联模板后自动继承随访方案</w:t>
            </w:r>
          </w:p>
        </w:tc>
      </w:tr>
      <w:tr w14:paraId="77B90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D43B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29BC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6C9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随访人群分类：不同人群对应不同随访方案，关联不同管理医生，不同医生管理不同随访人群</w:t>
            </w:r>
          </w:p>
        </w:tc>
      </w:tr>
      <w:tr w14:paraId="3F262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57B8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83F5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946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随访任务：根据健康管理师管理人群，查看需要管理的任务的随访任务清单并执行</w:t>
            </w:r>
          </w:p>
        </w:tc>
      </w:tr>
      <w:tr w14:paraId="17279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2377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C3F2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F0A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随访方案：显示当前订单所有随访任务记录，体检报告。查看、更新、执行随访任务</w:t>
            </w:r>
          </w:p>
        </w:tc>
      </w:tr>
      <w:tr w14:paraId="27BA6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5145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3C2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消息公告</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A6B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支持管理员创建消息通知，公告发布，设定消息提醒方式，消息接收人</w:t>
            </w:r>
          </w:p>
        </w:tc>
      </w:tr>
      <w:tr w14:paraId="0032A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074C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69D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体检流程自定义</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EB4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支持根据不同体检类型，设置不同的订单流转流程。包括理单、初审、总审、终审、报告打印，灵活控制各节点流程是否启用</w:t>
            </w:r>
          </w:p>
        </w:tc>
      </w:tr>
      <w:tr w14:paraId="6B04B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C1D3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A4E5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外出体检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0AB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5G 外检功能概述：通过前置机搭载体检应用程序，实现外网访问体检内网应用，同时增加外检 ip 白名单验证，确保登录安全，无需数据导入导出，直接通过网络环境控制，即可在外网完成体检流程</w:t>
            </w:r>
          </w:p>
        </w:tc>
      </w:tr>
      <w:tr w14:paraId="7378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1479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1805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874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传统导入导出外检：内网导出需要体检的单位名单信息，需在外检地方搭建局域网环境，并外检服务器导入名单，实现外部体检流程。最后将结果导入出，并带回中心导入到院内服务器完成外检流程</w:t>
            </w:r>
          </w:p>
        </w:tc>
      </w:tr>
      <w:tr w14:paraId="2F5F2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96BE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0A8D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历史数据导入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4E08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系统支持导入第三方历史体检报告数据，支持维护数据对照后，根据证件号匹配历史档案，实现分科结果对比，报告结果对比</w:t>
            </w:r>
          </w:p>
        </w:tc>
      </w:tr>
      <w:tr w14:paraId="14A35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7DEB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8E30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自定义模板管理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001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自定义方法：系统指引单等模板支持 word 方式自定义</w:t>
            </w:r>
          </w:p>
        </w:tc>
      </w:tr>
      <w:tr w14:paraId="47A2B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53E7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EA52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D81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模板管理：系统支持上传多个模板样式，启用模板，并支持模板增、删、改；报告模板可以根据体检类别，使用对应类别的报告模板</w:t>
            </w:r>
          </w:p>
        </w:tc>
      </w:tr>
      <w:tr w14:paraId="03EA9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9662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0E8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发票管理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3CF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自带发票管理系统进行发票管理；支持废弃发票重新打印功能</w:t>
            </w:r>
          </w:p>
        </w:tc>
      </w:tr>
      <w:tr w14:paraId="68B1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8B1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97AC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单位开票</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B1A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根据业务要求按总金额进行开票；支持按项目明细核算开票；支持团体负责人现场缴费及开票；支持公对公转账后直接开票；支持缴费错误后现场退费、退票功能；支持公对公转账错误后进行退票功能；支持多个单位、多次团检记录合并开票</w:t>
            </w:r>
          </w:p>
        </w:tc>
      </w:tr>
      <w:tr w14:paraId="28C8A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DDE3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645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个人档案管理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E1C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支持新增、修改、删除个人档案；支持通过身份证作为唯一识别 ID，并对人员唯一性进行校验；支持可以将人员与单位直接关联</w:t>
            </w:r>
          </w:p>
        </w:tc>
      </w:tr>
      <w:tr w14:paraId="7DF0C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DAF6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162A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单位档案管理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E38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支持新增、修改、删除单位档案；支持可设置单位多个层级部门；支持单位存在唯一 id，并对单位唯一性进行校验</w:t>
            </w:r>
          </w:p>
        </w:tc>
      </w:tr>
      <w:tr w14:paraId="3F87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B7FE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A71D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报表统计</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813B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到检统计报表：统计每日不同科室到检人员名单</w:t>
            </w:r>
          </w:p>
        </w:tc>
      </w:tr>
      <w:tr w14:paraId="70F53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5816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A67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8C4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数据回传结果报表：统计每日检验检查回传名单及回传结果</w:t>
            </w:r>
          </w:p>
        </w:tc>
      </w:tr>
      <w:tr w14:paraId="0E9D9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812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7970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9564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工作量统计报表：统计不同科室不同医生工作量，精确到具体项目</w:t>
            </w:r>
          </w:p>
        </w:tc>
      </w:tr>
      <w:tr w14:paraId="2A436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2049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756B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EF6D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订单状态报表，统计每日的订单状态数据，及时跟进处理时间较长的订单</w:t>
            </w:r>
          </w:p>
        </w:tc>
      </w:tr>
      <w:tr w14:paraId="08C08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6F72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A0E9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5786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自定义报表，提供版本范围内其他自定义类型报表</w:t>
            </w:r>
          </w:p>
        </w:tc>
      </w:tr>
      <w:tr w14:paraId="59270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4925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3DC64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BI 大数据分析</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50E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综合分析科室工作量：便于管理层进行考核和优化流程及科室投入配比</w:t>
            </w:r>
          </w:p>
        </w:tc>
      </w:tr>
      <w:tr w14:paraId="55B3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EF92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C30E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FBCB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医生情况：综合分析医生工作量，便于管理层进行考核和优化流程及人力配比</w:t>
            </w:r>
          </w:p>
        </w:tc>
      </w:tr>
      <w:tr w14:paraId="07C1E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1B8A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D95C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382D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疾病大数据分析：综合分析疾病大数据，便于医院进行数据分析</w:t>
            </w:r>
          </w:p>
        </w:tc>
      </w:tr>
      <w:tr w14:paraId="347D0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864E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CE90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体检设置</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3C4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 / 组合 / 套餐设置：设置项目 / 组合 / 套餐的内容及相关属性</w:t>
            </w:r>
          </w:p>
        </w:tc>
      </w:tr>
      <w:tr w14:paraId="285D8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68D4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C255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DDC6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诊断设置：设置诊断的内容及相关属性</w:t>
            </w:r>
          </w:p>
        </w:tc>
      </w:tr>
      <w:tr w14:paraId="1CEF3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F791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5E28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0803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字典设置：设置 ICD 编码 / 民族等字典的内容及相关属性</w:t>
            </w:r>
          </w:p>
        </w:tc>
      </w:tr>
      <w:tr w14:paraId="28923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D340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C496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4D5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科室 / 工作组设置：设置科室 / 工作组的内容及相关属性</w:t>
            </w:r>
          </w:p>
        </w:tc>
      </w:tr>
      <w:tr w14:paraId="7CA94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F5E3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92FC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系统设置</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664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权限设置：设置不同角色的增删查改权限</w:t>
            </w:r>
          </w:p>
        </w:tc>
      </w:tr>
      <w:tr w14:paraId="4CA82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E266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A9F9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9DAA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账号设置：对账号进行增删查改，并可关联不同角色权限</w:t>
            </w:r>
          </w:p>
        </w:tc>
      </w:tr>
      <w:tr w14:paraId="7F629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78A1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67C0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613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参数设置：前台必填字段、分科影像检验设置、总检审核次数等系统内多维度自主配置，灵活控制体检流程</w:t>
            </w:r>
          </w:p>
        </w:tc>
      </w:tr>
      <w:tr w14:paraId="4C2D7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0896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23B1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5A63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折扣权限：每个账号可以都设定一个最低折扣，账号无法打折超过最低折扣</w:t>
            </w:r>
          </w:p>
        </w:tc>
      </w:tr>
      <w:tr w14:paraId="4B2B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1E83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5EA9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3F46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订单权限设置：可设置查看订单权限，有对应权限的账号可以看到对应订单。如订单级别是干部级别，有干部权限账号可以显示订单，进行查看</w:t>
            </w:r>
          </w:p>
        </w:tc>
      </w:tr>
      <w:tr w14:paraId="749D3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671E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9EDC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BB4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订单流转：支持根据不同体检类型，控制订单各个节点流程（跳过、执行）。比如各个流程根据体检类型不同，走不同审核流程</w:t>
            </w:r>
          </w:p>
        </w:tc>
      </w:tr>
      <w:tr w14:paraId="0F957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9F12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职业健康体检系统</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4C12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体检登记</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CC1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具备职业病个人登记、单位单个登记，具备读取身份证、自定义输入人员信息，选择有害因素，体检项目完成体检登记</w:t>
            </w:r>
          </w:p>
        </w:tc>
      </w:tr>
      <w:tr w14:paraId="2388C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7D87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E853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599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具备电话、现场等预约方式登记；具备套餐及增、删项目</w:t>
            </w:r>
          </w:p>
        </w:tc>
      </w:tr>
      <w:tr w14:paraId="0ED7A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A7BF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C7B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F11C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具备现场刷身份证新建订单及查询订单，自动抓取身份证号等信息</w:t>
            </w:r>
          </w:p>
        </w:tc>
      </w:tr>
      <w:tr w14:paraId="5C4A2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52D1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E8BE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9FE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具备快速引用已有订单的项目，进行登记。具备对订单进行折扣调整，可以设置套餐折扣，也可细化至项目折扣</w:t>
            </w:r>
          </w:p>
        </w:tc>
      </w:tr>
      <w:tr w14:paraId="24890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97CC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8CB1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456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具备登记或保存时校验用户信息的准确性及唯一性。具备登记时触发收费申请、检验检查申请</w:t>
            </w:r>
          </w:p>
        </w:tc>
      </w:tr>
      <w:tr w14:paraId="78F07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68C8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91BA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8DF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具备读取 EXCEL 文件，导入单位当年来检人员名单，可以定义体检时间段，实现体检日期自由选择。具备开始查看历次总检结论，辅助医生开单</w:t>
            </w:r>
          </w:p>
        </w:tc>
      </w:tr>
      <w:tr w14:paraId="23B59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3DE8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B932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加项 / 弃项管理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B6C2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具备关键字、拼音首字母等多维度快速搜索项目</w:t>
            </w:r>
          </w:p>
        </w:tc>
      </w:tr>
      <w:tr w14:paraId="198B1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16CB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7F7A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A9E2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具备项目标记男女，无法选择其他性别项目，防止误操作</w:t>
            </w:r>
          </w:p>
        </w:tc>
      </w:tr>
      <w:tr w14:paraId="634EE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18C1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F685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2E6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具备已执行项目不允许退费、未缴费项目不允许检查等流程控制</w:t>
            </w:r>
          </w:p>
        </w:tc>
      </w:tr>
      <w:tr w14:paraId="271E5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0337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8355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511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具备自动判断细项重复，防止误操作</w:t>
            </w:r>
          </w:p>
        </w:tc>
      </w:tr>
      <w:tr w14:paraId="1467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879E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7CA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来检确认</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1E6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体检客户抵达体检中心后，出示电子 / 纸质导检单，或使用二代身份证、军官证等有效身份证件（外籍人士可凭护照 / 签证），确认时会自动拍下该人员的照片，以防止替检</w:t>
            </w:r>
          </w:p>
        </w:tc>
      </w:tr>
      <w:tr w14:paraId="724A6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5061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BB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匿名体检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FA2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体检登记时，对于想要保护隐私的人员，可以随机生成匿名姓名、证件号，确保信息安全</w:t>
            </w:r>
          </w:p>
        </w:tc>
      </w:tr>
      <w:tr w14:paraId="10E32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9F52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43F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防替检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B42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前台拍照、分科照片显示，人脸对比判断替检人员。指纹识别，前台采集指纹、分科指纹识别防替检</w:t>
            </w:r>
          </w:p>
        </w:tc>
      </w:tr>
      <w:tr w14:paraId="3E0E2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1A95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B406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备单管理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168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个人和单位的导检单、条码、医技科室的检查单的批量打印功能；并具备导检单补打操作，条码补打操作，检查单补打操作。具备一键打印直接触发打印机，避免繁琐操作。具备可定义导引单展示形式及展示内容</w:t>
            </w:r>
          </w:p>
        </w:tc>
      </w:tr>
      <w:tr w14:paraId="79F4C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1306D">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B649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单位体检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1EC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具备关联单位－团检批次－分组－套餐的层级规划团体订单，不同批次的团检可关联同一单位</w:t>
            </w:r>
          </w:p>
        </w:tc>
      </w:tr>
      <w:tr w14:paraId="419A8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69E0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D4A1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CA0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根据性别、年龄、婚姻状态自动分组，可以 excel 导入</w:t>
            </w:r>
          </w:p>
        </w:tc>
      </w:tr>
      <w:tr w14:paraId="638B4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F7BA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EFF3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022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 excel 表中直接定义用户分组，导入后生效，可自动判断名字重复校验等常见问题，并实现快速修复。（同时具备手工单一录入及修改）导入信息包含报告职业病工种、接触毒物、危害因素等</w:t>
            </w:r>
          </w:p>
        </w:tc>
      </w:tr>
      <w:tr w14:paraId="5128E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1AEB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2E15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F27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可设置加项由用户付费、特定项目单位付费、限额单位付费等多种加项付费方式。具备单位先体检后缴费设置</w:t>
            </w:r>
          </w:p>
        </w:tc>
      </w:tr>
      <w:tr w14:paraId="19804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9A1B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4E25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科室检查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5ABE">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具备医生扫码自动导入体检人员信息，检查数据具备模板导入，自动生成科室小结</w:t>
            </w:r>
          </w:p>
        </w:tc>
      </w:tr>
      <w:tr w14:paraId="3C0B3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2A23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1941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B180">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具备与体重秤的数据对接，自动从设备获取结果数据，避免手工输入的差错，来检人员可自助进行一般检查</w:t>
            </w:r>
          </w:p>
        </w:tc>
      </w:tr>
      <w:tr w14:paraId="7AE10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92E3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4EC8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9A4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根据阳性体征自动关联诊断，默认正常结果及快速录入阳性体征模板功能</w:t>
            </w:r>
          </w:p>
        </w:tc>
      </w:tr>
      <w:tr w14:paraId="12853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5F9E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FB2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09A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具备诊断是否进小结自由配置。具备拼音首字母、关键字等多种快速检索诊断功能，具备历史诊断和常用诊断的快捷选择</w:t>
            </w:r>
          </w:p>
        </w:tc>
      </w:tr>
      <w:tr w14:paraId="704A1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4F00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A2F8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342A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具备阳性体征医生勾选设定，阳性体征红色显示。具备诊断及对应的意义、建议可进行修改维护。具备小结自动生成，并且具备修改及重新添加。具备职业病史、家族史、症状表登记职业病相关信息录入</w:t>
            </w:r>
          </w:p>
        </w:tc>
      </w:tr>
      <w:tr w14:paraId="20E5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D276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A53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诊间互动</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6FE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系统内提供即时通讯功能，体检中心医生在工作期间可通过即时通讯功能进行工作交流和讨论交流，可发送图片和文字</w:t>
            </w:r>
          </w:p>
        </w:tc>
      </w:tr>
      <w:tr w14:paraId="69FF4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8D22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093B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总检派单</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060F">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智能派单：通过设置性别条件，分配人员到总检医生任务列表</w:t>
            </w:r>
          </w:p>
        </w:tc>
      </w:tr>
      <w:tr w14:paraId="5FBEE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A2F0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5863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FE66">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手动派单：由分工医护人员，单个、批量分配完检订单到各个总检医生</w:t>
            </w:r>
          </w:p>
        </w:tc>
      </w:tr>
      <w:tr w14:paraId="7D8D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07D4D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A7FD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5DC8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派单流程控制：三级审核各节点具备是否开启派单流程，是否开启智能派单。总检流程灵活可控</w:t>
            </w:r>
          </w:p>
        </w:tc>
      </w:tr>
      <w:tr w14:paraId="42DC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C076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40CB5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三级总检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3F64">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多次总检：各审核节点，具备多次保存提交。与三级审核双重质控</w:t>
            </w:r>
          </w:p>
        </w:tc>
      </w:tr>
      <w:tr w14:paraId="5C67A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68721">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2952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7A0D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三级审核：具备初审、总审、终审三级审核。三级审核流程灵活配置，只开启一审或二审、三审流程</w:t>
            </w:r>
          </w:p>
        </w:tc>
      </w:tr>
      <w:tr w14:paraId="00632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1B7F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CEBA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职业病总检</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DFBB">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按照职业健康监护规范系统内置标准五大结论，能够选择结论及处理建议</w:t>
            </w:r>
          </w:p>
        </w:tc>
      </w:tr>
      <w:tr w14:paraId="454CC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2E1B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83E7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D9F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具备受检者历史检查结果横向对比查阅，历史异常受检者主动智能提醒服务</w:t>
            </w:r>
          </w:p>
        </w:tc>
      </w:tr>
      <w:tr w14:paraId="6EB83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F88F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F2A8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7677">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系统根据分科诊断、自动生成职业病总检结论和建议</w:t>
            </w:r>
          </w:p>
        </w:tc>
      </w:tr>
      <w:tr w14:paraId="7F8F4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C7EB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C832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E84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具备职业病复查生成复查子订单，职业卫生总结报告相关机构资质等自定义维护</w:t>
            </w:r>
          </w:p>
        </w:tc>
      </w:tr>
      <w:tr w14:paraId="430AC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D98A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4B4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体检报告</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14B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出具规范的职业健康检查报告等检查报告，出具简易版职业健康检查报告。具备 PDF 格式电子报告导出</w:t>
            </w:r>
          </w:p>
        </w:tc>
      </w:tr>
      <w:tr w14:paraId="7EE27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AE1A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305B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报告打印</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797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科室可定制不同类型个人体检报告，可定制团体分析报告并对展示项目进行调整</w:t>
            </w:r>
          </w:p>
        </w:tc>
      </w:tr>
      <w:tr w14:paraId="0DF93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77C6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ECB3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4A3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具备医生电子签名及科室电子印章，护士发现分科或者总检错误可进行异常打回流程，修复完成后再次打印，具备预览、打印报告、下载 PDF 报告文件</w:t>
            </w:r>
          </w:p>
        </w:tc>
      </w:tr>
      <w:tr w14:paraId="794EB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407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472B6">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F84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具备体检报告历年对比：可以根据近 3 次的体检结果数据进行汇总，出具个人体检对比报告。具备第三方系统数据结果导入，历年比对</w:t>
            </w:r>
          </w:p>
        </w:tc>
      </w:tr>
      <w:tr w14:paraId="4EA1E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AB80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9F23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自定义模板管理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7854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自定义方法：系统指引单等模板具备 word 方式自定义</w:t>
            </w:r>
          </w:p>
        </w:tc>
      </w:tr>
      <w:tr w14:paraId="4E33E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B7F4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3BF9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84A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系统具备上传多个模板样式，启用模板，并具备模板增、删、改</w:t>
            </w:r>
          </w:p>
        </w:tc>
      </w:tr>
      <w:tr w14:paraId="68C39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D05E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B966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B24D">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报告模板可以根据体检类别，使用对应类别的报告模板</w:t>
            </w:r>
          </w:p>
        </w:tc>
      </w:tr>
      <w:tr w14:paraId="546C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F154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3FF4">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职业病双报告</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DB91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输出职业病报告同时输出健康体检报告，可自定义控制项目在职业病、健康报告是否显示</w:t>
            </w:r>
          </w:p>
        </w:tc>
      </w:tr>
      <w:tr w14:paraId="565F7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DF42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2335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职业病上报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716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具备职业数据上报省平台，具备职业病上报数据二次编辑，补充</w:t>
            </w:r>
          </w:p>
        </w:tc>
      </w:tr>
      <w:tr w14:paraId="38134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3D6B8">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3D9A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FC95">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具备系统中的项目危害因素、工种等基础数据与省平台的字典做对照，保证在上报时能够满足自治区平台的需求</w:t>
            </w:r>
          </w:p>
        </w:tc>
      </w:tr>
      <w:tr w14:paraId="5D770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1D5D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77FA9">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字典维护</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0541">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具备工种、车间、防护措施、诊断标准、目标疾病等字典维护</w:t>
            </w:r>
          </w:p>
        </w:tc>
      </w:tr>
      <w:tr w14:paraId="19403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5CEE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C74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耗材管理</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D9369">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具备申请单耗材维，设置申请单耗材项目、数量、规格及价格。限制耗材计算次数</w:t>
            </w:r>
          </w:p>
        </w:tc>
      </w:tr>
      <w:tr w14:paraId="6EF5F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88403">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CDE4B">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项目关联</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88F3">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具备体检项目之间关联关系维护，开单时选择项目 A 可自动带出项目 B</w:t>
            </w:r>
          </w:p>
        </w:tc>
      </w:tr>
      <w:tr w14:paraId="6AA7A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6F59C">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64FA">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项目互斥</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03E2">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具备登记有项目细项的体检项目，系统自动提示互斥，不允许添加；具备配置例外无需验证项目</w:t>
            </w:r>
          </w:p>
        </w:tc>
      </w:tr>
      <w:tr w14:paraId="5AEC8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9CBD7">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308F">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自定义函数</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377A">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具备单个、多项目指标同时判断计算，生综合诊断</w:t>
            </w:r>
          </w:p>
        </w:tc>
      </w:tr>
      <w:tr w14:paraId="2064C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2BF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DF90">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危害因素</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6F5C">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具备有害因素字典维护，具备有害因素根据岗位类别关联国家规定的体检项目，便于套餐、前台选择有害因素时自动带出体检项目</w:t>
            </w:r>
          </w:p>
        </w:tc>
      </w:tr>
      <w:tr w14:paraId="00EFA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F7EAE">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ADC5">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职业病团检报告</w:t>
            </w:r>
          </w:p>
        </w:tc>
        <w:tc>
          <w:tcPr>
            <w:tcW w:w="7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2FF8">
            <w:pPr>
              <w:keepNext w:val="0"/>
              <w:keepLines w:val="0"/>
              <w:widowControl/>
              <w:suppressLineNumbers w:val="0"/>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系统具备输出单位团检报告，根据接害因素、职业病结论，疾病分布出具单位汇总报告分析</w:t>
            </w:r>
          </w:p>
        </w:tc>
      </w:tr>
    </w:tbl>
    <w:p w14:paraId="097C5C04">
      <w:pPr>
        <w:pStyle w:val="6"/>
        <w:rPr>
          <w:rFonts w:hint="eastAsia" w:ascii="宋体" w:hAnsi="宋体" w:eastAsia="宋体" w:cs="宋体"/>
          <w:b w:val="0"/>
          <w:bCs w:val="0"/>
          <w:color w:val="000000"/>
          <w:sz w:val="24"/>
          <w:szCs w:val="24"/>
          <w:lang w:val="en-US" w:eastAsia="zh-CN"/>
        </w:rPr>
      </w:pPr>
    </w:p>
    <w:p w14:paraId="62A96D66">
      <w:pPr>
        <w:jc w:val="center"/>
        <w:rPr>
          <w:rFonts w:hint="eastAsia" w:ascii="宋体" w:hAnsi="宋体" w:eastAsia="宋体" w:cs="宋体"/>
          <w:b/>
          <w:bCs/>
          <w:color w:val="000000" w:themeColor="text1"/>
          <w:kern w:val="0"/>
          <w:sz w:val="24"/>
          <w:szCs w:val="24"/>
          <w14:textFill>
            <w14:solidFill>
              <w14:schemeClr w14:val="tx1"/>
            </w14:solidFill>
          </w14:textFill>
        </w:rPr>
      </w:pPr>
    </w:p>
    <w:p w14:paraId="5207E31D">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tbl>
      <w:tblPr>
        <w:tblStyle w:val="7"/>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8"/>
        <w:gridCol w:w="7388"/>
      </w:tblGrid>
      <w:tr w14:paraId="648F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2468" w:type="dxa"/>
            <w:shd w:val="clear" w:color="auto" w:fill="auto"/>
            <w:vAlign w:val="center"/>
          </w:tcPr>
          <w:p w14:paraId="60133E2B">
            <w:pPr>
              <w:snapToGrid w:val="0"/>
              <w:spacing w:line="336" w:lineRule="exact"/>
              <w:rPr>
                <w:rFonts w:hint="eastAsia" w:asciiTheme="minorEastAsia" w:hAnsiTheme="minorEastAsia" w:eastAsiaTheme="minorEastAsia" w:cstheme="minorEastAsia"/>
                <w:b w:val="0"/>
                <w:bCs/>
                <w:color w:val="FF0000"/>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1.供应商资质</w:t>
            </w:r>
          </w:p>
        </w:tc>
        <w:tc>
          <w:tcPr>
            <w:tcW w:w="7388" w:type="dxa"/>
            <w:shd w:val="clear" w:color="auto" w:fill="auto"/>
            <w:vAlign w:val="center"/>
          </w:tcPr>
          <w:p w14:paraId="3954397B">
            <w:pPr>
              <w:snapToGrid w:val="0"/>
              <w:spacing w:line="336" w:lineRule="exact"/>
              <w:rPr>
                <w:rFonts w:hint="eastAsia" w:asciiTheme="minorEastAsia" w:hAnsiTheme="minorEastAsia" w:eastAsiaTheme="minorEastAsia" w:cstheme="minorEastAsia"/>
                <w:b w:val="0"/>
                <w:bCs/>
                <w:color w:val="FF0000"/>
                <w:sz w:val="24"/>
                <w:szCs w:val="24"/>
                <w:lang w:val="en-US"/>
              </w:rPr>
            </w:pPr>
            <w:r>
              <w:rPr>
                <w:rFonts w:hint="eastAsia" w:asciiTheme="minorEastAsia" w:hAnsiTheme="minorEastAsia" w:eastAsiaTheme="minorEastAsia" w:cstheme="minorEastAsia"/>
                <w:sz w:val="24"/>
                <w:szCs w:val="24"/>
              </w:rPr>
              <w:t>国内注册【依法在市场监督管理部门（或行政审批部门）登记注册】的，具</w:t>
            </w:r>
            <w:r>
              <w:rPr>
                <w:rFonts w:hint="eastAsia" w:asciiTheme="minorEastAsia" w:hAnsiTheme="minorEastAsia" w:eastAsiaTheme="minorEastAsia" w:cstheme="minorEastAsia"/>
                <w:sz w:val="24"/>
                <w:szCs w:val="24"/>
                <w:lang w:val="en-US" w:eastAsia="zh-CN"/>
              </w:rPr>
              <w:t>备合法</w:t>
            </w:r>
            <w:r>
              <w:rPr>
                <w:rFonts w:hint="eastAsia" w:asciiTheme="minorEastAsia" w:hAnsiTheme="minorEastAsia" w:eastAsiaTheme="minorEastAsia" w:cstheme="minorEastAsia"/>
                <w:sz w:val="24"/>
                <w:szCs w:val="24"/>
              </w:rPr>
              <w:t>资格的供应商</w:t>
            </w:r>
            <w:r>
              <w:rPr>
                <w:rFonts w:hint="eastAsia" w:asciiTheme="minorEastAsia" w:hAnsiTheme="minorEastAsia" w:eastAsiaTheme="minorEastAsia" w:cstheme="minorEastAsia"/>
                <w:sz w:val="24"/>
                <w:szCs w:val="24"/>
                <w:lang w:eastAsia="zh-CN"/>
              </w:rPr>
              <w:t>。</w:t>
            </w:r>
          </w:p>
        </w:tc>
      </w:tr>
      <w:tr w14:paraId="02AF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2468" w:type="dxa"/>
            <w:shd w:val="clear" w:color="auto" w:fill="auto"/>
            <w:vAlign w:val="center"/>
          </w:tcPr>
          <w:p w14:paraId="2A7CC117">
            <w:pPr>
              <w:snapToGrid w:val="0"/>
              <w:spacing w:line="336" w:lineRule="exact"/>
              <w:rPr>
                <w:rFonts w:hint="eastAsia" w:asciiTheme="minorEastAsia" w:hAnsiTheme="minorEastAsia" w:eastAsiaTheme="minorEastAsia" w:cstheme="minorEastAsia"/>
                <w:sz w:val="24"/>
                <w:szCs w:val="24"/>
                <w:lang w:val="zh-CN"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val="zh-CN"/>
              </w:rPr>
              <w:t>提供免费技术培训</w:t>
            </w:r>
          </w:p>
          <w:p w14:paraId="2F957187">
            <w:pPr>
              <w:jc w:val="center"/>
              <w:rPr>
                <w:rFonts w:hint="eastAsia" w:asciiTheme="minorEastAsia" w:hAnsiTheme="minorEastAsia" w:eastAsiaTheme="minorEastAsia" w:cstheme="minorEastAsia"/>
                <w:b w:val="0"/>
                <w:bCs/>
                <w:color w:val="000000"/>
                <w:kern w:val="2"/>
                <w:sz w:val="24"/>
                <w:szCs w:val="24"/>
                <w:lang w:val="en-US" w:eastAsia="zh-CN" w:bidi="ar-SA"/>
              </w:rPr>
            </w:pPr>
          </w:p>
        </w:tc>
        <w:tc>
          <w:tcPr>
            <w:tcW w:w="7388" w:type="dxa"/>
            <w:shd w:val="clear" w:color="auto" w:fill="auto"/>
            <w:vAlign w:val="center"/>
          </w:tcPr>
          <w:p w14:paraId="6BC2C8E1">
            <w:pPr>
              <w:snapToGrid w:val="0"/>
              <w:spacing w:line="336" w:lineRule="exact"/>
              <w:rPr>
                <w:rFonts w:hint="eastAsia" w:asciiTheme="minorEastAsia" w:hAnsiTheme="minorEastAsia" w:eastAsiaTheme="minorEastAsia" w:cstheme="minorEastAsia"/>
                <w:b w:val="0"/>
                <w:bCs/>
                <w:kern w:val="0"/>
                <w:sz w:val="24"/>
                <w:szCs w:val="24"/>
                <w:lang w:val="en-US" w:eastAsia="zh-CN" w:bidi="ar-SA"/>
              </w:rPr>
            </w:pPr>
            <w:r>
              <w:rPr>
                <w:rFonts w:hint="eastAsia" w:asciiTheme="minorEastAsia" w:hAnsiTheme="minorEastAsia" w:eastAsiaTheme="minorEastAsia" w:cstheme="minorEastAsia"/>
                <w:sz w:val="24"/>
                <w:szCs w:val="24"/>
              </w:rPr>
              <w:t>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tc>
      </w:tr>
      <w:tr w14:paraId="408F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2468" w:type="dxa"/>
            <w:shd w:val="clear" w:color="auto" w:fill="auto"/>
            <w:vAlign w:val="center"/>
          </w:tcPr>
          <w:p w14:paraId="3F6BD5AF">
            <w:pPr>
              <w:keepNext w:val="0"/>
              <w:keepLines w:val="0"/>
              <w:pageBreakBefore w:val="0"/>
              <w:kinsoku/>
              <w:wordWrap/>
              <w:overflowPunct/>
              <w:topLinePunct w:val="0"/>
              <w:autoSpaceDE/>
              <w:autoSpaceDN/>
              <w:bidi w:val="0"/>
              <w:adjustRightInd/>
              <w:snapToGrid w:val="0"/>
              <w:spacing w:line="360" w:lineRule="exact"/>
              <w:textAlignment w:val="auto"/>
              <w:rPr>
                <w:rFonts w:hint="eastAsia" w:asciiTheme="minorEastAsia" w:hAnsiTheme="minorEastAsia" w:eastAsiaTheme="minorEastAsia" w:cstheme="minorEastAsia"/>
                <w:b w:val="0"/>
                <w:bCs/>
                <w:color w:val="000000"/>
                <w:kern w:val="2"/>
                <w:sz w:val="24"/>
                <w:szCs w:val="24"/>
                <w:lang w:val="en-US" w:eastAsia="zh-CN" w:bidi="ar-SA"/>
              </w:rPr>
            </w:pPr>
            <w:r>
              <w:rPr>
                <w:rFonts w:hint="eastAsia" w:asciiTheme="minorEastAsia" w:hAnsiTheme="minorEastAsia" w:cstheme="minorEastAsia"/>
                <w:b w:val="0"/>
                <w:bCs/>
                <w:color w:val="auto"/>
                <w:sz w:val="21"/>
                <w:szCs w:val="21"/>
                <w:lang w:val="en-US" w:eastAsia="zh-CN"/>
              </w:rPr>
              <w:t>3</w:t>
            </w:r>
            <w:r>
              <w:rPr>
                <w:rFonts w:hint="eastAsia" w:asciiTheme="minorEastAsia" w:hAnsiTheme="minorEastAsia" w:eastAsiaTheme="minorEastAsia" w:cstheme="minorEastAsia"/>
                <w:b w:val="0"/>
                <w:bCs/>
                <w:color w:val="auto"/>
                <w:sz w:val="21"/>
                <w:szCs w:val="21"/>
                <w:lang w:val="en-US" w:eastAsia="zh-CN"/>
              </w:rPr>
              <w:t>.售后服务要求</w:t>
            </w:r>
          </w:p>
        </w:tc>
        <w:tc>
          <w:tcPr>
            <w:tcW w:w="7388" w:type="dxa"/>
            <w:shd w:val="clear" w:color="auto" w:fill="auto"/>
            <w:vAlign w:val="center"/>
          </w:tcPr>
          <w:p w14:paraId="17D1583F">
            <w:pPr>
              <w:keepNext w:val="0"/>
              <w:keepLines w:val="0"/>
              <w:pageBreakBefore w:val="0"/>
              <w:kinsoku/>
              <w:wordWrap/>
              <w:overflowPunct/>
              <w:topLinePunct w:val="0"/>
              <w:autoSpaceDE/>
              <w:autoSpaceDN/>
              <w:bidi w:val="0"/>
              <w:adjustRightInd/>
              <w:snapToGrid w:val="0"/>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技术服务及后续维保服务期不少于</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zh-CN"/>
              </w:rPr>
              <w:t>年（自验收合格之日起计算），技术服务及后续维保服务期内提供技术维护服务，要求</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CN"/>
              </w:rPr>
              <w:t>小时内响应，一般质量问题处理时限不超过</w:t>
            </w: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lang w:val="en-US" w:eastAsia="zh-CN"/>
              </w:rPr>
              <w:t>小时，保障系统正常运行，并负责上门维护(不收取任何费用）。</w:t>
            </w:r>
            <w:r>
              <w:rPr>
                <w:rFonts w:hint="eastAsia" w:asciiTheme="minorEastAsia" w:hAnsiTheme="minorEastAsia" w:eastAsiaTheme="minorEastAsia" w:cstheme="minorEastAsia"/>
                <w:sz w:val="24"/>
                <w:szCs w:val="24"/>
              </w:rPr>
              <w:t>合同维保到期以后每年的维保费用不超过合同总额的</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5</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w:t>
            </w:r>
          </w:p>
        </w:tc>
      </w:tr>
      <w:tr w14:paraId="2B93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2468" w:type="dxa"/>
            <w:shd w:val="clear" w:color="auto" w:fill="auto"/>
            <w:vAlign w:val="center"/>
          </w:tcPr>
          <w:p w14:paraId="59FDE80F">
            <w:pPr>
              <w:snapToGrid w:val="0"/>
              <w:spacing w:line="336" w:lineRule="exact"/>
              <w:rPr>
                <w:rFonts w:hint="eastAsia" w:asciiTheme="minorEastAsia" w:hAnsiTheme="minorEastAsia" w:eastAsiaTheme="minorEastAsia" w:cstheme="minorEastAsia"/>
                <w:b w:val="0"/>
                <w:bCs/>
                <w:color w:val="000000"/>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交付地点</w:t>
            </w:r>
          </w:p>
        </w:tc>
        <w:tc>
          <w:tcPr>
            <w:tcW w:w="7388" w:type="dxa"/>
            <w:shd w:val="clear" w:color="auto" w:fill="auto"/>
            <w:vAlign w:val="center"/>
          </w:tcPr>
          <w:p w14:paraId="5F0D145C">
            <w:pPr>
              <w:snapToGrid w:val="0"/>
              <w:spacing w:line="336"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1.交付期：自签订合同之日起</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日历日内验收合格并交付采购人使用。</w:t>
            </w:r>
          </w:p>
          <w:p w14:paraId="4558604E">
            <w:pPr>
              <w:widowControl/>
              <w:jc w:val="lef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招标人指定地点。</w:t>
            </w:r>
          </w:p>
        </w:tc>
      </w:tr>
      <w:tr w14:paraId="09E1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jc w:val="center"/>
        </w:trPr>
        <w:tc>
          <w:tcPr>
            <w:tcW w:w="2468" w:type="dxa"/>
            <w:shd w:val="clear" w:color="auto" w:fill="auto"/>
            <w:vAlign w:val="center"/>
          </w:tcPr>
          <w:p w14:paraId="14358007">
            <w:pPr>
              <w:jc w:val="both"/>
              <w:rPr>
                <w:rFonts w:hint="eastAsia" w:asciiTheme="minorEastAsia" w:hAnsiTheme="minorEastAsia" w:eastAsiaTheme="minorEastAsia" w:cstheme="minorEastAsia"/>
                <w:b w:val="0"/>
                <w:bCs/>
                <w:color w:val="000000"/>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付款方式</w:t>
            </w:r>
          </w:p>
        </w:tc>
        <w:tc>
          <w:tcPr>
            <w:tcW w:w="7388" w:type="dxa"/>
            <w:shd w:val="clear" w:color="auto" w:fill="auto"/>
            <w:vAlign w:val="center"/>
          </w:tcPr>
          <w:p w14:paraId="0AA83085">
            <w:pPr>
              <w:spacing w:line="360" w:lineRule="exact"/>
              <w:ind w:right="-55" w:rightChars="-26"/>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w:t>
            </w:r>
            <w:r>
              <w:rPr>
                <w:rFonts w:hint="eastAsia" w:asciiTheme="minorEastAsia" w:hAnsiTheme="minorEastAsia" w:eastAsiaTheme="minorEastAsia" w:cstheme="minorEastAsia"/>
                <w:sz w:val="24"/>
                <w:szCs w:val="24"/>
              </w:rPr>
              <w:t>付款方式：合同签订之后，乙方安排入场安装，在软件上线并验收合格</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培训指导完成、设备、软件正式使用）</w:t>
            </w:r>
            <w:r>
              <w:rPr>
                <w:rFonts w:hint="eastAsia" w:asciiTheme="minorEastAsia" w:hAnsiTheme="minorEastAsia" w:eastAsiaTheme="minorEastAsia" w:cstheme="minorEastAsia"/>
                <w:sz w:val="24"/>
                <w:szCs w:val="24"/>
              </w:rPr>
              <w:t>后，乙方开具对应金额的有效发票，甲方在收到发票</w:t>
            </w:r>
            <w:r>
              <w:rPr>
                <w:rFonts w:hint="eastAsia" w:asciiTheme="minorEastAsia" w:hAnsiTheme="minorEastAsia" w:eastAsiaTheme="minorEastAsia" w:cstheme="minorEastAsia"/>
                <w:sz w:val="24"/>
                <w:szCs w:val="24"/>
                <w:lang w:val="en-US" w:eastAsia="zh-CN"/>
              </w:rPr>
              <w:t>后</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rPr>
              <w:t>个工作</w:t>
            </w:r>
            <w:r>
              <w:rPr>
                <w:rFonts w:hint="eastAsia" w:asciiTheme="minorEastAsia" w:hAnsiTheme="minorEastAsia" w:eastAsiaTheme="minorEastAsia" w:cstheme="minorEastAsia"/>
                <w:sz w:val="24"/>
                <w:szCs w:val="24"/>
                <w:lang w:val="en-US" w:eastAsia="zh-CN"/>
              </w:rPr>
              <w:t>日后</w:t>
            </w:r>
            <w:r>
              <w:rPr>
                <w:rFonts w:hint="eastAsia" w:asciiTheme="minorEastAsia" w:hAnsiTheme="minorEastAsia" w:eastAsiaTheme="minorEastAsia" w:cstheme="minorEastAsia"/>
                <w:sz w:val="24"/>
                <w:szCs w:val="24"/>
              </w:rPr>
              <w:t>将终验款（合同金额9</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%），一次性支付给乙方；合同总额中包含</w:t>
            </w:r>
            <w:r>
              <w:rPr>
                <w:rFonts w:hint="eastAsia" w:asciiTheme="minorEastAsia" w:hAnsiTheme="minorEastAsia" w:eastAsiaTheme="minorEastAsia" w:cstheme="minorEastAsia"/>
                <w:sz w:val="24"/>
                <w:szCs w:val="24"/>
                <w:lang w:val="en-US" w:eastAsia="zh-CN"/>
              </w:rPr>
              <w:t>不少于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年的维保，维保到期后乙方提出履约保证金付款申请，甲方收到申请</w:t>
            </w:r>
            <w:r>
              <w:rPr>
                <w:rFonts w:hint="eastAsia" w:asciiTheme="minorEastAsia" w:hAnsiTheme="minorEastAsia" w:eastAsiaTheme="minorEastAsia" w:cstheme="minorEastAsia"/>
                <w:sz w:val="24"/>
                <w:szCs w:val="24"/>
                <w:lang w:val="en-US" w:eastAsia="zh-CN"/>
              </w:rPr>
              <w:t>30</w:t>
            </w:r>
            <w:r>
              <w:rPr>
                <w:rFonts w:hint="eastAsia" w:asciiTheme="minorEastAsia" w:hAnsiTheme="minorEastAsia" w:eastAsiaTheme="minorEastAsia" w:cstheme="minorEastAsia"/>
                <w:sz w:val="24"/>
                <w:szCs w:val="24"/>
              </w:rPr>
              <w:t>个工作日</w:t>
            </w:r>
            <w:r>
              <w:rPr>
                <w:rFonts w:hint="eastAsia" w:asciiTheme="minorEastAsia" w:hAnsiTheme="minorEastAsia" w:eastAsiaTheme="minorEastAsia" w:cstheme="minorEastAsia"/>
                <w:sz w:val="24"/>
                <w:szCs w:val="24"/>
                <w:lang w:val="en-US" w:eastAsia="zh-CN"/>
              </w:rPr>
              <w:t>后</w:t>
            </w:r>
            <w:r>
              <w:rPr>
                <w:rFonts w:hint="eastAsia" w:asciiTheme="minorEastAsia" w:hAnsiTheme="minorEastAsia" w:eastAsiaTheme="minorEastAsia" w:cstheme="minorEastAsia"/>
                <w:sz w:val="24"/>
                <w:szCs w:val="24"/>
              </w:rPr>
              <w:t>将履约保证金（合同金额</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%）一次性支付给乙方。合同维保到期以后每年的维保费用不超过合同总额的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%，维保协议双方另行签订。</w:t>
            </w:r>
          </w:p>
          <w:p w14:paraId="7EDFC2AF">
            <w:pPr>
              <w:snapToGrid w:val="0"/>
              <w:spacing w:line="336" w:lineRule="exac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bCs/>
                <w:sz w:val="24"/>
                <w:szCs w:val="24"/>
                <w:lang w:val="en-US" w:eastAsia="zh-CN"/>
              </w:rPr>
              <w:t>.</w:t>
            </w:r>
            <w:r>
              <w:rPr>
                <w:rFonts w:hint="eastAsia" w:asciiTheme="minorEastAsia" w:hAnsiTheme="minorEastAsia" w:eastAsiaTheme="minorEastAsia" w:cstheme="minorEastAsia"/>
                <w:bCs/>
                <w:sz w:val="24"/>
                <w:szCs w:val="24"/>
              </w:rPr>
              <w:t>中标人申请款项时需同时开具正式足额发票给招标人，否则</w:t>
            </w:r>
            <w:r>
              <w:rPr>
                <w:rFonts w:hint="eastAsia" w:asciiTheme="minorEastAsia" w:hAnsiTheme="minorEastAsia" w:eastAsiaTheme="minorEastAsia" w:cstheme="minorEastAsia"/>
                <w:bCs/>
                <w:sz w:val="24"/>
                <w:szCs w:val="24"/>
                <w:lang w:val="en-US" w:eastAsia="zh-CN"/>
              </w:rPr>
              <w:t>采购人</w:t>
            </w:r>
            <w:r>
              <w:rPr>
                <w:rFonts w:hint="eastAsia" w:asciiTheme="minorEastAsia" w:hAnsiTheme="minorEastAsia" w:eastAsiaTheme="minorEastAsia" w:cstheme="minorEastAsia"/>
                <w:bCs/>
                <w:sz w:val="24"/>
                <w:szCs w:val="24"/>
              </w:rPr>
              <w:t>可以拒绝付款。</w:t>
            </w:r>
          </w:p>
        </w:tc>
      </w:tr>
      <w:tr w14:paraId="76E2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8" w:type="dxa"/>
            <w:shd w:val="clear" w:color="auto" w:fill="auto"/>
            <w:vAlign w:val="center"/>
          </w:tcPr>
          <w:p w14:paraId="5A00F4EB">
            <w:pPr>
              <w:snapToGrid w:val="0"/>
              <w:spacing w:line="336" w:lineRule="exact"/>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验收标准</w:t>
            </w:r>
          </w:p>
          <w:p w14:paraId="43726854">
            <w:pPr>
              <w:jc w:val="center"/>
              <w:rPr>
                <w:rFonts w:hint="eastAsia" w:asciiTheme="minorEastAsia" w:hAnsiTheme="minorEastAsia" w:eastAsiaTheme="minorEastAsia" w:cstheme="minorEastAsia"/>
                <w:b w:val="0"/>
                <w:bCs/>
                <w:color w:val="000000"/>
                <w:sz w:val="24"/>
                <w:szCs w:val="24"/>
              </w:rPr>
            </w:pPr>
          </w:p>
        </w:tc>
        <w:tc>
          <w:tcPr>
            <w:tcW w:w="7388" w:type="dxa"/>
            <w:shd w:val="clear" w:color="auto" w:fill="auto"/>
            <w:vAlign w:val="center"/>
          </w:tcPr>
          <w:p w14:paraId="550C8BFF">
            <w:pPr>
              <w:adjustRightInd w:val="0"/>
              <w:snapToGrid w:val="0"/>
              <w:spacing w:line="360" w:lineRule="exact"/>
              <w:rPr>
                <w:rFonts w:hint="eastAsia"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1.依据</w:t>
            </w:r>
            <w:r>
              <w:rPr>
                <w:rFonts w:hint="eastAsia" w:asciiTheme="minorEastAsia" w:hAnsiTheme="minorEastAsia" w:eastAsiaTheme="minorEastAsia" w:cstheme="minorEastAsia"/>
                <w:spacing w:val="-2"/>
                <w:sz w:val="24"/>
                <w:szCs w:val="24"/>
                <w:lang w:val="en-US" w:eastAsia="zh-CN"/>
              </w:rPr>
              <w:t>招标</w:t>
            </w:r>
            <w:r>
              <w:rPr>
                <w:rFonts w:hint="eastAsia" w:asciiTheme="minorEastAsia" w:hAnsiTheme="minorEastAsia" w:eastAsiaTheme="minorEastAsia" w:cstheme="minorEastAsia"/>
                <w:spacing w:val="-2"/>
                <w:sz w:val="24"/>
                <w:szCs w:val="24"/>
              </w:rPr>
              <w:t>文件要求的采购需求、</w:t>
            </w:r>
            <w:r>
              <w:rPr>
                <w:rFonts w:hint="eastAsia" w:asciiTheme="minorEastAsia" w:hAnsiTheme="minorEastAsia" w:eastAsia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报价响应文件承诺以及国家现行相关标准、规范履行合同。</w:t>
            </w:r>
          </w:p>
          <w:p w14:paraId="760B6B7C">
            <w:pPr>
              <w:snapToGrid w:val="0"/>
              <w:spacing w:line="336" w:lineRule="exac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pacing w:val="-2"/>
                <w:sz w:val="24"/>
                <w:szCs w:val="24"/>
              </w:rPr>
              <w:t>2.采购人依照国家相关法律法规及行业规定及询价文件要求、</w:t>
            </w:r>
            <w:r>
              <w:rPr>
                <w:rFonts w:hint="eastAsia" w:asciiTheme="minorEastAsia" w:hAnsiTheme="minorEastAsia" w:eastAsia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报价响应文件承诺进行验收。</w:t>
            </w:r>
          </w:p>
        </w:tc>
      </w:tr>
      <w:tr w14:paraId="7384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8" w:type="dxa"/>
            <w:shd w:val="clear" w:color="auto" w:fill="auto"/>
            <w:vAlign w:val="center"/>
          </w:tcPr>
          <w:p w14:paraId="1AF9F7FE">
            <w:pPr>
              <w:jc w:val="both"/>
              <w:rPr>
                <w:rFonts w:hint="eastAsia" w:asciiTheme="minorEastAsia" w:hAnsiTheme="minorEastAsia" w:eastAsiaTheme="minorEastAsia" w:cstheme="minorEastAsia"/>
                <w:b w:val="0"/>
                <w:bCs/>
                <w:color w:val="000000"/>
                <w:sz w:val="24"/>
                <w:szCs w:val="24"/>
                <w:lang w:val="en-US" w:eastAsia="zh-CN"/>
              </w:rPr>
            </w:pPr>
            <w:r>
              <w:rPr>
                <w:rFonts w:hint="eastAsia" w:asciiTheme="minorEastAsia" w:hAnsiTheme="minorEastAsia" w:cstheme="minorEastAsia"/>
                <w:b w:val="0"/>
                <w:bCs/>
                <w:color w:val="000000"/>
                <w:sz w:val="24"/>
                <w:szCs w:val="24"/>
                <w:lang w:val="en-US" w:eastAsia="zh-CN"/>
              </w:rPr>
              <w:t>7</w:t>
            </w:r>
            <w:r>
              <w:rPr>
                <w:rFonts w:hint="eastAsia" w:asciiTheme="minorEastAsia" w:hAnsiTheme="minorEastAsia" w:eastAsiaTheme="minorEastAsia" w:cstheme="minorEastAsia"/>
                <w:b w:val="0"/>
                <w:bCs/>
                <w:color w:val="000000"/>
                <w:sz w:val="24"/>
                <w:szCs w:val="24"/>
                <w:lang w:val="en-US" w:eastAsia="zh-CN"/>
              </w:rPr>
              <w:t>.报价要求</w:t>
            </w:r>
          </w:p>
        </w:tc>
        <w:tc>
          <w:tcPr>
            <w:tcW w:w="7388" w:type="dxa"/>
            <w:shd w:val="clear" w:color="auto" w:fill="auto"/>
            <w:vAlign w:val="center"/>
          </w:tcPr>
          <w:p w14:paraId="28F1B5A5">
            <w:pPr>
              <w:widowControl/>
              <w:jc w:val="lef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pacing w:val="-2"/>
                <w:sz w:val="24"/>
                <w:szCs w:val="24"/>
              </w:rPr>
              <w:t>本项目采用</w:t>
            </w:r>
            <w:r>
              <w:rPr>
                <w:rFonts w:hint="eastAsia" w:asciiTheme="minorEastAsia" w:hAnsiTheme="minorEastAsia" w:cstheme="minorEastAsia"/>
                <w:spacing w:val="-2"/>
                <w:sz w:val="24"/>
                <w:szCs w:val="24"/>
                <w:lang w:val="en-US" w:eastAsia="zh-CN"/>
              </w:rPr>
              <w:t>总价</w:t>
            </w:r>
            <w:r>
              <w:rPr>
                <w:rFonts w:hint="eastAsia" w:asciiTheme="minorEastAsia" w:hAnsiTheme="minorEastAsia" w:eastAsiaTheme="minorEastAsia" w:cstheme="minorEastAsia"/>
                <w:spacing w:val="-2"/>
                <w:sz w:val="24"/>
                <w:szCs w:val="24"/>
              </w:rPr>
              <w:t>方式报价，</w:t>
            </w:r>
            <w:r>
              <w:rPr>
                <w:rFonts w:hint="eastAsia" w:asciiTheme="minorEastAsia" w:hAnsiTheme="minorEastAsia" w:cstheme="minorEastAsia"/>
                <w:spacing w:val="-2"/>
                <w:sz w:val="24"/>
                <w:szCs w:val="24"/>
                <w:lang w:val="en-US" w:eastAsia="zh-CN"/>
              </w:rPr>
              <w:t>总</w:t>
            </w:r>
            <w:r>
              <w:rPr>
                <w:rFonts w:hint="eastAsia" w:asciiTheme="minorEastAsia" w:hAnsiTheme="minorEastAsia" w:eastAsiaTheme="minorEastAsia" w:cstheme="minorEastAsia"/>
                <w:spacing w:val="-2"/>
                <w:sz w:val="24"/>
                <w:szCs w:val="24"/>
              </w:rPr>
              <w:t>价应综合考虑完成本项目产生的所有成本、税金及合理利润，具体包含但不限于完成采购标的包含的所有人工费用、差旅费、交通费、故障诊断费</w:t>
            </w:r>
            <w:r>
              <w:rPr>
                <w:rFonts w:hint="eastAsia" w:asciiTheme="minorEastAsia" w:hAnsiTheme="minorEastAsia" w:eastAsiaTheme="minorEastAsia" w:cstheme="minorEastAsia"/>
                <w:spacing w:val="-2"/>
                <w:sz w:val="24"/>
                <w:szCs w:val="24"/>
                <w:lang w:eastAsia="zh-CN"/>
              </w:rPr>
              <w:t>、</w:t>
            </w:r>
            <w:r>
              <w:rPr>
                <w:rFonts w:hint="eastAsia" w:asciiTheme="minorEastAsia" w:hAnsiTheme="minorEastAsia" w:eastAsiaTheme="minorEastAsia" w:cstheme="minorEastAsia"/>
                <w:spacing w:val="-2"/>
                <w:sz w:val="24"/>
                <w:szCs w:val="24"/>
              </w:rPr>
              <w:t>培训费、保险、税金、利润等所有成本费用。在合同实施时，采购人将不予支付完成本项目必须的但成交人没有列入的费用，并认为此费用已包括在报价中。</w:t>
            </w:r>
          </w:p>
        </w:tc>
      </w:tr>
      <w:tr w14:paraId="4971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468" w:type="dxa"/>
            <w:shd w:val="clear" w:color="auto" w:fill="auto"/>
            <w:vAlign w:val="center"/>
          </w:tcPr>
          <w:p w14:paraId="127B986E">
            <w:pPr>
              <w:jc w:val="both"/>
              <w:rPr>
                <w:rFonts w:hint="eastAsia" w:asciiTheme="minorEastAsia" w:hAnsiTheme="minorEastAsia" w:eastAsiaTheme="minorEastAsia" w:cstheme="minorEastAsia"/>
                <w:b w:val="0"/>
                <w:bCs/>
                <w:color w:val="000000"/>
                <w:sz w:val="24"/>
                <w:szCs w:val="24"/>
                <w:lang w:val="en-US" w:eastAsia="zh-CN"/>
              </w:rPr>
            </w:pPr>
            <w:r>
              <w:rPr>
                <w:rFonts w:hint="eastAsia" w:asciiTheme="minorEastAsia" w:hAnsiTheme="minorEastAsia" w:cstheme="minorEastAsia"/>
                <w:b w:val="0"/>
                <w:bCs/>
                <w:color w:val="000000"/>
                <w:sz w:val="24"/>
                <w:szCs w:val="24"/>
                <w:lang w:val="en-US" w:eastAsia="zh-CN"/>
              </w:rPr>
              <w:t>8</w:t>
            </w:r>
            <w:r>
              <w:rPr>
                <w:rFonts w:hint="eastAsia" w:asciiTheme="minorEastAsia" w:hAnsiTheme="minorEastAsia" w:eastAsiaTheme="minorEastAsia" w:cstheme="minorEastAsia"/>
                <w:b w:val="0"/>
                <w:bCs/>
                <w:color w:val="000000"/>
                <w:sz w:val="24"/>
                <w:szCs w:val="24"/>
                <w:lang w:val="en-US" w:eastAsia="zh-CN"/>
              </w:rPr>
              <w:t>.最高限价</w:t>
            </w:r>
          </w:p>
        </w:tc>
        <w:tc>
          <w:tcPr>
            <w:tcW w:w="7388" w:type="dxa"/>
            <w:shd w:val="clear" w:color="auto" w:fill="auto"/>
            <w:vAlign w:val="center"/>
          </w:tcPr>
          <w:p w14:paraId="368C8CED">
            <w:pPr>
              <w:widowControl/>
              <w:jc w:val="left"/>
              <w:rPr>
                <w:rFonts w:hint="eastAsia" w:asciiTheme="minorEastAsia" w:hAnsiTheme="minorEastAsia" w:eastAsiaTheme="minorEastAsia" w:cstheme="minorEastAsia"/>
                <w:b w:val="0"/>
                <w:bCs/>
                <w:kern w:val="0"/>
                <w:sz w:val="24"/>
                <w:szCs w:val="24"/>
              </w:rPr>
            </w:pPr>
            <w:r>
              <w:rPr>
                <w:rFonts w:hint="eastAsia" w:asciiTheme="minorEastAsia" w:hAnsiTheme="minorEastAsia" w:eastAsiaTheme="minorEastAsia" w:cstheme="minorEastAsia"/>
                <w:spacing w:val="-2"/>
                <w:sz w:val="24"/>
                <w:szCs w:val="24"/>
              </w:rPr>
              <w:t>本项目预算金额为</w:t>
            </w:r>
            <w:r>
              <w:rPr>
                <w:rFonts w:hint="eastAsia" w:asciiTheme="minorEastAsia" w:hAnsiTheme="minorEastAsia" w:eastAsiaTheme="minorEastAsia" w:cstheme="minorEastAsia"/>
                <w:sz w:val="24"/>
                <w:szCs w:val="24"/>
              </w:rPr>
              <w:t>人民币</w:t>
            </w:r>
            <w:r>
              <w:rPr>
                <w:rFonts w:hint="eastAsia" w:asciiTheme="minorEastAsia" w:hAnsiTheme="minorEastAsia" w:cstheme="minorEastAsia"/>
                <w:color w:val="FF0000"/>
                <w:sz w:val="24"/>
                <w:szCs w:val="24"/>
                <w:lang w:val="en-US" w:eastAsia="zh-CN"/>
              </w:rPr>
              <w:t>肆拾玖万元整（¥490000.00）</w:t>
            </w:r>
            <w:r>
              <w:rPr>
                <w:rFonts w:hint="eastAsia" w:asciiTheme="minorEastAsia" w:hAnsiTheme="minorEastAsia" w:eastAsiaTheme="minorEastAsia" w:cstheme="minorEastAsia"/>
                <w:spacing w:val="-2"/>
                <w:sz w:val="24"/>
                <w:szCs w:val="24"/>
              </w:rPr>
              <w:t>，</w:t>
            </w:r>
            <w:r>
              <w:rPr>
                <w:rFonts w:hint="eastAsia" w:asciiTheme="minorEastAsia" w:hAnsiTheme="minorEastAsia" w:eastAsiaTheme="minorEastAsia" w:cstheme="minorEastAsia"/>
                <w:spacing w:val="-2"/>
                <w:sz w:val="24"/>
                <w:szCs w:val="24"/>
                <w:lang w:val="en-US" w:eastAsia="zh-CN"/>
              </w:rPr>
              <w:t>投标人</w:t>
            </w:r>
            <w:r>
              <w:rPr>
                <w:rFonts w:hint="eastAsia" w:asciiTheme="minorEastAsia" w:hAnsiTheme="minorEastAsia" w:eastAsiaTheme="minorEastAsia" w:cstheme="minorEastAsia"/>
                <w:spacing w:val="-2"/>
                <w:sz w:val="24"/>
                <w:szCs w:val="24"/>
              </w:rPr>
              <w:t>报价超出参考预算金额的，按无效处理。</w:t>
            </w:r>
          </w:p>
        </w:tc>
      </w:tr>
      <w:tr w14:paraId="629D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468" w:type="dxa"/>
            <w:shd w:val="clear" w:color="auto" w:fill="auto"/>
            <w:vAlign w:val="center"/>
          </w:tcPr>
          <w:p w14:paraId="4C02CDB2">
            <w:pPr>
              <w:jc w:val="both"/>
              <w:rPr>
                <w:rFonts w:hint="eastAsia" w:asciiTheme="minorEastAsia" w:hAnsiTheme="minorEastAsia" w:eastAsiaTheme="minorEastAsia" w:cstheme="minorEastAsia"/>
                <w:b w:val="0"/>
                <w:bCs/>
                <w:color w:val="000000"/>
                <w:sz w:val="24"/>
                <w:szCs w:val="24"/>
                <w:lang w:eastAsia="zh-CN"/>
              </w:rPr>
            </w:pPr>
            <w:r>
              <w:rPr>
                <w:rFonts w:hint="eastAsia" w:asciiTheme="minorEastAsia" w:hAnsiTheme="minorEastAsia" w:cstheme="minorEastAsia"/>
                <w:sz w:val="24"/>
                <w:szCs w:val="24"/>
                <w:lang w:val="en-US" w:eastAsia="zh-CN"/>
              </w:rPr>
              <w:t>9</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zh-CN"/>
              </w:rPr>
              <w:t>其他要求</w:t>
            </w:r>
          </w:p>
        </w:tc>
        <w:tc>
          <w:tcPr>
            <w:tcW w:w="7388" w:type="dxa"/>
            <w:shd w:val="clear" w:color="auto" w:fill="auto"/>
            <w:vAlign w:val="center"/>
          </w:tcPr>
          <w:p w14:paraId="2B82B182">
            <w:pPr>
              <w:snapToGrid w:val="0"/>
              <w:spacing w:line="336" w:lineRule="exac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本项目所提供的软件必须具有合法的版权或使用权，如在本项目范围内使用过程中出现版权或使用权纠纷，应由中标人负责</w:t>
            </w:r>
            <w:r>
              <w:rPr>
                <w:rFonts w:hint="eastAsia" w:asciiTheme="minorEastAsia" w:hAnsiTheme="minorEastAsia" w:eastAsiaTheme="minorEastAsia" w:cstheme="minorEastAsia"/>
                <w:sz w:val="24"/>
                <w:szCs w:val="24"/>
                <w:lang w:eastAsia="zh-CN"/>
              </w:rPr>
              <w:t>。</w:t>
            </w:r>
          </w:p>
          <w:p w14:paraId="3C40895F">
            <w:pPr>
              <w:pStyle w:val="2"/>
              <w:rPr>
                <w:rFonts w:hint="default"/>
                <w:lang w:val="en-US"/>
              </w:rPr>
            </w:pPr>
            <w:r>
              <w:rPr>
                <w:rFonts w:hint="eastAsia" w:asciiTheme="minorEastAsia" w:hAnsiTheme="minorEastAsia" w:cstheme="minorEastAsia"/>
                <w:sz w:val="24"/>
                <w:szCs w:val="24"/>
                <w:lang w:val="en-US" w:eastAsia="zh-CN"/>
              </w:rPr>
              <w:t>2.项目实施完成后须提供软件系统代码审计评估报告，要求风险评级为基本安全及以上评级，否则不予验收。</w:t>
            </w:r>
            <w:bookmarkStart w:id="0" w:name="_GoBack"/>
            <w:bookmarkEnd w:id="0"/>
          </w:p>
        </w:tc>
      </w:tr>
    </w:tbl>
    <w:p w14:paraId="51DFB7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7ACD"/>
    <w:rsid w:val="08973524"/>
    <w:rsid w:val="0A572E95"/>
    <w:rsid w:val="0DBC574E"/>
    <w:rsid w:val="11FF19BD"/>
    <w:rsid w:val="12670401"/>
    <w:rsid w:val="17375756"/>
    <w:rsid w:val="184616E2"/>
    <w:rsid w:val="19F915FC"/>
    <w:rsid w:val="1E1332F5"/>
    <w:rsid w:val="2E693783"/>
    <w:rsid w:val="345B12C4"/>
    <w:rsid w:val="3CB325ED"/>
    <w:rsid w:val="3F9E3E2A"/>
    <w:rsid w:val="411B504A"/>
    <w:rsid w:val="44E0071B"/>
    <w:rsid w:val="48696234"/>
    <w:rsid w:val="4C291314"/>
    <w:rsid w:val="4D7A195F"/>
    <w:rsid w:val="5183133C"/>
    <w:rsid w:val="52CE1B5C"/>
    <w:rsid w:val="5C886ED1"/>
    <w:rsid w:val="5DD451FE"/>
    <w:rsid w:val="631622EA"/>
    <w:rsid w:val="6D133DBF"/>
    <w:rsid w:val="6DA54E72"/>
    <w:rsid w:val="77B5724E"/>
    <w:rsid w:val="784A4D50"/>
    <w:rsid w:val="79BF7F82"/>
    <w:rsid w:val="7A58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5">
    <w:name w:val="heading 3"/>
    <w:basedOn w:val="1"/>
    <w:next w:val="1"/>
    <w:link w:val="10"/>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6">
    <w:name w:val="toc 1"/>
    <w:basedOn w:val="1"/>
    <w:next w:val="1"/>
    <w:qFormat/>
    <w:uiPriority w:val="39"/>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3 Char"/>
    <w:link w:val="5"/>
    <w:qFormat/>
    <w:uiPriority w:val="99"/>
    <w:rPr>
      <w:rFonts w:ascii="Calibri" w:hAnsi="Calibri"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9192</Words>
  <Characters>9278</Characters>
  <Lines>0</Lines>
  <Paragraphs>0</Paragraphs>
  <TotalTime>0</TotalTime>
  <ScaleCrop>false</ScaleCrop>
  <LinksUpToDate>false</LinksUpToDate>
  <CharactersWithSpaces>9380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2026-04-21T08:09:42Z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0A8A785904B2403D8DE93491E8DCC7CD_13</vt:lpwstr>
  </property>
  <property fmtid="{D5CDD505-2E9C-101B-9397-08002B2CF9AE}" pid="4" name="KSOTemplateDocerSaveRecord">
    <vt:lpwstr>eyJoZGlkIjoiODJhZjYxNmNlMWQyYTI4MDdkNDQzYWM1MDViY2VlZTMiLCJ1c2VySWQiOiI0MzYyNDA5MDIifQ==</vt:lpwstr>
  </property>
</Properties>
</file>