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53FD1">
      <w:pPr>
        <w:spacing w:line="360" w:lineRule="auto"/>
        <w:jc w:val="center"/>
        <w:rPr>
          <w:rFonts w:hint="eastAsia" w:ascii="宋体" w:hAnsi="宋体" w:eastAsia="宋体"/>
          <w:b/>
          <w:sz w:val="28"/>
          <w:lang w:val="en-US" w:eastAsia="zh-CN"/>
        </w:rPr>
      </w:pPr>
      <w:r>
        <w:rPr>
          <w:rFonts w:hint="eastAsia" w:ascii="宋体" w:hAnsi="宋体" w:eastAsia="宋体"/>
          <w:b/>
          <w:sz w:val="28"/>
          <w:lang w:val="en-US" w:eastAsia="zh-CN"/>
        </w:rPr>
        <w:t>医疗质量与运营管控服务系统维护服务采购-功能需求</w:t>
      </w:r>
    </w:p>
    <w:p w14:paraId="65D26F8A">
      <w:pPr>
        <w:rPr>
          <w:rFonts w:hint="eastAsia" w:asciiTheme="minorEastAsia" w:hAnsiTheme="minorEastAsia" w:eastAsiaTheme="minorEastAsia" w:cstheme="minorEastAsia"/>
          <w:spacing w:val="-2"/>
          <w:sz w:val="21"/>
          <w:szCs w:val="21"/>
        </w:rPr>
      </w:pPr>
    </w:p>
    <w:p w14:paraId="1570D74A">
      <w:pPr>
        <w:rPr>
          <w:rFonts w:hint="eastAsia" w:ascii="宋体" w:hAnsi="宋体" w:eastAsia="宋体"/>
          <w:b/>
          <w:sz w:val="28"/>
          <w:lang w:val="en-US" w:eastAsia="zh-CN"/>
        </w:rPr>
      </w:pPr>
      <w:r>
        <w:rPr>
          <w:rFonts w:hint="eastAsia" w:asciiTheme="minorEastAsia" w:hAnsiTheme="minorEastAsia" w:eastAsiaTheme="minorEastAsia" w:cstheme="minorEastAsia"/>
          <w:spacing w:val="-2"/>
          <w:sz w:val="21"/>
          <w:szCs w:val="21"/>
        </w:rPr>
        <w:t>本项目预算金额为</w:t>
      </w:r>
      <w:r>
        <w:rPr>
          <w:rFonts w:hint="eastAsia" w:asciiTheme="minorEastAsia" w:hAnsiTheme="minorEastAsia" w:eastAsiaTheme="minorEastAsia" w:cstheme="minorEastAsia"/>
          <w:sz w:val="21"/>
          <w:szCs w:val="21"/>
        </w:rPr>
        <w:t>人民币</w:t>
      </w:r>
      <w:r>
        <w:rPr>
          <w:rFonts w:hint="eastAsia" w:asciiTheme="minorEastAsia" w:hAnsiTheme="minorEastAsia" w:cstheme="minorEastAsia"/>
          <w:color w:val="FF0000"/>
          <w:sz w:val="21"/>
          <w:szCs w:val="21"/>
          <w:lang w:val="en-US" w:eastAsia="zh-CN"/>
        </w:rPr>
        <w:t>肆万叁仟元</w:t>
      </w:r>
      <w:r>
        <w:rPr>
          <w:rFonts w:hint="eastAsia" w:asciiTheme="minorEastAsia" w:hAnsiTheme="minorEastAsia" w:eastAsiaTheme="minorEastAsia" w:cstheme="minorEastAsia"/>
          <w:color w:val="FF0000"/>
          <w:sz w:val="21"/>
          <w:szCs w:val="21"/>
        </w:rPr>
        <w:t>整</w:t>
      </w:r>
      <w:r>
        <w:rPr>
          <w:rFonts w:hint="eastAsia" w:asciiTheme="minorEastAsia" w:hAnsiTheme="minorEastAsia" w:cstheme="minorEastAsia"/>
          <w:color w:val="FF0000"/>
          <w:sz w:val="21"/>
          <w:szCs w:val="21"/>
          <w:lang w:val="en-US" w:eastAsia="zh-CN"/>
        </w:rPr>
        <w:t>/年</w:t>
      </w:r>
      <w:r>
        <w:rPr>
          <w:rFonts w:hint="eastAsia" w:asciiTheme="minorEastAsia" w:hAnsiTheme="minorEastAsia" w:eastAsiaTheme="minorEastAsia" w:cstheme="minorEastAsia"/>
          <w:color w:val="FF0000"/>
          <w:sz w:val="21"/>
          <w:szCs w:val="21"/>
        </w:rPr>
        <w:t>（¥</w:t>
      </w:r>
      <w:r>
        <w:rPr>
          <w:rFonts w:hint="eastAsia" w:asciiTheme="minorEastAsia" w:hAnsiTheme="minorEastAsia" w:cstheme="minorEastAsia"/>
          <w:color w:val="FF0000"/>
          <w:sz w:val="21"/>
          <w:szCs w:val="21"/>
          <w:lang w:val="en-US" w:eastAsia="zh-CN"/>
        </w:rPr>
        <w:t xml:space="preserve"> 43000元/年</w:t>
      </w: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pacing w:val="-2"/>
          <w:sz w:val="21"/>
          <w:szCs w:val="21"/>
        </w:rPr>
        <w:t>，</w:t>
      </w:r>
      <w:r>
        <w:rPr>
          <w:rFonts w:hint="eastAsia" w:asciiTheme="minorEastAsia" w:hAnsiTheme="minorEastAsia" w:cstheme="minorEastAsia"/>
          <w:spacing w:val="-2"/>
          <w:sz w:val="21"/>
          <w:szCs w:val="21"/>
          <w:lang w:val="en-US" w:eastAsia="zh-CN"/>
        </w:rPr>
        <w:t>签订三年合同，按年支付；</w:t>
      </w:r>
      <w:r>
        <w:rPr>
          <w:rFonts w:hint="eastAsia" w:asciiTheme="minorEastAsia" w:hAnsiTheme="minorEastAsia" w:eastAsiaTheme="minorEastAsia" w:cstheme="minorEastAsia"/>
          <w:spacing w:val="-2"/>
          <w:sz w:val="21"/>
          <w:szCs w:val="21"/>
          <w:lang w:val="en-US" w:eastAsia="zh-CN"/>
        </w:rPr>
        <w:t>投标人</w:t>
      </w:r>
      <w:r>
        <w:rPr>
          <w:rFonts w:hint="eastAsia" w:asciiTheme="minorEastAsia" w:hAnsiTheme="minorEastAsia" w:eastAsiaTheme="minorEastAsia" w:cstheme="minorEastAsia"/>
          <w:spacing w:val="-2"/>
          <w:sz w:val="21"/>
          <w:szCs w:val="21"/>
        </w:rPr>
        <w:t>报价超出参考预算金额的，按无效处理。</w:t>
      </w:r>
    </w:p>
    <w:p w14:paraId="19AF621D">
      <w:pPr>
        <w:pStyle w:val="8"/>
        <w:spacing w:line="360" w:lineRule="auto"/>
        <w:ind w:left="101" w:leftChars="48" w:firstLine="494"/>
        <w:rPr>
          <w:rFonts w:hint="eastAsia" w:ascii="宋体" w:eastAsia="宋体" w:cs="黑体"/>
          <w:sz w:val="24"/>
        </w:rPr>
      </w:pPr>
    </w:p>
    <w:p w14:paraId="654BA64E">
      <w:pPr>
        <w:pStyle w:val="8"/>
        <w:spacing w:line="360" w:lineRule="auto"/>
        <w:ind w:left="101" w:leftChars="48" w:firstLine="494"/>
        <w:rPr>
          <w:rFonts w:ascii="宋体" w:eastAsia="宋体" w:cs="黑体"/>
          <w:sz w:val="24"/>
        </w:rPr>
      </w:pPr>
      <w:r>
        <w:rPr>
          <w:rFonts w:hint="eastAsia" w:ascii="宋体" w:eastAsia="宋体" w:cs="黑体"/>
          <w:sz w:val="24"/>
        </w:rPr>
        <w:t>一、</w:t>
      </w:r>
      <w:r>
        <w:rPr>
          <w:rFonts w:hint="eastAsia" w:ascii="宋体" w:eastAsia="宋体" w:cs="黑体"/>
          <w:sz w:val="24"/>
          <w:lang w:val="en-US" w:eastAsia="zh-CN"/>
        </w:rPr>
        <w:t>服务</w:t>
      </w:r>
      <w:r>
        <w:rPr>
          <w:rFonts w:hint="eastAsia" w:ascii="宋体" w:eastAsia="宋体" w:cs="黑体"/>
          <w:sz w:val="24"/>
        </w:rPr>
        <w:t>内容清单</w:t>
      </w:r>
    </w:p>
    <w:p w14:paraId="22003C30">
      <w:pPr>
        <w:pStyle w:val="8"/>
        <w:spacing w:line="360" w:lineRule="auto"/>
        <w:ind w:left="101" w:leftChars="48" w:firstLine="494"/>
        <w:rPr>
          <w:rFonts w:ascii="宋体" w:eastAsia="宋体" w:cs="黑体"/>
          <w:sz w:val="24"/>
        </w:rPr>
      </w:pPr>
      <w:r>
        <w:rPr>
          <w:rFonts w:hint="eastAsia" w:ascii="宋体" w:eastAsia="宋体" w:cs="黑体"/>
          <w:sz w:val="24"/>
        </w:rPr>
        <w:t>本次申请采购</w:t>
      </w:r>
      <w:r>
        <w:rPr>
          <w:rFonts w:hint="eastAsia" w:ascii="宋体" w:eastAsia="宋体" w:cs="黑体"/>
          <w:sz w:val="24"/>
          <w:lang w:val="en-US" w:eastAsia="zh-CN"/>
        </w:rPr>
        <w:t>服务</w:t>
      </w:r>
      <w:r>
        <w:rPr>
          <w:rFonts w:hint="eastAsia" w:ascii="宋体" w:eastAsia="宋体" w:cs="黑体"/>
          <w:sz w:val="24"/>
        </w:rPr>
        <w:t>内容如下：</w:t>
      </w:r>
    </w:p>
    <w:tbl>
      <w:tblPr>
        <w:tblStyle w:val="4"/>
        <w:tblW w:w="4166" w:type="pct"/>
        <w:tblInd w:w="6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6"/>
        <w:gridCol w:w="1865"/>
      </w:tblGrid>
      <w:tr w14:paraId="4515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686" w:type="pct"/>
            <w:shd w:val="clear" w:color="auto" w:fill="auto"/>
            <w:vAlign w:val="center"/>
          </w:tcPr>
          <w:p w14:paraId="4DA4CC46">
            <w:pPr>
              <w:pStyle w:val="9"/>
              <w:spacing w:line="360" w:lineRule="auto"/>
              <w:ind w:left="101" w:leftChars="48" w:firstLine="319" w:firstLineChars="133"/>
              <w:rPr>
                <w:rFonts w:cs="黑体"/>
                <w:b w:val="0"/>
                <w:sz w:val="24"/>
              </w:rPr>
            </w:pPr>
            <w:bookmarkStart w:id="0" w:name="OLE_LINK3"/>
            <w:bookmarkStart w:id="1" w:name="OLE_LINK4"/>
            <w:r>
              <w:rPr>
                <w:rFonts w:hint="eastAsia" w:cs="黑体"/>
                <w:b w:val="0"/>
                <w:sz w:val="24"/>
                <w:lang w:val="en-US" w:eastAsia="zh-CN"/>
              </w:rPr>
              <w:t>项目</w:t>
            </w:r>
            <w:r>
              <w:rPr>
                <w:rFonts w:hint="eastAsia" w:cs="黑体"/>
                <w:b w:val="0"/>
                <w:sz w:val="24"/>
              </w:rPr>
              <w:t>名称</w:t>
            </w:r>
          </w:p>
        </w:tc>
        <w:tc>
          <w:tcPr>
            <w:tcW w:w="1313" w:type="pct"/>
            <w:shd w:val="clear" w:color="auto" w:fill="auto"/>
            <w:vAlign w:val="center"/>
          </w:tcPr>
          <w:p w14:paraId="463D77FD">
            <w:pPr>
              <w:pStyle w:val="9"/>
              <w:spacing w:line="360" w:lineRule="auto"/>
              <w:ind w:left="101" w:leftChars="48"/>
              <w:rPr>
                <w:rFonts w:cs="黑体"/>
                <w:b w:val="0"/>
                <w:sz w:val="24"/>
              </w:rPr>
            </w:pPr>
            <w:r>
              <w:rPr>
                <w:rFonts w:hint="eastAsia" w:cs="黑体"/>
                <w:b w:val="0"/>
                <w:sz w:val="24"/>
              </w:rPr>
              <w:t>数量</w:t>
            </w:r>
          </w:p>
        </w:tc>
      </w:tr>
      <w:tr w14:paraId="60CC0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686" w:type="pct"/>
            <w:shd w:val="clear" w:color="auto" w:fill="auto"/>
            <w:vAlign w:val="center"/>
          </w:tcPr>
          <w:p w14:paraId="56952D47">
            <w:pPr>
              <w:pStyle w:val="10"/>
              <w:spacing w:line="360" w:lineRule="auto"/>
              <w:ind w:left="101" w:leftChars="48"/>
              <w:jc w:val="left"/>
              <w:rPr>
                <w:rFonts w:hint="eastAsia" w:eastAsia="宋体" w:cs="黑体"/>
                <w:sz w:val="24"/>
                <w:lang w:val="en-US" w:eastAsia="zh-CN"/>
              </w:rPr>
            </w:pPr>
            <w:r>
              <w:rPr>
                <w:rFonts w:hint="eastAsia" w:hAnsi="宋体" w:eastAsia="宋体"/>
                <w:bCs/>
                <w:szCs w:val="21"/>
              </w:rPr>
              <w:t>医疗质量与运营管控服务系统</w:t>
            </w:r>
            <w:r>
              <w:rPr>
                <w:rFonts w:hint="eastAsia"/>
                <w:bCs/>
                <w:szCs w:val="21"/>
                <w:lang w:val="en-US" w:eastAsia="zh-CN"/>
              </w:rPr>
              <w:t>维护</w:t>
            </w:r>
          </w:p>
        </w:tc>
        <w:tc>
          <w:tcPr>
            <w:tcW w:w="1313" w:type="pct"/>
            <w:shd w:val="clear" w:color="auto" w:fill="auto"/>
            <w:vAlign w:val="center"/>
          </w:tcPr>
          <w:p w14:paraId="33F6CEFE">
            <w:pPr>
              <w:pStyle w:val="10"/>
              <w:spacing w:line="360" w:lineRule="auto"/>
              <w:ind w:left="101" w:leftChars="48"/>
              <w:jc w:val="center"/>
              <w:rPr>
                <w:rFonts w:cs="黑体"/>
                <w:sz w:val="24"/>
              </w:rPr>
            </w:pPr>
            <w:r>
              <w:rPr>
                <w:rFonts w:hint="eastAsia" w:cs="黑体"/>
                <w:sz w:val="24"/>
              </w:rPr>
              <w:t>1项</w:t>
            </w:r>
          </w:p>
        </w:tc>
      </w:tr>
      <w:bookmarkEnd w:id="0"/>
      <w:bookmarkEnd w:id="1"/>
    </w:tbl>
    <w:p w14:paraId="58E1AA0D">
      <w:pPr>
        <w:pStyle w:val="8"/>
        <w:spacing w:line="360" w:lineRule="auto"/>
        <w:ind w:left="101" w:leftChars="48" w:firstLine="494"/>
        <w:rPr>
          <w:rFonts w:hint="default" w:ascii="宋体" w:eastAsia="宋体" w:cs="黑体"/>
          <w:sz w:val="24"/>
          <w:lang w:val="en-US" w:eastAsia="zh-CN"/>
        </w:rPr>
      </w:pPr>
    </w:p>
    <w:p w14:paraId="766DE0DD">
      <w:pPr>
        <w:pStyle w:val="8"/>
        <w:spacing w:line="360" w:lineRule="auto"/>
        <w:ind w:left="101" w:leftChars="48" w:firstLine="494"/>
        <w:rPr>
          <w:rFonts w:ascii="宋体" w:eastAsia="宋体" w:cs="黑体"/>
          <w:sz w:val="24"/>
        </w:rPr>
      </w:pPr>
      <w:r>
        <w:rPr>
          <w:rFonts w:hint="eastAsia" w:ascii="宋体" w:eastAsia="宋体" w:cs="黑体"/>
          <w:sz w:val="24"/>
          <w:lang w:val="en-US" w:eastAsia="zh-CN"/>
        </w:rPr>
        <w:t>二</w:t>
      </w:r>
      <w:r>
        <w:rPr>
          <w:rFonts w:hint="eastAsia" w:ascii="宋体" w:eastAsia="宋体" w:cs="黑体"/>
          <w:sz w:val="24"/>
        </w:rPr>
        <w:t>、</w:t>
      </w:r>
      <w:r>
        <w:rPr>
          <w:rFonts w:hint="eastAsia" w:ascii="宋体" w:eastAsia="宋体" w:cs="黑体"/>
          <w:sz w:val="24"/>
          <w:lang w:val="en-US" w:eastAsia="zh-CN"/>
        </w:rPr>
        <w:t>维护</w:t>
      </w:r>
      <w:r>
        <w:rPr>
          <w:rFonts w:hint="eastAsia" w:ascii="宋体" w:eastAsia="宋体" w:cs="黑体"/>
          <w:sz w:val="24"/>
        </w:rPr>
        <w:t>服务要求</w:t>
      </w:r>
    </w:p>
    <w:p w14:paraId="32F96BC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sz w:val="24"/>
          <w:szCs w:val="24"/>
        </w:rPr>
        <w:t>本项目是针对</w:t>
      </w:r>
      <w:r>
        <w:rPr>
          <w:rFonts w:hint="eastAsia" w:ascii="宋体" w:hAnsi="宋体" w:eastAsia="宋体" w:cs="宋体"/>
          <w:sz w:val="24"/>
          <w:szCs w:val="24"/>
          <w:lang w:eastAsia="zh-CN"/>
        </w:rPr>
        <w:t>医疗质量与运营管控服务系统</w:t>
      </w:r>
      <w:r>
        <w:rPr>
          <w:rFonts w:hint="eastAsia" w:ascii="宋体" w:hAnsi="宋体" w:eastAsia="宋体" w:cs="宋体"/>
          <w:sz w:val="24"/>
          <w:szCs w:val="24"/>
        </w:rPr>
        <w:t>及相关接口进行运维的专项技术服务，</w:t>
      </w:r>
      <w:r>
        <w:rPr>
          <w:rFonts w:hint="eastAsia" w:ascii="宋体" w:hAnsi="宋体" w:eastAsia="宋体" w:cs="宋体"/>
          <w:sz w:val="24"/>
          <w:szCs w:val="24"/>
          <w:lang w:val="en-US" w:eastAsia="zh-CN"/>
        </w:rPr>
        <w:t>以</w:t>
      </w:r>
      <w:r>
        <w:rPr>
          <w:rFonts w:hint="eastAsia" w:ascii="宋体" w:hAnsi="宋体" w:eastAsia="宋体" w:cs="宋体"/>
          <w:color w:val="000000"/>
          <w:kern w:val="0"/>
          <w:sz w:val="24"/>
          <w:szCs w:val="24"/>
        </w:rPr>
        <w:t>及因国家医疗政策变动需对现有系统的升级改造等专项技术服务。</w:t>
      </w:r>
    </w:p>
    <w:p w14:paraId="14779B5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1、服务目标</w:t>
      </w:r>
    </w:p>
    <w:p w14:paraId="079B366E">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（1）保障系统的稳定性、可靠性、安全性和可恢复性；</w:t>
      </w:r>
    </w:p>
    <w:p w14:paraId="6229B2A5">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（2）故障的预防及出现故障后的及时响应与修复；</w:t>
      </w:r>
    </w:p>
    <w:p w14:paraId="6784995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（3）医院信息化建设的规划、方案等咨询服务。</w:t>
      </w:r>
    </w:p>
    <w:p w14:paraId="42B0D0AF">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2、服务范围</w:t>
      </w:r>
    </w:p>
    <w:p w14:paraId="1E8461FB">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（1）服务院区范围：</w:t>
      </w:r>
      <w:r>
        <w:rPr>
          <w:rFonts w:hint="eastAsia" w:ascii="宋体" w:hAnsi="宋体" w:eastAsia="宋体" w:cs="宋体"/>
          <w:color w:val="000000"/>
          <w:kern w:val="0"/>
          <w:sz w:val="24"/>
          <w:szCs w:val="24"/>
          <w:lang w:val="en-US" w:eastAsia="zh-CN"/>
        </w:rPr>
        <w:t>桂林市人民医院</w:t>
      </w:r>
      <w:r>
        <w:rPr>
          <w:rFonts w:hint="eastAsia" w:ascii="宋体" w:hAnsi="宋体" w:eastAsia="宋体" w:cs="宋体"/>
          <w:color w:val="000000"/>
          <w:kern w:val="0"/>
          <w:sz w:val="24"/>
          <w:szCs w:val="24"/>
        </w:rPr>
        <w:t>院区；</w:t>
      </w:r>
    </w:p>
    <w:p w14:paraId="5E4A8BA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（2）服务软件系统范围为医院</w:t>
      </w:r>
      <w:r>
        <w:rPr>
          <w:rFonts w:hint="eastAsia" w:ascii="宋体" w:hAnsi="宋体" w:eastAsia="宋体" w:cs="宋体"/>
          <w:color w:val="000000"/>
          <w:kern w:val="0"/>
          <w:sz w:val="24"/>
          <w:szCs w:val="24"/>
          <w:lang w:eastAsia="zh-CN"/>
        </w:rPr>
        <w:t>医疗质量与运营管控服务系统</w:t>
      </w:r>
      <w:r>
        <w:rPr>
          <w:rFonts w:hint="eastAsia" w:ascii="宋体" w:hAnsi="宋体" w:eastAsia="宋体" w:cs="宋体"/>
          <w:color w:val="000000"/>
          <w:kern w:val="0"/>
          <w:sz w:val="24"/>
          <w:szCs w:val="24"/>
        </w:rPr>
        <w:t>及配套</w:t>
      </w:r>
      <w:r>
        <w:rPr>
          <w:rFonts w:hint="eastAsia" w:ascii="宋体" w:hAnsi="宋体" w:eastAsia="宋体" w:cs="宋体"/>
          <w:color w:val="000000"/>
          <w:kern w:val="0"/>
          <w:sz w:val="24"/>
          <w:szCs w:val="24"/>
          <w:lang w:val="en-US" w:eastAsia="zh-CN"/>
        </w:rPr>
        <w:t>软件</w:t>
      </w:r>
      <w:r>
        <w:rPr>
          <w:rFonts w:hint="eastAsia" w:ascii="宋体" w:hAnsi="宋体" w:eastAsia="宋体" w:cs="宋体"/>
          <w:color w:val="000000"/>
          <w:kern w:val="0"/>
          <w:sz w:val="24"/>
          <w:szCs w:val="24"/>
        </w:rPr>
        <w:t>应用程序</w:t>
      </w:r>
      <w:r>
        <w:rPr>
          <w:rFonts w:hint="eastAsia" w:ascii="宋体" w:hAnsi="宋体" w:eastAsia="宋体" w:cs="宋体"/>
          <w:color w:val="000000"/>
          <w:sz w:val="24"/>
          <w:szCs w:val="24"/>
        </w:rPr>
        <w:t>；</w:t>
      </w:r>
    </w:p>
    <w:p w14:paraId="378DEF00">
      <w:pPr>
        <w:ind w:firstLine="480" w:firstLineChars="200"/>
        <w:rPr>
          <w:rFonts w:hint="eastAsia" w:ascii="宋体" w:hAnsi="宋体" w:eastAsia="宋体" w:cs="宋体"/>
          <w:sz w:val="24"/>
          <w:szCs w:val="24"/>
        </w:rPr>
      </w:pPr>
      <w:r>
        <w:rPr>
          <w:rFonts w:hint="eastAsia" w:ascii="宋体" w:hAnsi="宋体" w:eastAsia="宋体" w:cs="宋体"/>
          <w:sz w:val="24"/>
          <w:szCs w:val="24"/>
        </w:rPr>
        <w:t>（3）维保硬件范围为医院</w:t>
      </w:r>
      <w:r>
        <w:rPr>
          <w:rFonts w:hint="eastAsia" w:ascii="宋体" w:hAnsi="宋体" w:eastAsia="宋体" w:cs="宋体"/>
          <w:sz w:val="24"/>
          <w:szCs w:val="24"/>
          <w:lang w:eastAsia="zh-CN"/>
        </w:rPr>
        <w:t>医疗质量与运营管控服务系统</w:t>
      </w:r>
      <w:r>
        <w:rPr>
          <w:rFonts w:hint="eastAsia" w:ascii="宋体" w:hAnsi="宋体" w:eastAsia="宋体" w:cs="宋体"/>
          <w:sz w:val="24"/>
          <w:szCs w:val="24"/>
        </w:rPr>
        <w:t>相关的服务器、虚拟机、主机设备、操作系统、数据库、存储设备和网络设备等。</w:t>
      </w:r>
    </w:p>
    <w:p w14:paraId="52716B24">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3、服务内容</w:t>
      </w:r>
    </w:p>
    <w:p w14:paraId="012DF64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包括但不仅限于以下内容：</w:t>
      </w:r>
    </w:p>
    <w:p w14:paraId="7FBDCD1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（1）针对系统报错、程序BUG进行故障排除，并提供技术维护和支持；</w:t>
      </w:r>
    </w:p>
    <w:p w14:paraId="6756B0E7">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需根据医院要求完成流程优化、软件系统优化和系统新增业务需求改造，保障系统与医院第三方系统的接口稳定运行，按照医院要求完成与其它所有系统的接口对接，实现数据交互，包括但不限于地方医疗政策变动需进行的相关接口改造；</w:t>
      </w:r>
    </w:p>
    <w:p w14:paraId="41E6ABB9">
      <w:pPr>
        <w:widowControl/>
        <w:spacing w:line="560" w:lineRule="exact"/>
        <w:ind w:firstLine="480" w:firstLineChars="200"/>
        <w:jc w:val="left"/>
        <w:rPr>
          <w:rFonts w:hint="eastAsia" w:ascii="宋体" w:hAnsi="宋体" w:eastAsia="宋体" w:cs="宋体"/>
          <w:color w:val="000000"/>
          <w:kern w:val="0"/>
          <w:sz w:val="24"/>
          <w:szCs w:val="24"/>
          <w:highlight w:val="yellow"/>
        </w:rPr>
      </w:pPr>
      <w:r>
        <w:rPr>
          <w:rFonts w:hint="eastAsia" w:ascii="宋体" w:hAnsi="宋体" w:eastAsia="宋体" w:cs="宋体"/>
          <w:color w:val="000000"/>
          <w:kern w:val="0"/>
          <w:sz w:val="24"/>
          <w:szCs w:val="24"/>
        </w:rPr>
        <w:t>（3）软件系统升级、更新及相关统计数据的提取、汇总等工作，包括但不仅限于新增统计分析</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支持查询和导出；按照科室要求新增报告模版等；配合科室的业务发展新增检查项目以及对应的报告模版等；</w:t>
      </w:r>
    </w:p>
    <w:p w14:paraId="114F2B54">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（4）提供完整的数据运维服务,并对服务安全性负责；</w:t>
      </w:r>
    </w:p>
    <w:p w14:paraId="19DF783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（5）对新上线的系统、模块，提供接口对接、安装、部署、运维服务等；</w:t>
      </w:r>
    </w:p>
    <w:p w14:paraId="51C8D0D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（6）有重大活动或需要提供临时保障服务时，供应商要按院方要求增派其他技术力量进行支持；</w:t>
      </w:r>
    </w:p>
    <w:p w14:paraId="1D4845DB">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（7）进行运维知识库的建立和维护，对运维过程中出现的问题进行分类整理，有故障分析、解决方案、处理结果等内容并每半年提供一次书面报告；</w:t>
      </w:r>
    </w:p>
    <w:p w14:paraId="45BF96F1">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（8）提供系统运行健康检查及运行状况分析，每季度提交详细的系统可用性、安全性、运行状况分析等预防性维护策略、报告和总结；</w:t>
      </w:r>
    </w:p>
    <w:p w14:paraId="3D70DDFC">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（9）供应商在一个月之内建立系统档案，根据现状建立应急预案，并制定行之有效的防范措施；</w:t>
      </w:r>
    </w:p>
    <w:p w14:paraId="24616724">
      <w:pPr>
        <w:widowControl/>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（10）对医院“</w:t>
      </w:r>
      <w:r>
        <w:rPr>
          <w:rFonts w:hint="eastAsia" w:ascii="宋体" w:hAnsi="宋体" w:eastAsia="宋体" w:cs="宋体"/>
          <w:sz w:val="24"/>
          <w:szCs w:val="24"/>
          <w:lang w:eastAsia="zh-CN"/>
        </w:rPr>
        <w:t>医疗质量与运营管控服务系统</w:t>
      </w:r>
      <w:r>
        <w:rPr>
          <w:rFonts w:hint="eastAsia" w:ascii="宋体" w:hAnsi="宋体" w:eastAsia="宋体" w:cs="宋体"/>
          <w:sz w:val="24"/>
          <w:szCs w:val="24"/>
        </w:rPr>
        <w:t>”进行的持续优化改造或提供其他服务产生的知识产权的所有权均归甲方所有，</w:t>
      </w:r>
      <w:r>
        <w:rPr>
          <w:rFonts w:hint="eastAsia" w:ascii="宋体" w:hAnsi="宋体" w:eastAsia="宋体" w:cs="宋体"/>
          <w:color w:val="000000"/>
          <w:kern w:val="0"/>
          <w:sz w:val="24"/>
          <w:szCs w:val="24"/>
        </w:rPr>
        <w:t>供应商</w:t>
      </w:r>
      <w:r>
        <w:rPr>
          <w:rFonts w:hint="eastAsia" w:ascii="宋体" w:hAnsi="宋体" w:eastAsia="宋体" w:cs="宋体"/>
          <w:sz w:val="24"/>
          <w:szCs w:val="24"/>
        </w:rPr>
        <w:t>不得在本合同以外使用，更不得向任何第三方泄露；</w:t>
      </w:r>
      <w:bookmarkStart w:id="2" w:name="_GoBack"/>
      <w:bookmarkEnd w:id="2"/>
    </w:p>
    <w:p w14:paraId="004F2FFD">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（11）负责对院方使用人员进行相关业务培训并提供培训资料；</w:t>
      </w:r>
    </w:p>
    <w:p w14:paraId="406C0158">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r>
        <w:rPr>
          <w:rFonts w:hint="eastAsia" w:ascii="宋体" w:hAnsi="宋体" w:eastAsia="宋体" w:cs="宋体"/>
          <w:sz w:val="24"/>
          <w:szCs w:val="24"/>
        </w:rPr>
        <w:t>提供7*24小时远程技术支持服务和电话技术支持服务。接到用户的技术支持请求或故障报告后，将立即以电话方式取得联系，并指导用户解决问题。通常系统故障,1小时内立即响应，提供实时响应远程解决。电话或远程支持无法解决的问题提供现场技术支持，保证</w:t>
      </w:r>
      <w:r>
        <w:rPr>
          <w:rFonts w:hint="eastAsia" w:ascii="宋体" w:hAnsi="宋体" w:eastAsia="宋体" w:cs="宋体"/>
          <w:sz w:val="24"/>
          <w:szCs w:val="24"/>
          <w:lang w:val="en-US" w:eastAsia="zh-CN"/>
        </w:rPr>
        <w:t>2</w:t>
      </w:r>
      <w:r>
        <w:rPr>
          <w:rFonts w:hint="eastAsia" w:ascii="宋体" w:hAnsi="宋体" w:eastAsia="宋体" w:cs="宋体"/>
          <w:sz w:val="24"/>
          <w:szCs w:val="24"/>
        </w:rPr>
        <w:t>4小时内到现场，并妥善解决；</w:t>
      </w:r>
      <w:r>
        <w:rPr>
          <w:rFonts w:hint="eastAsia" w:ascii="宋体" w:hAnsi="宋体" w:eastAsia="宋体" w:cs="宋体"/>
          <w:color w:val="000000"/>
          <w:kern w:val="0"/>
          <w:sz w:val="24"/>
          <w:szCs w:val="24"/>
        </w:rPr>
        <w:t>6小时内不能解决问题时马上提供备用方案；供应商指派的维护人员需严格遵守医院的相关管理规定及操作流程；</w:t>
      </w:r>
    </w:p>
    <w:p w14:paraId="3718B05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r>
        <w:rPr>
          <w:rFonts w:hint="eastAsia" w:ascii="宋体" w:hAnsi="宋体" w:eastAsia="宋体" w:cs="宋体"/>
          <w:sz w:val="24"/>
          <w:szCs w:val="24"/>
        </w:rPr>
        <w:t>日常巡检服务，每季度不少于一次巡检，国家法定节假日、重大事件前按医院要求到现场对系统进行全面检查，</w:t>
      </w:r>
      <w:r>
        <w:rPr>
          <w:rFonts w:hint="eastAsia" w:ascii="宋体" w:hAnsi="宋体" w:eastAsia="宋体" w:cs="宋体"/>
          <w:color w:val="000000"/>
          <w:kern w:val="0"/>
          <w:sz w:val="24"/>
          <w:szCs w:val="24"/>
        </w:rPr>
        <w:t>巡检结束后3工作日内提供巡检报告、风险评估与质量持续改进计划；巡检内容包括但不仅限于：检查设备运行情况、收集系统最新运行信息、根据系统运行情况和医院业务要求提出合理化建议、核查系统运行环境、查看各系统运行信息，分析错误记录等；</w:t>
      </w:r>
    </w:p>
    <w:p w14:paraId="64EEF7CB">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（14）涉及</w:t>
      </w:r>
      <w:r>
        <w:rPr>
          <w:rFonts w:hint="eastAsia" w:ascii="宋体" w:hAnsi="宋体" w:eastAsia="宋体" w:cs="宋体"/>
          <w:color w:val="000000"/>
          <w:kern w:val="0"/>
          <w:sz w:val="24"/>
          <w:szCs w:val="24"/>
          <w:lang w:eastAsia="zh-CN"/>
        </w:rPr>
        <w:t>医疗质量与运营管控服务系统</w:t>
      </w:r>
      <w:r>
        <w:rPr>
          <w:rFonts w:hint="eastAsia" w:ascii="宋体" w:hAnsi="宋体" w:eastAsia="宋体" w:cs="宋体"/>
          <w:color w:val="000000"/>
          <w:kern w:val="0"/>
          <w:sz w:val="24"/>
          <w:szCs w:val="24"/>
        </w:rPr>
        <w:t>的服务器、数据库、客户端等迁移需求，应积极配合，迁移所需的费用包含在年维护费中；</w:t>
      </w:r>
    </w:p>
    <w:p w14:paraId="3E89494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（15）供应商在每次故障处理完成后，向医院提交维护记录。对于原因复杂的技术故障，供应商在三个工作日内向医院提交故障处理报告和进一步防范建议；每次解决问题之后提供闭环回复；</w:t>
      </w:r>
    </w:p>
    <w:p w14:paraId="2D87CFF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（16）供应商提供辅助故障定位服务，以协助解决涉及多种设备的业务故障；</w:t>
      </w:r>
    </w:p>
    <w:p w14:paraId="532D778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（17）</w:t>
      </w:r>
      <w:r>
        <w:rPr>
          <w:rFonts w:hint="eastAsia" w:ascii="宋体" w:hAnsi="宋体" w:eastAsia="宋体" w:cs="宋体"/>
          <w:color w:val="000000"/>
          <w:kern w:val="0"/>
          <w:sz w:val="24"/>
          <w:szCs w:val="24"/>
        </w:rPr>
        <w:t>对系统使用中存在的性能缺陷、功能错误进行优化升级。</w:t>
      </w:r>
    </w:p>
    <w:p w14:paraId="1C7A00F0">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18</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数据库优化升级，优化数据库提高系统运行速度，对于数据库参数方面的优化工作，可提出建议和要求，并辅助数据库厂商或者医院信息管理部门进行数据库性能优化。</w:t>
      </w:r>
    </w:p>
    <w:p w14:paraId="7480626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rPr>
        <w:t>）供应商不得将医院任何的数据、口令、资料外泄，项目实施前双方签订信息安全保密协议；</w:t>
      </w:r>
    </w:p>
    <w:p w14:paraId="599C1274">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供应商须制定详细的维护人员配置计划，指定项目经理及各专业技术人员组成项目组，负责完成各项维护支持工作，并制定严格的岗位职责；需制定详细的响应流程与工作流程，如项目组解决不了的问题，供应商负责协调其他有经验的工程师到现场解决问题，解决周期不能超出合同约定的故障排除时间；</w:t>
      </w:r>
    </w:p>
    <w:p w14:paraId="1138864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21</w:t>
      </w:r>
      <w:r>
        <w:rPr>
          <w:rFonts w:hint="eastAsia" w:ascii="宋体" w:hAnsi="宋体" w:eastAsia="宋体" w:cs="宋体"/>
          <w:color w:val="000000"/>
          <w:kern w:val="0"/>
          <w:sz w:val="24"/>
          <w:szCs w:val="24"/>
        </w:rPr>
        <w:t>）供应商的技术支持人员上岗前必须签订安全保密责任书，现场维护期间必须遵守医院的各项规章制度，技术维护小组人员在医院工作期间或离开医院后，如果发生失密、泄密事故，都将追究供应商及其个人的法律责任；严格遵守国家法律法规和医院制定的相关制度，在系统维保过程中来源于医院的数据、信息（包括但不限于患者信息、医生信息、病例信息、临床数据等非公开的、保密的或敏感的信息和数据）予以保密，只在正常使用系统产品的范围内进行使用。不向任何未经院方授权的第三方提供医院的任何数据及信息；</w:t>
      </w:r>
    </w:p>
    <w:p w14:paraId="15520417">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）技术支持人员要建立服务工作日志等按季度报予医院信息科，信息科有权对支持小组人员的工作完成情况、工作态度等做出评定，评定不合格的，信息科有权要求供应商更换技术支持人员；</w:t>
      </w:r>
    </w:p>
    <w:p w14:paraId="4AC5E74C">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技术支持人员的安全责任及相关行为由供应商担保，在现场工作期间发生盗窃、泄密或故意损坏设备等事故，除依法追究个人有关责任外，供应商还将承担事故造成的法律责任并赔偿相关经济损失。技术支持人员在现场服务期间发生的任何意外均由供应商承担；</w:t>
      </w:r>
    </w:p>
    <w:p w14:paraId="5B07D79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）院方安排的其他临时性任务。</w:t>
      </w:r>
    </w:p>
    <w:p w14:paraId="61FF125F">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4.维护</w:t>
      </w:r>
      <w:r>
        <w:rPr>
          <w:rFonts w:hint="eastAsia" w:ascii="宋体" w:hAnsi="宋体" w:eastAsia="宋体" w:cs="宋体"/>
          <w:color w:val="000000"/>
          <w:kern w:val="0"/>
          <w:sz w:val="24"/>
          <w:szCs w:val="24"/>
        </w:rPr>
        <w:t>人员要求</w:t>
      </w:r>
    </w:p>
    <w:p w14:paraId="3F7B2DB7">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组建专项运维服务团队，包括项目经理（需具备3年以上同类项目的运维管理经验）、技术开发、实施工程师（需具备多个同类项目现场实施与交付经验）、运维对接人（7×24小时热线支持）各1人。对系统存在重大故障的，需安排实施工程师提供驻场支持与维护服务。</w:t>
      </w:r>
    </w:p>
    <w:p w14:paraId="395F95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A47B58"/>
    <w:rsid w:val="10AC0C93"/>
    <w:rsid w:val="12670401"/>
    <w:rsid w:val="12853648"/>
    <w:rsid w:val="164C043F"/>
    <w:rsid w:val="1BAB77F5"/>
    <w:rsid w:val="225A0691"/>
    <w:rsid w:val="22BA7428"/>
    <w:rsid w:val="2B632B65"/>
    <w:rsid w:val="2CC87124"/>
    <w:rsid w:val="315F3844"/>
    <w:rsid w:val="3949339B"/>
    <w:rsid w:val="4B200B27"/>
    <w:rsid w:val="4CCF64F6"/>
    <w:rsid w:val="55AA7ADC"/>
    <w:rsid w:val="60E84F41"/>
    <w:rsid w:val="76637DDF"/>
    <w:rsid w:val="77245A86"/>
    <w:rsid w:val="7E550637"/>
    <w:rsid w:val="7FBE3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6"/>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character" w:customStyle="1" w:styleId="6">
    <w:name w:val="标题 3 Char"/>
    <w:link w:val="2"/>
    <w:qFormat/>
    <w:uiPriority w:val="99"/>
    <w:rPr>
      <w:rFonts w:ascii="Calibri" w:hAnsi="Calibri" w:eastAsia="宋体" w:cs="Times New Roman"/>
      <w:kern w:val="2"/>
      <w:sz w:val="28"/>
      <w:szCs w:val="22"/>
      <w:lang w:val="en-US" w:eastAsia="zh-CN" w:bidi="ar-SA"/>
    </w:rPr>
  </w:style>
  <w:style w:type="paragraph" w:customStyle="1" w:styleId="7">
    <w:name w:val="列出段落1"/>
    <w:basedOn w:val="1"/>
    <w:qFormat/>
    <w:uiPriority w:val="34"/>
    <w:pPr>
      <w:ind w:firstLine="420" w:firstLineChars="200"/>
    </w:pPr>
    <w:rPr>
      <w:rFonts w:ascii="Calibri" w:hAnsi="Calibri"/>
      <w:sz w:val="24"/>
      <w:szCs w:val="22"/>
    </w:rPr>
  </w:style>
  <w:style w:type="paragraph" w:customStyle="1" w:styleId="8">
    <w:name w:val="正文缩进2格"/>
    <w:basedOn w:val="1"/>
    <w:autoRedefine/>
    <w:qFormat/>
    <w:uiPriority w:val="0"/>
    <w:pPr>
      <w:spacing w:line="600" w:lineRule="exact"/>
      <w:ind w:firstLine="639" w:firstLineChars="206"/>
    </w:pPr>
    <w:rPr>
      <w:rFonts w:ascii="仿宋_GB2312" w:hAnsi="宋体" w:eastAsia="仿宋_GB2312"/>
      <w:sz w:val="31"/>
    </w:rPr>
  </w:style>
  <w:style w:type="paragraph" w:customStyle="1" w:styleId="9">
    <w:name w:val="表首"/>
    <w:basedOn w:val="1"/>
    <w:qFormat/>
    <w:uiPriority w:val="0"/>
    <w:pPr>
      <w:widowControl/>
      <w:jc w:val="center"/>
    </w:pPr>
    <w:rPr>
      <w:rFonts w:ascii="宋体" w:hAnsi="宋体" w:eastAsia="宋体" w:cs="宋体"/>
      <w:b/>
    </w:rPr>
  </w:style>
  <w:style w:type="paragraph" w:customStyle="1" w:styleId="10">
    <w:name w:val="表正文"/>
    <w:basedOn w:val="1"/>
    <w:next w:val="1"/>
    <w:qFormat/>
    <w:uiPriority w:val="0"/>
    <w:pPr>
      <w:widowControl/>
      <w:jc w:val="left"/>
    </w:pPr>
    <w:rPr>
      <w:rFonts w:ascii="宋体" w:hAnsi="宋体"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2414</Words>
  <Characters>2442</Characters>
  <Lines>0</Lines>
  <Paragraphs>0</Paragraphs>
  <TotalTime>7</TotalTime>
  <ScaleCrop>false</ScaleCrop>
  <LinksUpToDate>false</LinksUpToDate>
  <CharactersWithSpaces>2443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2026-04-21T02:24:04Z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EA809D74FBF24CD79F3DE4B4D794A8D3_13</vt:lpwstr>
  </property>
  <property fmtid="{D5CDD505-2E9C-101B-9397-08002B2CF9AE}" pid="4" name="KSOTemplateDocerSaveRecord">
    <vt:lpwstr>eyJoZGlkIjoiODJhZjYxNmNlMWQyYTI4MDdkNDQzYWM1MDViY2VlZTMiLCJ1c2VySWQiOiI0MzYyNDA5MDIifQ==</vt:lpwstr>
  </property>
</Properties>
</file>