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B66AE">
      <w:pPr>
        <w:spacing w:line="360" w:lineRule="auto"/>
        <w:jc w:val="center"/>
        <w:rPr>
          <w:rFonts w:hint="eastAsia" w:ascii="宋体" w:hAnsi="宋体" w:cs="宋体"/>
          <w:b/>
          <w:szCs w:val="21"/>
          <w:lang w:val="en-US" w:eastAsia="zh-CN"/>
        </w:rPr>
      </w:pPr>
      <w:r>
        <w:rPr>
          <w:rFonts w:hint="eastAsia" w:ascii="宋体" w:hAnsi="宋体" w:cs="宋体"/>
          <w:b/>
          <w:szCs w:val="21"/>
          <w:lang w:val="en-US" w:eastAsia="zh-CN"/>
        </w:rPr>
        <w:t>影像</w:t>
      </w:r>
      <w:r>
        <w:rPr>
          <w:rFonts w:hint="eastAsia" w:ascii="宋体" w:hAnsi="宋体" w:cs="宋体"/>
          <w:b/>
          <w:szCs w:val="21"/>
        </w:rPr>
        <w:t>存储</w:t>
      </w:r>
      <w:r>
        <w:rPr>
          <w:rFonts w:hint="eastAsia" w:ascii="宋体" w:hAnsi="宋体" w:cs="宋体"/>
          <w:b/>
          <w:szCs w:val="21"/>
          <w:lang w:val="en-US" w:eastAsia="zh-CN"/>
        </w:rPr>
        <w:t>和服务器内存</w:t>
      </w:r>
      <w:r>
        <w:rPr>
          <w:rFonts w:hint="eastAsia" w:ascii="宋体" w:hAnsi="宋体" w:cs="宋体"/>
          <w:b/>
          <w:szCs w:val="21"/>
        </w:rPr>
        <w:t>升级扩容</w:t>
      </w:r>
      <w:r>
        <w:rPr>
          <w:rFonts w:hint="eastAsia" w:ascii="宋体" w:hAnsi="宋体" w:cs="宋体"/>
          <w:b/>
          <w:szCs w:val="21"/>
          <w:lang w:val="en-US" w:eastAsia="zh-CN"/>
        </w:rPr>
        <w:t>采购-需求参数</w:t>
      </w:r>
    </w:p>
    <w:p w14:paraId="7630D0C8">
      <w:pPr>
        <w:spacing w:line="360" w:lineRule="auto"/>
        <w:jc w:val="center"/>
        <w:rPr>
          <w:rFonts w:hint="eastAsia" w:ascii="宋体" w:hAnsi="宋体" w:cs="宋体"/>
          <w:b/>
          <w:szCs w:val="21"/>
          <w:lang w:val="en-US" w:eastAsia="zh-CN"/>
        </w:rPr>
      </w:pPr>
    </w:p>
    <w:tbl>
      <w:tblPr>
        <w:tblStyle w:val="6"/>
        <w:tblW w:w="10332" w:type="dxa"/>
        <w:jc w:val="center"/>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
      <w:tblGrid>
        <w:gridCol w:w="599"/>
        <w:gridCol w:w="750"/>
        <w:gridCol w:w="7771"/>
        <w:gridCol w:w="582"/>
        <w:gridCol w:w="630"/>
      </w:tblGrid>
      <w:tr w14:paraId="2A8089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57"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D0A48D">
            <w:pPr>
              <w:spacing w:line="360" w:lineRule="auto"/>
              <w:jc w:val="center"/>
              <w:rPr>
                <w:rFonts w:ascii="宋体" w:hAnsi="宋体" w:cs="宋体"/>
                <w:b/>
                <w:szCs w:val="21"/>
              </w:rPr>
            </w:pPr>
            <w:r>
              <w:rPr>
                <w:rFonts w:hint="eastAsia" w:ascii="宋体" w:hAnsi="宋体" w:cs="宋体"/>
                <w:b/>
                <w:szCs w:val="21"/>
              </w:rPr>
              <w:t>项号</w:t>
            </w:r>
          </w:p>
        </w:tc>
        <w:tc>
          <w:tcPr>
            <w:tcW w:w="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E623BC">
            <w:pPr>
              <w:spacing w:line="360" w:lineRule="auto"/>
              <w:jc w:val="center"/>
              <w:rPr>
                <w:rFonts w:ascii="宋体" w:hAnsi="宋体" w:cs="宋体"/>
                <w:b/>
                <w:szCs w:val="21"/>
              </w:rPr>
            </w:pPr>
            <w:r>
              <w:rPr>
                <w:rFonts w:hint="eastAsia" w:ascii="宋体" w:hAnsi="宋体" w:cs="宋体"/>
                <w:b/>
                <w:szCs w:val="21"/>
              </w:rPr>
              <w:t>货物</w:t>
            </w:r>
          </w:p>
          <w:p w14:paraId="774CABBE">
            <w:pPr>
              <w:spacing w:line="360" w:lineRule="auto"/>
              <w:jc w:val="center"/>
              <w:rPr>
                <w:rFonts w:ascii="宋体" w:hAnsi="宋体" w:cs="宋体"/>
                <w:b/>
                <w:szCs w:val="21"/>
              </w:rPr>
            </w:pPr>
            <w:r>
              <w:rPr>
                <w:rFonts w:hint="eastAsia" w:ascii="宋体" w:hAnsi="宋体" w:cs="宋体"/>
                <w:b/>
                <w:szCs w:val="21"/>
              </w:rPr>
              <w:t>名称</w:t>
            </w:r>
          </w:p>
        </w:tc>
        <w:tc>
          <w:tcPr>
            <w:tcW w:w="77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CFC4A3">
            <w:pPr>
              <w:spacing w:line="360" w:lineRule="auto"/>
              <w:jc w:val="center"/>
              <w:rPr>
                <w:rFonts w:ascii="宋体" w:hAnsi="宋体" w:cs="宋体"/>
                <w:b/>
                <w:szCs w:val="21"/>
              </w:rPr>
            </w:pPr>
            <w:r>
              <w:rPr>
                <w:rFonts w:hint="eastAsia" w:ascii="宋体" w:hAnsi="宋体" w:cs="宋体"/>
                <w:b/>
                <w:szCs w:val="21"/>
              </w:rPr>
              <w:t>配置参数</w:t>
            </w:r>
          </w:p>
        </w:tc>
        <w:tc>
          <w:tcPr>
            <w:tcW w:w="5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5C1925">
            <w:pPr>
              <w:spacing w:line="360" w:lineRule="auto"/>
              <w:jc w:val="center"/>
              <w:rPr>
                <w:rFonts w:ascii="宋体" w:hAnsi="宋体" w:cs="宋体"/>
                <w:b/>
                <w:szCs w:val="21"/>
              </w:rPr>
            </w:pPr>
            <w:r>
              <w:rPr>
                <w:rFonts w:hint="eastAsia" w:ascii="宋体" w:hAnsi="宋体" w:cs="宋体"/>
                <w:b/>
                <w:szCs w:val="21"/>
              </w:rPr>
              <w:t>数量</w:t>
            </w:r>
          </w:p>
        </w:tc>
        <w:tc>
          <w:tcPr>
            <w:tcW w:w="6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A6C23D">
            <w:pPr>
              <w:spacing w:line="360" w:lineRule="auto"/>
              <w:jc w:val="center"/>
              <w:rPr>
                <w:rFonts w:ascii="宋体" w:hAnsi="宋体" w:cs="宋体"/>
                <w:b/>
                <w:szCs w:val="21"/>
              </w:rPr>
            </w:pPr>
            <w:r>
              <w:rPr>
                <w:rFonts w:hint="eastAsia" w:ascii="宋体" w:hAnsi="宋体" w:cs="宋体"/>
                <w:b/>
                <w:szCs w:val="21"/>
              </w:rPr>
              <w:t>单位</w:t>
            </w:r>
          </w:p>
        </w:tc>
      </w:tr>
      <w:tr w14:paraId="0B9AF4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0"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E2D6A17">
            <w:pPr>
              <w:spacing w:line="360" w:lineRule="auto"/>
              <w:jc w:val="center"/>
              <w:rPr>
                <w:rFonts w:ascii="宋体" w:hAnsi="宋体" w:cs="宋体" w:eastAsiaTheme="minorEastAsia"/>
                <w:szCs w:val="21"/>
              </w:rPr>
            </w:pPr>
            <w:r>
              <w:rPr>
                <w:rFonts w:hint="eastAsia" w:asciiTheme="minorEastAsia" w:hAnsiTheme="minorEastAsia" w:cstheme="minorEastAsia"/>
                <w:szCs w:val="21"/>
              </w:rPr>
              <w:t>1</w:t>
            </w:r>
          </w:p>
        </w:tc>
        <w:tc>
          <w:tcPr>
            <w:tcW w:w="7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0CCAD94">
            <w:pPr>
              <w:spacing w:line="360" w:lineRule="auto"/>
              <w:jc w:val="center"/>
              <w:textAlignment w:val="center"/>
              <w:rPr>
                <w:rFonts w:ascii="宋体" w:hAnsi="宋体" w:cs="宋体" w:eastAsiaTheme="minorEastAsia"/>
                <w:szCs w:val="21"/>
              </w:rPr>
            </w:pPr>
            <w:r>
              <w:rPr>
                <w:rFonts w:hint="eastAsia" w:ascii="宋体" w:hAnsi="宋体" w:eastAsia="宋体" w:cs="宋体"/>
                <w:color w:val="auto"/>
                <w:kern w:val="0"/>
                <w:szCs w:val="21"/>
                <w:highlight w:val="none"/>
              </w:rPr>
              <w:t>全闪存</w:t>
            </w:r>
            <w:r>
              <w:rPr>
                <w:rFonts w:hint="eastAsia" w:ascii="宋体" w:hAnsi="宋体" w:eastAsia="宋体" w:cs="宋体"/>
                <w:color w:val="auto"/>
                <w:kern w:val="0"/>
                <w:szCs w:val="21"/>
                <w:highlight w:val="none"/>
                <w:lang w:val="en-US" w:eastAsia="zh-CN"/>
              </w:rPr>
              <w:t>影像</w:t>
            </w:r>
            <w:r>
              <w:rPr>
                <w:rFonts w:hint="eastAsia" w:ascii="宋体" w:hAnsi="宋体" w:eastAsia="宋体" w:cs="宋体"/>
                <w:color w:val="auto"/>
                <w:kern w:val="0"/>
                <w:szCs w:val="21"/>
                <w:highlight w:val="none"/>
              </w:rPr>
              <w:t>存储</w:t>
            </w:r>
            <w:r>
              <w:rPr>
                <w:rFonts w:hint="eastAsia" w:ascii="宋体" w:hAnsi="宋体" w:eastAsia="宋体" w:cs="宋体"/>
                <w:color w:val="auto"/>
                <w:szCs w:val="21"/>
                <w:highlight w:val="none"/>
                <w:lang w:val="en-US" w:eastAsia="zh-CN"/>
              </w:rPr>
              <w:t>扩容</w:t>
            </w:r>
          </w:p>
        </w:tc>
        <w:tc>
          <w:tcPr>
            <w:tcW w:w="77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BF576D">
            <w:pPr>
              <w:spacing w:line="360" w:lineRule="auto"/>
              <w:jc w:val="left"/>
              <w:textAlignment w:val="center"/>
              <w:rPr>
                <w:rFonts w:hint="eastAsia" w:ascii="宋体" w:hAnsi="宋体" w:eastAsia="宋体" w:cs="宋体"/>
                <w:color w:val="auto"/>
                <w:kern w:val="0"/>
                <w:sz w:val="18"/>
                <w:szCs w:val="18"/>
                <w:highlight w:val="none"/>
              </w:rPr>
            </w:pPr>
            <w:r>
              <w:rPr>
                <w:rFonts w:hint="eastAsia" w:asciiTheme="minorEastAsia" w:hAnsiTheme="minorEastAsia" w:eastAsiaTheme="minorEastAsia" w:cstheme="minorEastAsia"/>
                <w:kern w:val="0"/>
                <w:sz w:val="18"/>
                <w:szCs w:val="18"/>
              </w:rPr>
              <w:t>1、全闪存存储架构，仅支持固态硬盘，不支持机械硬盘，</w:t>
            </w:r>
            <w:r>
              <w:rPr>
                <w:rFonts w:hint="eastAsia" w:asciiTheme="minorEastAsia" w:hAnsiTheme="minorEastAsia" w:cstheme="minorEastAsia"/>
                <w:kern w:val="0"/>
                <w:sz w:val="18"/>
                <w:szCs w:val="18"/>
              </w:rPr>
              <w:t>须</w:t>
            </w:r>
            <w:r>
              <w:rPr>
                <w:rFonts w:hint="eastAsia" w:asciiTheme="minorEastAsia" w:hAnsiTheme="minorEastAsia" w:eastAsiaTheme="minorEastAsia" w:cstheme="minorEastAsia"/>
                <w:kern w:val="0"/>
                <w:sz w:val="18"/>
                <w:szCs w:val="18"/>
              </w:rPr>
              <w:t>与医院现有华为OceanStor Dorado 2</w:t>
            </w:r>
            <w:r>
              <w:rPr>
                <w:rFonts w:hint="eastAsia" w:asciiTheme="minorEastAsia" w:hAnsiTheme="minorEastAsia" w:cstheme="minorEastAsia"/>
                <w:kern w:val="0"/>
                <w:sz w:val="18"/>
                <w:szCs w:val="18"/>
                <w:lang w:val="en-US" w:eastAsia="zh-CN"/>
              </w:rPr>
              <w:t>1</w:t>
            </w:r>
            <w:r>
              <w:rPr>
                <w:rFonts w:hint="eastAsia" w:asciiTheme="minorEastAsia" w:hAnsiTheme="minorEastAsia" w:eastAsiaTheme="minorEastAsia" w:cstheme="minorEastAsia"/>
                <w:kern w:val="0"/>
                <w:sz w:val="18"/>
                <w:szCs w:val="18"/>
              </w:rPr>
              <w:t>00全闪存存储实现</w:t>
            </w:r>
            <w:r>
              <w:rPr>
                <w:rFonts w:hint="eastAsia" w:asciiTheme="minorEastAsia" w:hAnsiTheme="minorEastAsia" w:cstheme="minorEastAsia"/>
                <w:kern w:val="0"/>
                <w:sz w:val="18"/>
                <w:szCs w:val="18"/>
                <w:lang w:val="en-US" w:eastAsia="zh-CN"/>
              </w:rPr>
              <w:t>节点</w:t>
            </w:r>
            <w:r>
              <w:rPr>
                <w:rFonts w:hint="eastAsia" w:asciiTheme="minorEastAsia" w:hAnsiTheme="minorEastAsia" w:cstheme="minorEastAsia"/>
                <w:kern w:val="0"/>
                <w:sz w:val="18"/>
                <w:szCs w:val="18"/>
              </w:rPr>
              <w:t>扩容功能</w:t>
            </w:r>
            <w:r>
              <w:rPr>
                <w:rFonts w:hint="eastAsia" w:asciiTheme="minorEastAsia" w:hAnsiTheme="minorEastAsia" w:cstheme="minorEastAsia"/>
                <w:kern w:val="0"/>
                <w:sz w:val="18"/>
                <w:szCs w:val="18"/>
                <w:lang w:eastAsia="zh-CN"/>
              </w:rPr>
              <w:t>，</w:t>
            </w:r>
            <w:r>
              <w:rPr>
                <w:rFonts w:hint="eastAsia" w:ascii="宋体" w:hAnsi="宋体" w:eastAsia="宋体" w:cs="宋体"/>
                <w:sz w:val="18"/>
                <w:szCs w:val="18"/>
              </w:rPr>
              <w:t>提供配套无损数据迁移服务。</w:t>
            </w:r>
          </w:p>
          <w:p w14:paraId="63F2821C">
            <w:pPr>
              <w:spacing w:line="360" w:lineRule="auto"/>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2、采用分布式文件系统，文件系统无控制器归属，单个文件系统支持负载均衡到所有控制器间上；</w:t>
            </w:r>
          </w:p>
          <w:p w14:paraId="6902384E">
            <w:pPr>
              <w:spacing w:line="360" w:lineRule="auto"/>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3</w:t>
            </w:r>
            <w:r>
              <w:rPr>
                <w:rFonts w:hint="eastAsia" w:ascii="宋体" w:hAnsi="宋体" w:eastAsia="宋体" w:cs="宋体"/>
                <w:color w:val="auto"/>
                <w:kern w:val="0"/>
                <w:sz w:val="18"/>
                <w:szCs w:val="18"/>
                <w:highlight w:val="none"/>
              </w:rPr>
              <w:t>、本次</w:t>
            </w:r>
            <w:r>
              <w:rPr>
                <w:rFonts w:hint="eastAsia" w:ascii="宋体" w:hAnsi="宋体" w:eastAsia="宋体" w:cs="宋体"/>
                <w:color w:val="auto"/>
                <w:kern w:val="0"/>
                <w:sz w:val="18"/>
                <w:szCs w:val="18"/>
                <w:highlight w:val="none"/>
                <w:lang w:val="en-US" w:eastAsia="zh-CN"/>
              </w:rPr>
              <w:t>节点扩容</w:t>
            </w:r>
            <w:r>
              <w:rPr>
                <w:rFonts w:hint="eastAsia" w:ascii="宋体" w:hAnsi="宋体" w:eastAsia="宋体" w:cs="宋体"/>
                <w:color w:val="auto"/>
                <w:kern w:val="0"/>
                <w:sz w:val="18"/>
                <w:szCs w:val="18"/>
                <w:highlight w:val="none"/>
              </w:rPr>
              <w:t>配置≥</w:t>
            </w:r>
            <w:r>
              <w:rPr>
                <w:rFonts w:hint="eastAsia" w:ascii="宋体" w:hAnsi="宋体" w:cs="宋体"/>
                <w:color w:val="auto"/>
                <w:kern w:val="0"/>
                <w:sz w:val="18"/>
                <w:szCs w:val="18"/>
                <w:highlight w:val="none"/>
                <w:lang w:val="en-US" w:eastAsia="zh-CN"/>
              </w:rPr>
              <w:t>18</w:t>
            </w:r>
            <w:r>
              <w:rPr>
                <w:rFonts w:hint="eastAsia" w:ascii="宋体" w:hAnsi="宋体" w:eastAsia="宋体" w:cs="宋体"/>
                <w:color w:val="auto"/>
                <w:kern w:val="0"/>
                <w:sz w:val="18"/>
                <w:szCs w:val="18"/>
                <w:highlight w:val="none"/>
              </w:rPr>
              <w:t>块3.84TB SSD SAS硬盘及相应硬盘框；</w:t>
            </w:r>
          </w:p>
          <w:p w14:paraId="3D29E854">
            <w:pPr>
              <w:spacing w:line="360" w:lineRule="auto"/>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4</w:t>
            </w:r>
            <w:r>
              <w:rPr>
                <w:rFonts w:hint="eastAsia" w:ascii="宋体" w:hAnsi="宋体" w:eastAsia="宋体" w:cs="宋体"/>
                <w:color w:val="auto"/>
                <w:kern w:val="0"/>
                <w:sz w:val="18"/>
                <w:szCs w:val="18"/>
                <w:highlight w:val="none"/>
              </w:rPr>
              <w:t>、</w:t>
            </w:r>
            <w:r>
              <w:rPr>
                <w:rFonts w:hint="eastAsia" w:ascii="宋体" w:hAnsi="宋体" w:eastAsia="宋体" w:cs="宋体"/>
                <w:color w:val="auto"/>
                <w:kern w:val="0"/>
                <w:sz w:val="18"/>
                <w:szCs w:val="18"/>
                <w:highlight w:val="none"/>
                <w:lang w:val="en-US" w:eastAsia="zh-CN"/>
              </w:rPr>
              <w:t>产品</w:t>
            </w:r>
            <w:r>
              <w:rPr>
                <w:rFonts w:hint="eastAsia" w:ascii="宋体" w:hAnsi="宋体" w:eastAsia="宋体" w:cs="宋体"/>
                <w:color w:val="auto"/>
                <w:kern w:val="0"/>
                <w:sz w:val="18"/>
                <w:szCs w:val="18"/>
                <w:highlight w:val="none"/>
              </w:rPr>
              <w:t>支持无中断升级，升级前无需在业务主机侧做相应准备工作</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不影响主机现有程序运行</w:t>
            </w:r>
            <w:r>
              <w:rPr>
                <w:rFonts w:hint="eastAsia" w:ascii="宋体" w:hAnsi="宋体" w:eastAsia="宋体" w:cs="宋体"/>
                <w:color w:val="auto"/>
                <w:kern w:val="0"/>
                <w:sz w:val="18"/>
                <w:szCs w:val="18"/>
                <w:highlight w:val="none"/>
              </w:rPr>
              <w:t>。</w:t>
            </w:r>
            <w:bookmarkStart w:id="0" w:name="OLE_LINK7"/>
            <w:r>
              <w:rPr>
                <w:rFonts w:hint="eastAsia" w:ascii="宋体" w:hAnsi="宋体" w:eastAsia="宋体" w:cs="宋体"/>
                <w:color w:val="auto"/>
                <w:kern w:val="0"/>
                <w:sz w:val="18"/>
                <w:szCs w:val="18"/>
                <w:highlight w:val="none"/>
              </w:rPr>
              <w:t>提供产品</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彩页或</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官网截图或</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技术白皮书等证明材料，加盖</w:t>
            </w:r>
            <w:r>
              <w:rPr>
                <w:rFonts w:hint="eastAsia" w:ascii="宋体" w:hAnsi="宋体" w:eastAsia="宋体" w:cs="宋体"/>
                <w:color w:val="auto"/>
                <w:kern w:val="0"/>
                <w:sz w:val="18"/>
                <w:szCs w:val="18"/>
                <w:highlight w:val="none"/>
                <w:lang w:val="en-US" w:eastAsia="zh-CN"/>
              </w:rPr>
              <w:t>供应</w:t>
            </w:r>
            <w:r>
              <w:rPr>
                <w:rFonts w:hint="eastAsia" w:ascii="宋体" w:hAnsi="宋体" w:eastAsia="宋体" w:cs="宋体"/>
                <w:color w:val="auto"/>
                <w:kern w:val="0"/>
                <w:sz w:val="18"/>
                <w:szCs w:val="18"/>
                <w:highlight w:val="none"/>
              </w:rPr>
              <w:t>商有效公章；</w:t>
            </w:r>
            <w:bookmarkEnd w:id="0"/>
          </w:p>
          <w:p w14:paraId="1C04A775">
            <w:pPr>
              <w:spacing w:line="360" w:lineRule="auto"/>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5</w:t>
            </w:r>
            <w:r>
              <w:rPr>
                <w:rFonts w:hint="eastAsia" w:ascii="宋体" w:hAnsi="宋体" w:eastAsia="宋体" w:cs="宋体"/>
                <w:color w:val="auto"/>
                <w:kern w:val="0"/>
                <w:sz w:val="18"/>
                <w:szCs w:val="18"/>
                <w:highlight w:val="none"/>
              </w:rPr>
              <w:t>、配置智能加速、智能精简、智能迁移、快照、远程复制、克隆、质量服务、双活、持续数据保护、配额管理、WORM等功能授权；</w:t>
            </w:r>
          </w:p>
          <w:p w14:paraId="047CD3F0">
            <w:pPr>
              <w:spacing w:line="360" w:lineRule="auto"/>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6</w:t>
            </w:r>
            <w:r>
              <w:rPr>
                <w:rFonts w:hint="eastAsia" w:ascii="宋体" w:hAnsi="宋体" w:eastAsia="宋体" w:cs="宋体"/>
                <w:color w:val="auto"/>
                <w:kern w:val="0"/>
                <w:sz w:val="18"/>
                <w:szCs w:val="18"/>
                <w:highlight w:val="none"/>
              </w:rPr>
              <w:t>、提供SSD寿命监控技术，并在系统中显示每一块SSD硬盘的磨损度以及预估剩余寿命；</w:t>
            </w:r>
          </w:p>
          <w:p w14:paraId="474052FB">
            <w:pPr>
              <w:spacing w:line="360" w:lineRule="auto"/>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7</w:t>
            </w:r>
            <w:r>
              <w:rPr>
                <w:rFonts w:hint="eastAsia" w:ascii="宋体" w:hAnsi="宋体" w:eastAsia="宋体" w:cs="宋体"/>
                <w:color w:val="auto"/>
                <w:kern w:val="0"/>
                <w:sz w:val="18"/>
                <w:szCs w:val="18"/>
                <w:highlight w:val="none"/>
              </w:rPr>
              <w:t>、支持文件防病毒、支持防勒索方案。提供产品</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彩页或</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官网截图或</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技术白皮书等证明材料，加盖</w:t>
            </w:r>
            <w:r>
              <w:rPr>
                <w:rFonts w:hint="eastAsia" w:ascii="宋体" w:hAnsi="宋体" w:eastAsia="宋体" w:cs="宋体"/>
                <w:color w:val="auto"/>
                <w:kern w:val="0"/>
                <w:sz w:val="18"/>
                <w:szCs w:val="18"/>
                <w:highlight w:val="none"/>
                <w:lang w:val="en-US" w:eastAsia="zh-CN"/>
              </w:rPr>
              <w:t>供应</w:t>
            </w:r>
            <w:r>
              <w:rPr>
                <w:rFonts w:hint="eastAsia" w:ascii="宋体" w:hAnsi="宋体" w:eastAsia="宋体" w:cs="宋体"/>
                <w:color w:val="auto"/>
                <w:kern w:val="0"/>
                <w:sz w:val="18"/>
                <w:szCs w:val="18"/>
                <w:highlight w:val="none"/>
              </w:rPr>
              <w:t>商有效公章；</w:t>
            </w:r>
          </w:p>
          <w:p w14:paraId="38893B97">
            <w:pPr>
              <w:spacing w:line="360" w:lineRule="auto"/>
              <w:jc w:val="left"/>
              <w:textAlignment w:val="center"/>
              <w:rPr>
                <w:rFonts w:hint="eastAsia" w:asciiTheme="minorEastAsia" w:hAnsiTheme="minorEastAsia" w:eastAsiaTheme="minorEastAsia" w:cstheme="minorEastAsia"/>
                <w:color w:val="auto"/>
                <w:kern w:val="0"/>
                <w:sz w:val="18"/>
                <w:szCs w:val="18"/>
              </w:rPr>
            </w:pPr>
            <w:r>
              <w:rPr>
                <w:rFonts w:hint="eastAsia" w:ascii="宋体" w:hAnsi="宋体" w:eastAsia="宋体" w:cs="宋体"/>
                <w:color w:val="auto"/>
                <w:kern w:val="0"/>
                <w:sz w:val="18"/>
                <w:szCs w:val="18"/>
                <w:highlight w:val="none"/>
                <w:lang w:val="en-US" w:eastAsia="zh-CN"/>
              </w:rPr>
              <w:t>8</w:t>
            </w:r>
            <w:r>
              <w:rPr>
                <w:rFonts w:hint="eastAsia" w:ascii="宋体" w:hAnsi="宋体" w:eastAsia="宋体" w:cs="宋体"/>
                <w:color w:val="auto"/>
                <w:kern w:val="0"/>
                <w:sz w:val="18"/>
                <w:szCs w:val="18"/>
                <w:highlight w:val="none"/>
              </w:rPr>
              <w:t>、支持在同一个RAID组内容忍3盘同时失效</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RAID 0*, RAID 1*, RAID 3*, RAID 10*, RAID 50*, RAID5, RAID6, and RAID-TP (容忍3盘同时失效)。</w:t>
            </w:r>
            <w:r>
              <w:rPr>
                <w:rFonts w:hint="eastAsia" w:ascii="宋体" w:hAnsi="宋体" w:eastAsia="宋体" w:cs="宋体"/>
                <w:color w:val="auto"/>
                <w:kern w:val="0"/>
                <w:sz w:val="18"/>
                <w:szCs w:val="18"/>
                <w:highlight w:val="none"/>
              </w:rPr>
              <w:t>提供产品</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彩页或</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官网截图或</w:t>
            </w:r>
            <w:r>
              <w:rPr>
                <w:rFonts w:hint="eastAsia" w:ascii="宋体" w:hAnsi="宋体" w:eastAsia="宋体" w:cs="宋体"/>
                <w:color w:val="auto"/>
                <w:kern w:val="0"/>
                <w:sz w:val="18"/>
                <w:szCs w:val="18"/>
                <w:highlight w:val="none"/>
                <w:lang w:val="en-US" w:eastAsia="zh-CN"/>
              </w:rPr>
              <w:t>原厂</w:t>
            </w:r>
            <w:r>
              <w:rPr>
                <w:rFonts w:hint="eastAsia" w:ascii="宋体" w:hAnsi="宋体" w:eastAsia="宋体" w:cs="宋体"/>
                <w:color w:val="auto"/>
                <w:kern w:val="0"/>
                <w:sz w:val="18"/>
                <w:szCs w:val="18"/>
                <w:highlight w:val="none"/>
              </w:rPr>
              <w:t>技术白皮书等证明材料，加盖</w:t>
            </w:r>
            <w:r>
              <w:rPr>
                <w:rFonts w:hint="eastAsia" w:ascii="宋体" w:hAnsi="宋体" w:eastAsia="宋体" w:cs="宋体"/>
                <w:color w:val="auto"/>
                <w:kern w:val="0"/>
                <w:sz w:val="18"/>
                <w:szCs w:val="18"/>
                <w:highlight w:val="none"/>
                <w:lang w:val="en-US" w:eastAsia="zh-CN"/>
              </w:rPr>
              <w:t>供应</w:t>
            </w:r>
            <w:r>
              <w:rPr>
                <w:rFonts w:hint="eastAsia" w:ascii="宋体" w:hAnsi="宋体" w:eastAsia="宋体" w:cs="宋体"/>
                <w:color w:val="auto"/>
                <w:kern w:val="0"/>
                <w:sz w:val="18"/>
                <w:szCs w:val="18"/>
                <w:highlight w:val="none"/>
              </w:rPr>
              <w:t>商有效公章；</w:t>
            </w:r>
          </w:p>
          <w:p w14:paraId="5850562A">
            <w:pPr>
              <w:spacing w:line="360" w:lineRule="auto"/>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cstheme="minorEastAsia"/>
                <w:color w:val="auto"/>
                <w:kern w:val="0"/>
                <w:sz w:val="18"/>
                <w:szCs w:val="18"/>
                <w:lang w:val="en-US" w:eastAsia="zh-CN"/>
              </w:rPr>
              <w:t>9</w:t>
            </w:r>
            <w:r>
              <w:rPr>
                <w:rFonts w:hint="eastAsia" w:asciiTheme="minorEastAsia" w:hAnsiTheme="minorEastAsia" w:eastAsiaTheme="minorEastAsia" w:cstheme="minorEastAsia"/>
                <w:color w:val="auto"/>
                <w:kern w:val="0"/>
                <w:sz w:val="18"/>
                <w:szCs w:val="18"/>
              </w:rPr>
              <w:t>、支持SSD盘、电源模块、接口不停机热插拔；</w:t>
            </w:r>
          </w:p>
          <w:p w14:paraId="7E342325">
            <w:pPr>
              <w:spacing w:line="360" w:lineRule="auto"/>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r>
              <w:rPr>
                <w:rFonts w:hint="eastAsia" w:asciiTheme="minorEastAsia" w:hAnsiTheme="minorEastAsia" w:cstheme="minorEastAsia"/>
                <w:color w:val="auto"/>
                <w:kern w:val="0"/>
                <w:sz w:val="18"/>
                <w:szCs w:val="18"/>
                <w:lang w:val="en-US" w:eastAsia="zh-CN"/>
              </w:rPr>
              <w:t>0</w:t>
            </w:r>
            <w:r>
              <w:rPr>
                <w:rFonts w:hint="eastAsia" w:asciiTheme="minorEastAsia" w:hAnsiTheme="minorEastAsia" w:eastAsiaTheme="minorEastAsia" w:cstheme="minorEastAsia"/>
                <w:color w:val="auto"/>
                <w:kern w:val="0"/>
                <w:sz w:val="18"/>
                <w:szCs w:val="18"/>
              </w:rPr>
              <w:t>、提供功能全面的图形化管理软件，包括磁盘阵列和卷管理软件。为存储设备提供图形化管理、配置和监控软件；</w:t>
            </w:r>
          </w:p>
          <w:p w14:paraId="02A476A9">
            <w:pPr>
              <w:spacing w:line="360" w:lineRule="auto"/>
              <w:jc w:val="left"/>
              <w:textAlignment w:val="center"/>
              <w:rPr>
                <w:rFonts w:ascii="宋体" w:hAnsi="宋体" w:cs="宋体"/>
                <w:sz w:val="18"/>
                <w:szCs w:val="18"/>
              </w:rPr>
            </w:pPr>
            <w:r>
              <w:rPr>
                <w:rFonts w:hint="eastAsia" w:asciiTheme="minorEastAsia" w:hAnsiTheme="minorEastAsia" w:eastAsiaTheme="minorEastAsia" w:cstheme="minorEastAsia"/>
                <w:color w:val="auto"/>
                <w:kern w:val="0"/>
                <w:sz w:val="18"/>
                <w:szCs w:val="18"/>
              </w:rPr>
              <w:t>1</w:t>
            </w:r>
            <w:r>
              <w:rPr>
                <w:rFonts w:hint="eastAsia" w:asciiTheme="minorEastAsia" w:hAnsiTheme="minorEastAsia" w:cstheme="minorEastAsia"/>
                <w:color w:val="auto"/>
                <w:kern w:val="0"/>
                <w:sz w:val="18"/>
                <w:szCs w:val="18"/>
                <w:lang w:val="en-US" w:eastAsia="zh-CN"/>
              </w:rPr>
              <w:t>1</w:t>
            </w:r>
            <w:r>
              <w:rPr>
                <w:rFonts w:hint="eastAsia" w:asciiTheme="minorEastAsia" w:hAnsiTheme="minorEastAsia" w:eastAsiaTheme="minorEastAsia" w:cstheme="minorEastAsia"/>
                <w:color w:val="auto"/>
                <w:kern w:val="0"/>
                <w:sz w:val="18"/>
                <w:szCs w:val="18"/>
              </w:rPr>
              <w:t>、</w:t>
            </w:r>
            <w:r>
              <w:rPr>
                <w:rFonts w:hint="eastAsia" w:ascii="宋体" w:hAnsi="宋体"/>
                <w:color w:val="auto"/>
                <w:sz w:val="18"/>
                <w:szCs w:val="18"/>
                <w:lang w:val="en-US" w:eastAsia="zh-CN"/>
              </w:rPr>
              <w:t>提供</w:t>
            </w:r>
            <w:r>
              <w:rPr>
                <w:rFonts w:hint="eastAsia" w:asciiTheme="minorEastAsia" w:hAnsiTheme="minorEastAsia" w:eastAsiaTheme="minorEastAsia" w:cstheme="minorEastAsia"/>
                <w:color w:val="auto"/>
                <w:kern w:val="0"/>
                <w:sz w:val="18"/>
                <w:szCs w:val="18"/>
              </w:rPr>
              <w:t>原厂</w:t>
            </w:r>
            <w:r>
              <w:rPr>
                <w:rFonts w:hint="eastAsia" w:asciiTheme="minorEastAsia" w:hAnsiTheme="minorEastAsia" w:cstheme="minorEastAsia"/>
                <w:color w:val="auto"/>
                <w:kern w:val="0"/>
                <w:sz w:val="18"/>
                <w:szCs w:val="18"/>
              </w:rPr>
              <w:t>扩容</w:t>
            </w:r>
            <w:r>
              <w:rPr>
                <w:rFonts w:hint="eastAsia" w:asciiTheme="minorEastAsia" w:hAnsiTheme="minorEastAsia" w:cstheme="minorEastAsia"/>
                <w:color w:val="auto"/>
                <w:kern w:val="0"/>
                <w:sz w:val="18"/>
                <w:szCs w:val="18"/>
                <w:lang w:val="en-US" w:eastAsia="zh-CN"/>
              </w:rPr>
              <w:t>节点</w:t>
            </w:r>
            <w:r>
              <w:rPr>
                <w:rFonts w:hint="eastAsia" w:asciiTheme="minorEastAsia" w:hAnsiTheme="minorEastAsia" w:eastAsiaTheme="minorEastAsia" w:cstheme="minorEastAsia"/>
                <w:color w:val="auto"/>
                <w:kern w:val="0"/>
                <w:sz w:val="18"/>
                <w:szCs w:val="18"/>
              </w:rPr>
              <w:t>安装调试服务、</w:t>
            </w:r>
            <w:r>
              <w:rPr>
                <w:rFonts w:hint="eastAsia" w:asciiTheme="minorEastAsia" w:hAnsiTheme="minorEastAsia" w:eastAsiaTheme="minorEastAsia" w:cstheme="minorEastAsia"/>
                <w:color w:val="auto"/>
                <w:kern w:val="0"/>
                <w:sz w:val="18"/>
                <w:szCs w:val="18"/>
                <w:lang w:val="en-US" w:eastAsia="zh-CN"/>
              </w:rPr>
              <w:t>提供</w:t>
            </w:r>
            <w:r>
              <w:rPr>
                <w:rFonts w:hint="eastAsia" w:asciiTheme="minorEastAsia" w:hAnsiTheme="minorEastAsia" w:eastAsiaTheme="minorEastAsia" w:cstheme="minorEastAsia"/>
                <w:color w:val="auto"/>
                <w:kern w:val="0"/>
                <w:sz w:val="18"/>
                <w:szCs w:val="18"/>
              </w:rPr>
              <w:t>原厂安装调试服务、</w:t>
            </w:r>
            <w:r>
              <w:rPr>
                <w:rFonts w:hint="eastAsia" w:ascii="宋体" w:hAnsi="宋体" w:cs="宋体"/>
                <w:color w:val="auto"/>
                <w:kern w:val="0"/>
                <w:sz w:val="18"/>
                <w:szCs w:val="18"/>
              </w:rPr>
              <w:t>签订合同时必须出具原厂针对本次项目的售后服务承诺书并加盖原厂公章</w:t>
            </w:r>
            <w:r>
              <w:rPr>
                <w:rFonts w:hint="eastAsia" w:ascii="宋体" w:hAnsi="宋体" w:cs="宋体"/>
                <w:color w:val="auto"/>
                <w:kern w:val="0"/>
                <w:sz w:val="18"/>
                <w:szCs w:val="18"/>
                <w:lang w:val="en-US" w:eastAsia="zh-CN"/>
              </w:rPr>
              <w:t>；</w:t>
            </w:r>
          </w:p>
        </w:tc>
        <w:tc>
          <w:tcPr>
            <w:tcW w:w="58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DD7FA1">
            <w:pPr>
              <w:spacing w:line="360" w:lineRule="auto"/>
              <w:jc w:val="center"/>
              <w:textAlignment w:val="center"/>
              <w:rPr>
                <w:rFonts w:ascii="宋体" w:hAnsi="宋体" w:cs="宋体"/>
                <w:szCs w:val="21"/>
              </w:rPr>
            </w:pPr>
            <w:r>
              <w:rPr>
                <w:rFonts w:hint="eastAsia" w:asciiTheme="minorEastAsia" w:hAnsiTheme="minorEastAsia" w:eastAsiaTheme="minorEastAsia" w:cstheme="minorEastAsia"/>
                <w:kern w:val="0"/>
                <w:szCs w:val="21"/>
              </w:rPr>
              <w:t>1</w:t>
            </w:r>
          </w:p>
        </w:tc>
        <w:tc>
          <w:tcPr>
            <w:tcW w:w="6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F2085EA">
            <w:pPr>
              <w:spacing w:line="360" w:lineRule="auto"/>
              <w:jc w:val="center"/>
              <w:rPr>
                <w:rFonts w:ascii="宋体" w:hAnsi="宋体" w:cs="宋体" w:eastAsiaTheme="minorEastAsia"/>
                <w:szCs w:val="21"/>
              </w:rPr>
            </w:pPr>
            <w:r>
              <w:rPr>
                <w:rFonts w:hint="eastAsia" w:asciiTheme="minorEastAsia" w:hAnsiTheme="minorEastAsia" w:cstheme="minorEastAsia"/>
                <w:szCs w:val="21"/>
              </w:rPr>
              <w:t>套</w:t>
            </w:r>
          </w:p>
        </w:tc>
      </w:tr>
      <w:tr w14:paraId="740BA3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27"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8A94AD2">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2</w:t>
            </w:r>
          </w:p>
        </w:tc>
        <w:tc>
          <w:tcPr>
            <w:tcW w:w="7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393DC6F">
            <w:pPr>
              <w:spacing w:line="360" w:lineRule="auto"/>
              <w:jc w:val="center"/>
              <w:textAlignment w:val="center"/>
              <w:rPr>
                <w:rFonts w:ascii="宋体" w:hAnsi="宋体" w:cs="宋体"/>
                <w:szCs w:val="21"/>
              </w:rPr>
            </w:pPr>
            <w:r>
              <w:rPr>
                <w:rFonts w:hint="eastAsia" w:ascii="宋体" w:hAnsi="宋体"/>
              </w:rPr>
              <w:t>服务器内存</w:t>
            </w:r>
          </w:p>
        </w:tc>
        <w:tc>
          <w:tcPr>
            <w:tcW w:w="77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735913">
            <w:pPr>
              <w:pStyle w:val="10"/>
              <w:spacing w:line="360" w:lineRule="auto"/>
              <w:ind w:firstLine="0" w:firstLineChars="0"/>
              <w:rPr>
                <w:rFonts w:hint="eastAsia" w:ascii="宋体" w:hAnsi="宋体" w:eastAsia="宋体" w:cs="宋体"/>
                <w:kern w:val="0"/>
                <w:sz w:val="18"/>
                <w:szCs w:val="18"/>
              </w:rPr>
            </w:pPr>
            <w:r>
              <w:rPr>
                <w:rFonts w:hint="eastAsia" w:ascii="宋体" w:hAnsi="宋体" w:eastAsia="宋体" w:cs="宋体"/>
                <w:sz w:val="18"/>
                <w:szCs w:val="18"/>
              </w:rPr>
              <w:t>64G DDR</w:t>
            </w:r>
            <w:r>
              <w:rPr>
                <w:rFonts w:hint="eastAsia" w:ascii="宋体" w:hAnsi="宋体" w:cs="宋体"/>
                <w:sz w:val="18"/>
                <w:szCs w:val="18"/>
                <w:lang w:val="en-US" w:eastAsia="zh-CN"/>
              </w:rPr>
              <w:t>4</w:t>
            </w:r>
            <w:r>
              <w:rPr>
                <w:rFonts w:hint="eastAsia" w:ascii="宋体" w:hAnsi="宋体" w:eastAsia="宋体" w:cs="宋体"/>
                <w:sz w:val="18"/>
                <w:szCs w:val="18"/>
              </w:rPr>
              <w:t>内存条，</w:t>
            </w:r>
            <w:r>
              <w:rPr>
                <w:rFonts w:hint="eastAsia" w:ascii="宋体" w:hAnsi="宋体" w:eastAsia="宋体" w:cs="宋体"/>
                <w:kern w:val="0"/>
                <w:sz w:val="18"/>
                <w:szCs w:val="18"/>
              </w:rPr>
              <w:t>要求提供原厂内存、无缝对接安装；</w:t>
            </w:r>
          </w:p>
          <w:p w14:paraId="1FE7952A">
            <w:pPr>
              <w:spacing w:line="360" w:lineRule="auto"/>
              <w:jc w:val="left"/>
              <w:textAlignment w:val="center"/>
              <w:rPr>
                <w:rFonts w:asciiTheme="minorEastAsia" w:hAnsiTheme="minorEastAsia" w:eastAsiaTheme="minorEastAsia" w:cstheme="minorEastAsia"/>
                <w:kern w:val="0"/>
                <w:sz w:val="18"/>
                <w:szCs w:val="18"/>
              </w:rPr>
            </w:pPr>
            <w:r>
              <w:rPr>
                <w:rFonts w:hint="eastAsia" w:ascii="宋体" w:hAnsi="宋体" w:eastAsia="宋体" w:cs="宋体"/>
                <w:sz w:val="18"/>
                <w:szCs w:val="18"/>
              </w:rPr>
              <w:t>适用于现有</w:t>
            </w:r>
            <w:r>
              <w:rPr>
                <w:rFonts w:hint="eastAsia" w:ascii="宋体" w:hAnsi="宋体" w:eastAsia="宋体" w:cs="宋体"/>
                <w:sz w:val="18"/>
                <w:szCs w:val="18"/>
                <w:lang w:val="en-US" w:eastAsia="zh-CN"/>
              </w:rPr>
              <w:t>H3C R4900G3</w:t>
            </w:r>
            <w:r>
              <w:rPr>
                <w:rFonts w:hint="eastAsia" w:ascii="宋体" w:hAnsi="宋体" w:eastAsia="宋体" w:cs="宋体"/>
                <w:sz w:val="18"/>
                <w:szCs w:val="18"/>
              </w:rPr>
              <w:t>服务器</w:t>
            </w:r>
            <w:r>
              <w:rPr>
                <w:rFonts w:hint="eastAsia" w:ascii="宋体" w:hAnsi="宋体" w:eastAsia="宋体" w:cs="宋体"/>
                <w:sz w:val="18"/>
                <w:szCs w:val="18"/>
                <w:lang w:val="en-US" w:eastAsia="zh-CN"/>
              </w:rPr>
              <w:t>内存扩容</w:t>
            </w:r>
            <w:r>
              <w:rPr>
                <w:rFonts w:hint="eastAsia" w:ascii="宋体" w:hAnsi="宋体" w:eastAsia="宋体" w:cs="宋体"/>
                <w:sz w:val="18"/>
                <w:szCs w:val="18"/>
              </w:rPr>
              <w:t>， 原厂</w:t>
            </w:r>
            <w:r>
              <w:rPr>
                <w:rFonts w:hint="eastAsia" w:ascii="宋体" w:hAnsi="宋体" w:eastAsia="宋体" w:cs="宋体"/>
                <w:sz w:val="18"/>
                <w:szCs w:val="18"/>
                <w:lang w:val="en-US" w:eastAsia="zh-CN"/>
              </w:rPr>
              <w:t>3</w:t>
            </w:r>
            <w:r>
              <w:rPr>
                <w:rFonts w:hint="eastAsia" w:ascii="宋体" w:hAnsi="宋体" w:eastAsia="宋体" w:cs="宋体"/>
                <w:sz w:val="18"/>
                <w:szCs w:val="18"/>
              </w:rPr>
              <w:t>年7*24小时硬件维保服务。</w:t>
            </w:r>
          </w:p>
        </w:tc>
        <w:tc>
          <w:tcPr>
            <w:tcW w:w="58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52C2795">
            <w:pPr>
              <w:spacing w:line="360" w:lineRule="auto"/>
              <w:jc w:val="center"/>
              <w:textAlignment w:val="center"/>
              <w:rPr>
                <w:rFonts w:hint="default"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16</w:t>
            </w:r>
          </w:p>
        </w:tc>
        <w:tc>
          <w:tcPr>
            <w:tcW w:w="6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79F8076">
            <w:pPr>
              <w:spacing w:line="360" w:lineRule="auto"/>
              <w:jc w:val="center"/>
              <w:rPr>
                <w:rFonts w:hint="eastAsia" w:eastAsia="宋体" w:asciiTheme="minorEastAsia" w:hAnsiTheme="minorEastAsia" w:cstheme="minorEastAsia"/>
                <w:szCs w:val="21"/>
                <w:lang w:eastAsia="zh-CN"/>
              </w:rPr>
            </w:pPr>
            <w:r>
              <w:rPr>
                <w:rFonts w:hint="eastAsia" w:asciiTheme="minorEastAsia" w:hAnsiTheme="minorEastAsia" w:cstheme="minorEastAsia"/>
                <w:szCs w:val="21"/>
                <w:lang w:val="en-US" w:eastAsia="zh-CN"/>
              </w:rPr>
              <w:t>条</w:t>
            </w:r>
          </w:p>
        </w:tc>
      </w:tr>
      <w:tr w14:paraId="71D94E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98" w:hRule="atLeast"/>
          <w:jc w:val="center"/>
        </w:trPr>
        <w:tc>
          <w:tcPr>
            <w:tcW w:w="5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3DE5416">
            <w:pPr>
              <w:spacing w:line="360" w:lineRule="auto"/>
              <w:jc w:val="center"/>
              <w:rPr>
                <w:rFonts w:ascii="宋体" w:hAnsi="宋体" w:cs="宋体" w:eastAsiaTheme="minorEastAsia"/>
                <w:szCs w:val="21"/>
              </w:rPr>
            </w:pPr>
            <w:r>
              <w:rPr>
                <w:rFonts w:hint="eastAsia" w:asciiTheme="minorEastAsia" w:hAnsiTheme="minorEastAsia" w:cstheme="minorEastAsia"/>
                <w:szCs w:val="21"/>
              </w:rPr>
              <w:t>3</w:t>
            </w:r>
          </w:p>
        </w:tc>
        <w:tc>
          <w:tcPr>
            <w:tcW w:w="7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2992B3B">
            <w:pPr>
              <w:spacing w:line="360" w:lineRule="auto"/>
              <w:rPr>
                <w:rFonts w:ascii="宋体" w:hAnsi="宋体" w:cs="宋体"/>
                <w:szCs w:val="21"/>
              </w:rPr>
            </w:pPr>
            <w:r>
              <w:rPr>
                <w:color w:val="auto"/>
                <w:highlight w:val="none"/>
              </w:rPr>
              <w:t>系统集成服务</w:t>
            </w:r>
          </w:p>
        </w:tc>
        <w:tc>
          <w:tcPr>
            <w:tcW w:w="77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A50F74">
            <w:pPr>
              <w:spacing w:line="360" w:lineRule="auto"/>
              <w:rPr>
                <w:sz w:val="18"/>
                <w:szCs w:val="18"/>
              </w:rPr>
            </w:pPr>
            <w:r>
              <w:rPr>
                <w:rFonts w:hint="eastAsia"/>
                <w:sz w:val="18"/>
                <w:szCs w:val="18"/>
              </w:rPr>
              <w:t>1、扩容节点设备安装调试、</w:t>
            </w:r>
            <w:r>
              <w:rPr>
                <w:rFonts w:hint="eastAsia"/>
                <w:color w:val="auto"/>
                <w:sz w:val="18"/>
                <w:szCs w:val="18"/>
                <w:highlight w:val="none"/>
                <w:lang w:val="en-US" w:eastAsia="zh-CN"/>
              </w:rPr>
              <w:t>PACS影像</w:t>
            </w:r>
            <w:r>
              <w:rPr>
                <w:rFonts w:hint="eastAsia"/>
                <w:color w:val="auto"/>
                <w:sz w:val="18"/>
                <w:szCs w:val="18"/>
                <w:highlight w:val="none"/>
              </w:rPr>
              <w:t>存储规划设计服务，</w:t>
            </w:r>
            <w:r>
              <w:rPr>
                <w:rFonts w:hint="eastAsia"/>
                <w:color w:val="auto"/>
                <w:sz w:val="18"/>
                <w:szCs w:val="18"/>
                <w:highlight w:val="none"/>
                <w:lang w:val="en-US" w:eastAsia="zh-CN"/>
              </w:rPr>
              <w:t>安装</w:t>
            </w:r>
            <w:r>
              <w:rPr>
                <w:rFonts w:hint="eastAsia"/>
                <w:color w:val="auto"/>
                <w:sz w:val="18"/>
                <w:szCs w:val="18"/>
                <w:highlight w:val="none"/>
              </w:rPr>
              <w:t>部署与调测服务，验收测试服务</w:t>
            </w:r>
            <w:r>
              <w:rPr>
                <w:rFonts w:hint="eastAsia"/>
                <w:color w:val="auto"/>
                <w:sz w:val="18"/>
                <w:szCs w:val="18"/>
                <w:highlight w:val="none"/>
                <w:lang w:eastAsia="zh-CN"/>
              </w:rPr>
              <w:t>，</w:t>
            </w:r>
            <w:r>
              <w:rPr>
                <w:rFonts w:hint="eastAsia"/>
                <w:color w:val="auto"/>
                <w:sz w:val="18"/>
                <w:szCs w:val="18"/>
                <w:highlight w:val="none"/>
                <w:lang w:val="en-US" w:eastAsia="zh-CN"/>
              </w:rPr>
              <w:t>配置无忧服务</w:t>
            </w:r>
            <w:r>
              <w:rPr>
                <w:rFonts w:hint="eastAsia"/>
                <w:sz w:val="18"/>
                <w:szCs w:val="18"/>
              </w:rPr>
              <w:t>；</w:t>
            </w:r>
          </w:p>
          <w:p w14:paraId="5A4E8B22">
            <w:pPr>
              <w:spacing w:line="360" w:lineRule="auto"/>
              <w:rPr>
                <w:sz w:val="18"/>
                <w:szCs w:val="18"/>
              </w:rPr>
            </w:pPr>
            <w:r>
              <w:rPr>
                <w:rFonts w:hint="eastAsia"/>
                <w:sz w:val="18"/>
                <w:szCs w:val="18"/>
              </w:rPr>
              <w:t>2、根据医院IT部署与集成服务情况，部署存储-集中式存储容灾，数据中心容灾与备份服务，包括传统数据中心容灾与备份高级服务（传统灾备），云数据中心容灾与备份高级服务（云灾备）以及混合云备份（V3上云）高级服务，将医院</w:t>
            </w:r>
            <w:r>
              <w:rPr>
                <w:rFonts w:hint="eastAsia" w:asciiTheme="minorEastAsia" w:hAnsiTheme="minorEastAsia" w:eastAsiaTheme="minorEastAsia" w:cstheme="minorEastAsia"/>
                <w:kern w:val="0"/>
                <w:sz w:val="18"/>
                <w:szCs w:val="18"/>
              </w:rPr>
              <w:t>现有华为OceanStor Dorado 2</w:t>
            </w:r>
            <w:r>
              <w:rPr>
                <w:rFonts w:hint="eastAsia" w:asciiTheme="minorEastAsia" w:hAnsiTheme="minorEastAsia" w:cstheme="minorEastAsia"/>
                <w:kern w:val="0"/>
                <w:sz w:val="18"/>
                <w:szCs w:val="18"/>
                <w:lang w:val="en-US" w:eastAsia="zh-CN"/>
              </w:rPr>
              <w:t>1</w:t>
            </w:r>
            <w:r>
              <w:rPr>
                <w:rFonts w:hint="eastAsia" w:asciiTheme="minorEastAsia" w:hAnsiTheme="minorEastAsia" w:eastAsiaTheme="minorEastAsia" w:cstheme="minorEastAsia"/>
                <w:kern w:val="0"/>
                <w:sz w:val="18"/>
                <w:szCs w:val="18"/>
              </w:rPr>
              <w:t>00全闪存存储</w:t>
            </w:r>
            <w:r>
              <w:rPr>
                <w:rFonts w:hint="eastAsia" w:asciiTheme="minorEastAsia" w:hAnsiTheme="minorEastAsia" w:cstheme="minorEastAsia"/>
                <w:kern w:val="0"/>
                <w:sz w:val="18"/>
                <w:szCs w:val="18"/>
                <w:lang w:val="en-US" w:eastAsia="zh-CN"/>
              </w:rPr>
              <w:t>实现无停机</w:t>
            </w:r>
            <w:r>
              <w:rPr>
                <w:rFonts w:hint="eastAsia" w:asciiTheme="minorEastAsia" w:hAnsiTheme="minorEastAsia" w:cstheme="minorEastAsia"/>
                <w:kern w:val="0"/>
                <w:sz w:val="18"/>
                <w:szCs w:val="18"/>
              </w:rPr>
              <w:t>扩容</w:t>
            </w:r>
            <w:r>
              <w:rPr>
                <w:rFonts w:hint="eastAsia" w:asciiTheme="minorEastAsia" w:hAnsiTheme="minorEastAsia" w:cstheme="minorEastAsia"/>
                <w:kern w:val="0"/>
                <w:sz w:val="18"/>
                <w:szCs w:val="18"/>
                <w:lang w:eastAsia="zh-CN"/>
              </w:rPr>
              <w:t>，</w:t>
            </w:r>
            <w:r>
              <w:rPr>
                <w:rFonts w:hint="eastAsia" w:asciiTheme="minorEastAsia" w:hAnsiTheme="minorEastAsia" w:cstheme="minorEastAsia"/>
                <w:kern w:val="0"/>
                <w:sz w:val="18"/>
                <w:szCs w:val="18"/>
                <w:lang w:val="en-US" w:eastAsia="zh-CN"/>
              </w:rPr>
              <w:t>保证原有各应用系统存储路径无需修改</w:t>
            </w:r>
            <w:r>
              <w:rPr>
                <w:rFonts w:hint="eastAsia"/>
                <w:sz w:val="18"/>
                <w:szCs w:val="18"/>
              </w:rPr>
              <w:t>；</w:t>
            </w:r>
          </w:p>
          <w:p w14:paraId="373A6FB4">
            <w:pPr>
              <w:pStyle w:val="5"/>
              <w:rPr>
                <w:rFonts w:hint="eastAsia" w:asciiTheme="minorHAnsi" w:hAnsiTheme="minorHAnsi" w:eastAsiaTheme="minorEastAsia" w:cstheme="minorBidi"/>
                <w:sz w:val="18"/>
                <w:szCs w:val="18"/>
              </w:rPr>
            </w:pPr>
            <w:r>
              <w:rPr>
                <w:rFonts w:hint="eastAsia"/>
                <w:sz w:val="18"/>
                <w:szCs w:val="18"/>
                <w:lang w:val="en-US" w:eastAsia="zh-CN"/>
              </w:rPr>
              <w:t>3</w:t>
            </w:r>
            <w:r>
              <w:rPr>
                <w:rFonts w:hint="eastAsia"/>
                <w:sz w:val="18"/>
                <w:szCs w:val="18"/>
              </w:rPr>
              <w:t>、</w:t>
            </w:r>
            <w:r>
              <w:rPr>
                <w:rFonts w:hint="eastAsia" w:asciiTheme="minorHAnsi" w:hAnsiTheme="minorHAnsi" w:eastAsiaTheme="minorEastAsia" w:cstheme="minorBidi"/>
                <w:sz w:val="18"/>
                <w:szCs w:val="18"/>
              </w:rPr>
              <w:t>固态存储规划设计与实施服务,提供OceanStor Dorado 系列固态存储的规划设计,系统部署,验收测试；</w:t>
            </w:r>
          </w:p>
          <w:p w14:paraId="4099E44E">
            <w:pPr>
              <w:rPr>
                <w:rFonts w:hint="eastAsia" w:eastAsiaTheme="minorEastAsia"/>
                <w:sz w:val="18"/>
                <w:szCs w:val="18"/>
                <w:lang w:val="en-US" w:eastAsia="zh-CN"/>
              </w:rPr>
            </w:pPr>
            <w:r>
              <w:rPr>
                <w:rFonts w:hint="eastAsia" w:asciiTheme="minorHAnsi" w:hAnsiTheme="minorHAnsi" w:eastAsiaTheme="minorEastAsia" w:cstheme="minorBidi"/>
                <w:sz w:val="18"/>
                <w:szCs w:val="18"/>
                <w:lang w:val="en-US" w:eastAsia="zh-CN"/>
              </w:rPr>
              <w:t>4、</w:t>
            </w:r>
            <w:r>
              <w:rPr>
                <w:rFonts w:hint="eastAsia"/>
                <w:color w:val="auto"/>
                <w:sz w:val="18"/>
                <w:szCs w:val="18"/>
                <w:highlight w:val="none"/>
                <w:lang w:val="en-US" w:eastAsia="zh-CN"/>
              </w:rPr>
              <w:t>服务器内存扩容安装、调试服务，确保与现有软硬件实现全面兼容；</w:t>
            </w:r>
          </w:p>
          <w:p w14:paraId="42C55FDC">
            <w:pPr>
              <w:spacing w:line="360" w:lineRule="auto"/>
              <w:rPr>
                <w:rFonts w:ascii="宋体" w:hAnsi="宋体" w:cs="宋体"/>
                <w:sz w:val="18"/>
                <w:szCs w:val="18"/>
              </w:rPr>
            </w:pPr>
            <w:r>
              <w:rPr>
                <w:rFonts w:hint="eastAsia"/>
                <w:sz w:val="18"/>
                <w:szCs w:val="18"/>
                <w:lang w:val="en-US" w:eastAsia="zh-CN"/>
              </w:rPr>
              <w:t>5</w:t>
            </w:r>
            <w:r>
              <w:rPr>
                <w:rFonts w:hint="eastAsia"/>
                <w:sz w:val="18"/>
                <w:szCs w:val="18"/>
              </w:rPr>
              <w:t>、所有设备安装调试需确保业务运行持续不中断，熟悉存储、网络交换、RHCSA等软件系统操作，所有操作方案需跟医院信息化现状充分调研，向医院信息中心汇报方案设计思路与方案存在的各种技术细节确保实施过程无任何风险。</w:t>
            </w:r>
          </w:p>
        </w:tc>
        <w:tc>
          <w:tcPr>
            <w:tcW w:w="58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5085552">
            <w:pPr>
              <w:spacing w:line="360" w:lineRule="auto"/>
              <w:jc w:val="center"/>
              <w:rPr>
                <w:rFonts w:ascii="宋体" w:hAnsi="宋体" w:cs="宋体"/>
                <w:szCs w:val="21"/>
              </w:rPr>
            </w:pPr>
            <w:r>
              <w:rPr>
                <w:rFonts w:hint="eastAsia" w:asciiTheme="minorEastAsia" w:hAnsiTheme="minorEastAsia" w:eastAsiaTheme="minorEastAsia" w:cstheme="minorEastAsia"/>
                <w:szCs w:val="21"/>
              </w:rPr>
              <w:t>1</w:t>
            </w:r>
          </w:p>
        </w:tc>
        <w:tc>
          <w:tcPr>
            <w:tcW w:w="6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5235DA1">
            <w:pPr>
              <w:spacing w:line="360" w:lineRule="auto"/>
              <w:jc w:val="center"/>
              <w:rPr>
                <w:rFonts w:ascii="宋体" w:hAnsi="宋体" w:cs="宋体"/>
                <w:szCs w:val="21"/>
              </w:rPr>
            </w:pPr>
            <w:r>
              <w:rPr>
                <w:rFonts w:hint="eastAsia" w:asciiTheme="minorEastAsia" w:hAnsiTheme="minorEastAsia" w:eastAsiaTheme="minorEastAsia" w:cstheme="minorEastAsia"/>
                <w:szCs w:val="21"/>
              </w:rPr>
              <w:t>项</w:t>
            </w:r>
          </w:p>
        </w:tc>
      </w:tr>
      <w:tr w14:paraId="382BEC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98" w:hRule="atLeast"/>
          <w:jc w:val="center"/>
        </w:trPr>
        <w:tc>
          <w:tcPr>
            <w:tcW w:w="10332"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E38FC9B">
            <w:pPr>
              <w:spacing w:line="360" w:lineRule="auto"/>
              <w:jc w:val="left"/>
              <w:rPr>
                <w:rFonts w:asciiTheme="minorEastAsia" w:hAnsiTheme="minorEastAsia" w:eastAsiaTheme="minorEastAsia" w:cstheme="minorEastAsia"/>
                <w:szCs w:val="21"/>
              </w:rPr>
            </w:pPr>
          </w:p>
        </w:tc>
      </w:tr>
    </w:tbl>
    <w:p w14:paraId="7913B1F2">
      <w:pPr>
        <w:spacing w:line="400" w:lineRule="exact"/>
        <w:ind w:firstLine="600" w:firstLineChars="200"/>
      </w:pPr>
      <w:r>
        <w:rPr>
          <w:rFonts w:hint="eastAsia" w:eastAsia="方正大标宋简体"/>
          <w:sz w:val="30"/>
          <w:szCs w:val="30"/>
        </w:rPr>
        <w:t xml:space="preserve">                  </w:t>
      </w:r>
    </w:p>
    <w:p w14:paraId="151DCD06">
      <w:pPr>
        <w:numPr>
          <w:ilvl w:val="0"/>
          <w:numId w:val="1"/>
        </w:numPr>
        <w:rPr>
          <w:rFonts w:hint="eastAsia" w:ascii="宋体" w:hAnsi="宋体" w:cs="宋体"/>
          <w:b/>
          <w:sz w:val="24"/>
        </w:rPr>
      </w:pPr>
      <w:r>
        <w:rPr>
          <w:rFonts w:hint="eastAsia" w:ascii="宋体" w:hAnsi="宋体" w:cs="宋体"/>
          <w:b/>
          <w:sz w:val="24"/>
        </w:rPr>
        <w:t>商务条款</w:t>
      </w:r>
    </w:p>
    <w:tbl>
      <w:tblPr>
        <w:tblStyle w:val="6"/>
        <w:tblpPr w:leftFromText="180" w:rightFromText="180" w:vertAnchor="text" w:horzAnchor="page" w:tblpXSpec="center" w:tblpY="523"/>
        <w:tblOverlap w:val="never"/>
        <w:tblW w:w="10229" w:type="dxa"/>
        <w:jc w:val="center"/>
        <w:tblLayout w:type="fixed"/>
        <w:tblCellMar>
          <w:top w:w="0" w:type="dxa"/>
          <w:left w:w="108" w:type="dxa"/>
          <w:bottom w:w="0" w:type="dxa"/>
          <w:right w:w="108" w:type="dxa"/>
        </w:tblCellMar>
      </w:tblPr>
      <w:tblGrid>
        <w:gridCol w:w="1343"/>
        <w:gridCol w:w="8886"/>
      </w:tblGrid>
      <w:tr w14:paraId="29EA45A9">
        <w:trPr>
          <w:trHeight w:val="400" w:hRule="atLeast"/>
          <w:jc w:val="center"/>
        </w:trPr>
        <w:tc>
          <w:tcPr>
            <w:tcW w:w="1343" w:type="dxa"/>
            <w:tcBorders>
              <w:top w:val="single" w:color="auto" w:sz="4" w:space="0"/>
              <w:left w:val="single" w:color="auto" w:sz="4" w:space="0"/>
              <w:bottom w:val="single" w:color="auto" w:sz="4" w:space="0"/>
              <w:right w:val="single" w:color="auto" w:sz="4" w:space="0"/>
            </w:tcBorders>
            <w:vAlign w:val="center"/>
          </w:tcPr>
          <w:p w14:paraId="12EF9C80">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cs="宋体"/>
                <w:b/>
                <w:bCs/>
                <w:sz w:val="21"/>
                <w:szCs w:val="21"/>
              </w:rPr>
              <w:t>（一）售后服务要求</w:t>
            </w:r>
          </w:p>
        </w:tc>
        <w:tc>
          <w:tcPr>
            <w:tcW w:w="8886" w:type="dxa"/>
            <w:tcBorders>
              <w:top w:val="single" w:color="auto" w:sz="4" w:space="0"/>
              <w:left w:val="single" w:color="auto" w:sz="4" w:space="0"/>
              <w:bottom w:val="single" w:color="auto" w:sz="4" w:space="0"/>
              <w:right w:val="single" w:color="auto" w:sz="4" w:space="0"/>
            </w:tcBorders>
            <w:vAlign w:val="center"/>
          </w:tcPr>
          <w:p w14:paraId="26D67053">
            <w:pPr>
              <w:spacing w:line="360" w:lineRule="auto"/>
              <w:rPr>
                <w:sz w:val="18"/>
                <w:szCs w:val="18"/>
              </w:rPr>
            </w:pPr>
            <w:r>
              <w:rPr>
                <w:rFonts w:hint="eastAsia"/>
                <w:sz w:val="18"/>
                <w:szCs w:val="18"/>
              </w:rPr>
              <w:t>1.按国家有关产品“三包”规定执行“三包”，提供≥</w:t>
            </w:r>
            <w:r>
              <w:rPr>
                <w:rFonts w:hint="eastAsia"/>
                <w:sz w:val="18"/>
                <w:szCs w:val="18"/>
                <w:lang w:val="en-US" w:eastAsia="zh-CN"/>
              </w:rPr>
              <w:t>3</w:t>
            </w:r>
            <w:r>
              <w:rPr>
                <w:rFonts w:hint="eastAsia"/>
                <w:sz w:val="18"/>
                <w:szCs w:val="18"/>
              </w:rPr>
              <w:t>年免费维保服务。</w:t>
            </w:r>
          </w:p>
          <w:p w14:paraId="0D730969">
            <w:pPr>
              <w:spacing w:line="360" w:lineRule="auto"/>
              <w:rPr>
                <w:sz w:val="18"/>
                <w:szCs w:val="18"/>
              </w:rPr>
            </w:pPr>
            <w:r>
              <w:rPr>
                <w:rFonts w:hint="eastAsia"/>
                <w:sz w:val="18"/>
                <w:szCs w:val="18"/>
              </w:rPr>
              <w:t>2.免费送货上门、提供免费技术培训（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p w14:paraId="361220AD">
            <w:pPr>
              <w:spacing w:line="360" w:lineRule="auto"/>
              <w:rPr>
                <w:sz w:val="18"/>
                <w:szCs w:val="18"/>
              </w:rPr>
            </w:pPr>
            <w:r>
              <w:rPr>
                <w:rFonts w:hint="eastAsia"/>
                <w:sz w:val="18"/>
                <w:szCs w:val="18"/>
              </w:rPr>
              <w:t>3.提供≥</w:t>
            </w:r>
            <w:r>
              <w:rPr>
                <w:rFonts w:hint="eastAsia"/>
                <w:sz w:val="18"/>
                <w:szCs w:val="18"/>
                <w:lang w:val="en-US" w:eastAsia="zh-CN"/>
              </w:rPr>
              <w:t>3</w:t>
            </w:r>
            <w:r>
              <w:rPr>
                <w:rFonts w:hint="eastAsia"/>
                <w:sz w:val="18"/>
                <w:szCs w:val="18"/>
              </w:rPr>
              <w:t>年的7*24小时售后技术服务，维保期内均提供免费上门维护、升级服务，故障响应时间：</w:t>
            </w:r>
            <w:r>
              <w:rPr>
                <w:rFonts w:hint="eastAsia"/>
                <w:sz w:val="18"/>
                <w:szCs w:val="18"/>
                <w:lang w:val="en-US" w:eastAsia="zh-CN"/>
              </w:rPr>
              <w:t>1</w:t>
            </w:r>
            <w:r>
              <w:rPr>
                <w:rFonts w:hint="eastAsia"/>
                <w:sz w:val="18"/>
                <w:szCs w:val="18"/>
              </w:rPr>
              <w:t>小时内进行响应，</w:t>
            </w:r>
            <w:r>
              <w:rPr>
                <w:rFonts w:hint="eastAsia"/>
                <w:sz w:val="18"/>
                <w:szCs w:val="18"/>
                <w:lang w:val="en-US" w:eastAsia="zh-CN"/>
              </w:rPr>
              <w:t>2</w:t>
            </w:r>
            <w:r>
              <w:rPr>
                <w:rFonts w:hint="eastAsia"/>
                <w:sz w:val="18"/>
                <w:szCs w:val="18"/>
              </w:rPr>
              <w:t>小时以内到现场，</w:t>
            </w:r>
            <w:r>
              <w:rPr>
                <w:rFonts w:hint="eastAsia"/>
                <w:sz w:val="18"/>
                <w:szCs w:val="18"/>
                <w:lang w:val="en-US" w:eastAsia="zh-CN"/>
              </w:rPr>
              <w:t>8</w:t>
            </w:r>
            <w:r>
              <w:rPr>
                <w:rFonts w:hint="eastAsia"/>
                <w:sz w:val="18"/>
                <w:szCs w:val="18"/>
              </w:rPr>
              <w:t>小时以内解决问题。包括免费升级、功能完善、故障排除、性能调优、技术咨询等。</w:t>
            </w:r>
          </w:p>
          <w:p w14:paraId="44CFEBDB">
            <w:pPr>
              <w:spacing w:line="360" w:lineRule="auto"/>
              <w:rPr>
                <w:sz w:val="18"/>
                <w:szCs w:val="18"/>
              </w:rPr>
            </w:pPr>
            <w:r>
              <w:rPr>
                <w:rFonts w:hint="eastAsia"/>
                <w:sz w:val="18"/>
                <w:szCs w:val="18"/>
              </w:rPr>
              <w:t>4.免费质保期内，需要更换配件的，要求更换的配件应跟被更换的品牌、类型相一致或者是同类同档次的替代品，后者需征得用户方管理人员同意。</w:t>
            </w:r>
          </w:p>
          <w:p w14:paraId="11BBF82C">
            <w:pPr>
              <w:spacing w:line="360" w:lineRule="auto"/>
              <w:rPr>
                <w:sz w:val="18"/>
                <w:szCs w:val="18"/>
              </w:rPr>
            </w:pPr>
            <w:r>
              <w:rPr>
                <w:rFonts w:hint="eastAsia"/>
                <w:sz w:val="18"/>
                <w:szCs w:val="18"/>
              </w:rPr>
              <w:t>5.免费安装调试：中标人负责本项目所有设备的安装、调试工作。</w:t>
            </w:r>
          </w:p>
          <w:p w14:paraId="337992CD">
            <w:pPr>
              <w:spacing w:line="360" w:lineRule="auto"/>
              <w:rPr>
                <w:sz w:val="18"/>
                <w:szCs w:val="18"/>
              </w:rPr>
            </w:pPr>
            <w:r>
              <w:rPr>
                <w:rFonts w:hint="eastAsia"/>
                <w:sz w:val="18"/>
                <w:szCs w:val="18"/>
              </w:rPr>
              <w:t>6.投标人请在投标文件中提供具体的售后服务方案。</w:t>
            </w:r>
          </w:p>
        </w:tc>
      </w:tr>
      <w:tr w14:paraId="33C0BEE9">
        <w:tblPrEx>
          <w:tblCellMar>
            <w:top w:w="0" w:type="dxa"/>
            <w:left w:w="108" w:type="dxa"/>
            <w:bottom w:w="0" w:type="dxa"/>
            <w:right w:w="108" w:type="dxa"/>
          </w:tblCellMar>
        </w:tblPrEx>
        <w:trPr>
          <w:trHeight w:val="90" w:hRule="atLeast"/>
          <w:jc w:val="center"/>
        </w:trPr>
        <w:tc>
          <w:tcPr>
            <w:tcW w:w="1343" w:type="dxa"/>
            <w:tcBorders>
              <w:top w:val="single" w:color="auto" w:sz="4" w:space="0"/>
              <w:left w:val="single" w:color="auto" w:sz="4" w:space="0"/>
              <w:bottom w:val="single" w:color="auto" w:sz="4" w:space="0"/>
              <w:right w:val="single" w:color="auto" w:sz="4" w:space="0"/>
            </w:tcBorders>
            <w:vAlign w:val="center"/>
          </w:tcPr>
          <w:p w14:paraId="27967469">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Theme="minorEastAsia" w:hAnsiTheme="minorEastAsia" w:eastAsiaTheme="minorEastAsia" w:cstheme="minorEastAsia"/>
                <w:bCs/>
                <w:spacing w:val="-2"/>
                <w:sz w:val="21"/>
                <w:szCs w:val="21"/>
              </w:rPr>
              <w:t>（二）</w:t>
            </w:r>
            <w:r>
              <w:rPr>
                <w:rFonts w:hint="eastAsia" w:ascii="宋体" w:hAnsi="宋体" w:cs="宋体"/>
                <w:b/>
                <w:bCs/>
                <w:sz w:val="21"/>
                <w:szCs w:val="21"/>
              </w:rPr>
              <w:t>交付期及地点</w:t>
            </w:r>
          </w:p>
        </w:tc>
        <w:tc>
          <w:tcPr>
            <w:tcW w:w="8886" w:type="dxa"/>
            <w:tcBorders>
              <w:top w:val="single" w:color="auto" w:sz="4" w:space="0"/>
              <w:left w:val="single" w:color="auto" w:sz="4" w:space="0"/>
              <w:bottom w:val="single" w:color="auto" w:sz="4" w:space="0"/>
              <w:right w:val="single" w:color="auto" w:sz="4" w:space="0"/>
            </w:tcBorders>
            <w:vAlign w:val="center"/>
          </w:tcPr>
          <w:p w14:paraId="51E951F8">
            <w:pPr>
              <w:spacing w:line="360" w:lineRule="auto"/>
              <w:rPr>
                <w:sz w:val="18"/>
                <w:szCs w:val="18"/>
              </w:rPr>
            </w:pPr>
            <w:r>
              <w:rPr>
                <w:rFonts w:hint="eastAsia"/>
                <w:sz w:val="18"/>
                <w:szCs w:val="18"/>
              </w:rPr>
              <w:t>1.交付期：自签订合同之日起</w:t>
            </w:r>
            <w:r>
              <w:rPr>
                <w:rFonts w:hint="eastAsia"/>
                <w:sz w:val="18"/>
                <w:szCs w:val="18"/>
                <w:lang w:val="en-US" w:eastAsia="zh-CN"/>
              </w:rPr>
              <w:t>7</w:t>
            </w:r>
            <w:bookmarkStart w:id="1" w:name="_GoBack"/>
            <w:bookmarkEnd w:id="1"/>
            <w:r>
              <w:rPr>
                <w:rFonts w:hint="eastAsia"/>
                <w:sz w:val="18"/>
                <w:szCs w:val="18"/>
              </w:rPr>
              <w:t>个工作日内验收合格并交付采购人使用。</w:t>
            </w:r>
          </w:p>
          <w:p w14:paraId="588EFE2C">
            <w:pPr>
              <w:spacing w:line="360" w:lineRule="auto"/>
              <w:rPr>
                <w:rFonts w:asciiTheme="minorEastAsia" w:hAnsiTheme="minorEastAsia" w:eastAsiaTheme="minorEastAsia" w:cstheme="minorEastAsia"/>
                <w:spacing w:val="-2"/>
                <w:sz w:val="18"/>
                <w:szCs w:val="18"/>
              </w:rPr>
            </w:pPr>
            <w:r>
              <w:rPr>
                <w:rFonts w:hint="eastAsia"/>
                <w:sz w:val="18"/>
                <w:szCs w:val="18"/>
              </w:rPr>
              <w:t>2.交付地点：招标人指定地点。</w:t>
            </w:r>
          </w:p>
        </w:tc>
      </w:tr>
      <w:tr w14:paraId="71B7ED66">
        <w:tblPrEx>
          <w:tblCellMar>
            <w:top w:w="0" w:type="dxa"/>
            <w:left w:w="108" w:type="dxa"/>
            <w:bottom w:w="0" w:type="dxa"/>
            <w:right w:w="108" w:type="dxa"/>
          </w:tblCellMar>
        </w:tblPrEx>
        <w:trPr>
          <w:trHeight w:val="413" w:hRule="atLeast"/>
          <w:jc w:val="center"/>
        </w:trPr>
        <w:tc>
          <w:tcPr>
            <w:tcW w:w="1343" w:type="dxa"/>
            <w:tcBorders>
              <w:top w:val="single" w:color="auto" w:sz="4" w:space="0"/>
              <w:left w:val="single" w:color="auto" w:sz="4" w:space="0"/>
              <w:bottom w:val="single" w:color="auto" w:sz="4" w:space="0"/>
              <w:right w:val="single" w:color="auto" w:sz="4" w:space="0"/>
            </w:tcBorders>
            <w:vAlign w:val="center"/>
          </w:tcPr>
          <w:p w14:paraId="48584701">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Theme="minorEastAsia" w:hAnsiTheme="minorEastAsia" w:eastAsiaTheme="minorEastAsia" w:cstheme="minorEastAsia"/>
                <w:bCs/>
                <w:spacing w:val="-2"/>
                <w:sz w:val="21"/>
                <w:szCs w:val="21"/>
              </w:rPr>
              <w:t>（三）</w:t>
            </w:r>
            <w:r>
              <w:rPr>
                <w:rFonts w:hint="eastAsia" w:ascii="宋体" w:hAnsi="宋体" w:cs="宋体"/>
                <w:b/>
                <w:bCs/>
                <w:sz w:val="21"/>
                <w:szCs w:val="21"/>
              </w:rPr>
              <w:t>付款方式</w:t>
            </w:r>
          </w:p>
        </w:tc>
        <w:tc>
          <w:tcPr>
            <w:tcW w:w="8886" w:type="dxa"/>
            <w:tcBorders>
              <w:top w:val="single" w:color="auto" w:sz="4" w:space="0"/>
              <w:left w:val="single" w:color="auto" w:sz="4" w:space="0"/>
              <w:bottom w:val="single" w:color="auto" w:sz="4" w:space="0"/>
              <w:right w:val="single" w:color="auto" w:sz="4" w:space="0"/>
            </w:tcBorders>
            <w:vAlign w:val="center"/>
          </w:tcPr>
          <w:p w14:paraId="0392F09D">
            <w:pPr>
              <w:snapToGrid w:val="0"/>
              <w:spacing w:line="360" w:lineRule="auto"/>
              <w:outlineLvl w:val="2"/>
              <w:rPr>
                <w:rFonts w:ascii="宋体" w:hAnsi="宋体"/>
                <w:sz w:val="18"/>
                <w:szCs w:val="18"/>
              </w:rPr>
            </w:pPr>
            <w:r>
              <w:rPr>
                <w:rFonts w:hint="eastAsia" w:ascii="宋体" w:hAnsi="宋体"/>
                <w:sz w:val="18"/>
                <w:szCs w:val="18"/>
              </w:rPr>
              <w:t>1.</w:t>
            </w:r>
            <w:r>
              <w:rPr>
                <w:rFonts w:hint="eastAsia" w:ascii="宋体" w:hAnsi="宋体" w:eastAsia="宋体" w:cs="宋体"/>
                <w:sz w:val="18"/>
                <w:szCs w:val="18"/>
                <w:lang w:val="en-US" w:eastAsia="zh-CN"/>
              </w:rPr>
              <w:t>在合同生效后，乙方实施完成并双方验收通过后，由乙方出具正规等额、有效发票，甲方在收到发票30个工作日后向乙方支付合同总价款的95%，质保期满后，甲方在30个工作日后向乙方支付剩余5%款项。质保期满后维保费不超过合同金额的5%，维保协议另行签订。</w:t>
            </w:r>
          </w:p>
          <w:p w14:paraId="72A95FB0">
            <w:pPr>
              <w:spacing w:line="360" w:lineRule="auto"/>
              <w:rPr>
                <w:rFonts w:asciiTheme="minorEastAsia" w:hAnsiTheme="minorEastAsia" w:eastAsiaTheme="minorEastAsia" w:cstheme="minorEastAsia"/>
                <w:spacing w:val="-2"/>
                <w:sz w:val="18"/>
                <w:szCs w:val="18"/>
              </w:rPr>
            </w:pPr>
            <w:r>
              <w:rPr>
                <w:rFonts w:hint="eastAsia"/>
                <w:sz w:val="18"/>
                <w:szCs w:val="18"/>
              </w:rPr>
              <w:t>2.供应商申请款项时需同时开具正规等额、有效发票给采购人，否则采购人可以拒绝付款。</w:t>
            </w:r>
          </w:p>
        </w:tc>
      </w:tr>
      <w:tr w14:paraId="70705A06">
        <w:tblPrEx>
          <w:tblCellMar>
            <w:top w:w="0" w:type="dxa"/>
            <w:left w:w="108" w:type="dxa"/>
            <w:bottom w:w="0" w:type="dxa"/>
            <w:right w:w="108" w:type="dxa"/>
          </w:tblCellMar>
        </w:tblPrEx>
        <w:trPr>
          <w:trHeight w:val="1440" w:hRule="atLeast"/>
          <w:jc w:val="center"/>
        </w:trPr>
        <w:tc>
          <w:tcPr>
            <w:tcW w:w="1343" w:type="dxa"/>
            <w:tcBorders>
              <w:top w:val="single" w:color="auto" w:sz="4" w:space="0"/>
              <w:left w:val="single" w:color="auto" w:sz="4" w:space="0"/>
              <w:bottom w:val="single" w:color="auto" w:sz="4" w:space="0"/>
              <w:right w:val="single" w:color="auto" w:sz="4" w:space="0"/>
            </w:tcBorders>
            <w:vAlign w:val="center"/>
          </w:tcPr>
          <w:p w14:paraId="0FCD9C14">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Theme="minorEastAsia" w:hAnsiTheme="minorEastAsia" w:eastAsiaTheme="minorEastAsia" w:cstheme="minorEastAsia"/>
                <w:bCs/>
                <w:spacing w:val="-2"/>
                <w:sz w:val="21"/>
                <w:szCs w:val="21"/>
              </w:rPr>
              <w:t>（四）</w:t>
            </w:r>
            <w:r>
              <w:rPr>
                <w:rFonts w:hint="eastAsia" w:ascii="宋体" w:hAnsi="宋体" w:cs="宋体"/>
                <w:b/>
                <w:bCs/>
                <w:sz w:val="21"/>
                <w:szCs w:val="21"/>
              </w:rPr>
              <w:t>包装和运输</w:t>
            </w:r>
          </w:p>
        </w:tc>
        <w:tc>
          <w:tcPr>
            <w:tcW w:w="8886" w:type="dxa"/>
            <w:tcBorders>
              <w:top w:val="single" w:color="auto" w:sz="4" w:space="0"/>
              <w:left w:val="single" w:color="auto" w:sz="4" w:space="0"/>
              <w:bottom w:val="single" w:color="auto" w:sz="4" w:space="0"/>
              <w:right w:val="single" w:color="auto" w:sz="4" w:space="0"/>
            </w:tcBorders>
            <w:vAlign w:val="center"/>
          </w:tcPr>
          <w:p w14:paraId="5DEC32B9">
            <w:pPr>
              <w:spacing w:line="360" w:lineRule="auto"/>
              <w:rPr>
                <w:sz w:val="18"/>
                <w:szCs w:val="18"/>
              </w:rPr>
            </w:pPr>
            <w:r>
              <w:rPr>
                <w:rFonts w:hint="eastAsia"/>
                <w:sz w:val="18"/>
                <w:szCs w:val="18"/>
              </w:rPr>
              <w:t>1.原厂原包装，包装完好完整、无破损、未开封。</w:t>
            </w:r>
          </w:p>
          <w:p w14:paraId="003CB6D5">
            <w:pPr>
              <w:spacing w:line="360" w:lineRule="auto"/>
              <w:rPr>
                <w:sz w:val="18"/>
                <w:szCs w:val="18"/>
              </w:rPr>
            </w:pPr>
            <w:r>
              <w:rPr>
                <w:rFonts w:hint="eastAsia"/>
                <w:sz w:val="18"/>
                <w:szCs w:val="18"/>
              </w:rPr>
              <w:t>2.包装及运输方式应综合考虑运输距离、防潮、防震、防锈和防破损装卸等要求，以保证标的安全运达招标人指定地点。国家对包装及运输有相关强制性标准或要求的，供应商应当执行。</w:t>
            </w:r>
          </w:p>
          <w:p w14:paraId="39206A3B">
            <w:pPr>
              <w:spacing w:line="360" w:lineRule="auto"/>
              <w:rPr>
                <w:rFonts w:asciiTheme="minorEastAsia" w:hAnsiTheme="minorEastAsia" w:eastAsiaTheme="minorEastAsia" w:cstheme="minorEastAsia"/>
                <w:spacing w:val="-2"/>
                <w:sz w:val="18"/>
                <w:szCs w:val="18"/>
              </w:rPr>
            </w:pPr>
            <w:r>
              <w:rPr>
                <w:rFonts w:hint="eastAsia"/>
                <w:sz w:val="18"/>
                <w:szCs w:val="18"/>
              </w:rPr>
              <w:t>3.产品（含包装）运抵采购人指定交付地点前发生损坏以及全部风险和责任均由供应商负责。</w:t>
            </w:r>
          </w:p>
        </w:tc>
      </w:tr>
      <w:tr w14:paraId="109883A9">
        <w:tblPrEx>
          <w:tblCellMar>
            <w:top w:w="0" w:type="dxa"/>
            <w:left w:w="108" w:type="dxa"/>
            <w:bottom w:w="0" w:type="dxa"/>
            <w:right w:w="108" w:type="dxa"/>
          </w:tblCellMar>
        </w:tblPrEx>
        <w:trPr>
          <w:trHeight w:val="505" w:hRule="atLeast"/>
          <w:jc w:val="center"/>
        </w:trPr>
        <w:tc>
          <w:tcPr>
            <w:tcW w:w="1343" w:type="dxa"/>
            <w:tcBorders>
              <w:top w:val="single" w:color="auto" w:sz="4" w:space="0"/>
              <w:left w:val="single" w:color="auto" w:sz="4" w:space="0"/>
              <w:bottom w:val="single" w:color="auto" w:sz="4" w:space="0"/>
              <w:right w:val="single" w:color="auto" w:sz="4" w:space="0"/>
            </w:tcBorders>
            <w:vAlign w:val="center"/>
          </w:tcPr>
          <w:p w14:paraId="6A625DBE">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Theme="minorEastAsia" w:hAnsiTheme="minorEastAsia" w:eastAsiaTheme="minorEastAsia" w:cstheme="minorEastAsia"/>
                <w:bCs/>
                <w:spacing w:val="-2"/>
                <w:sz w:val="21"/>
                <w:szCs w:val="21"/>
              </w:rPr>
              <w:t>（五）</w:t>
            </w:r>
            <w:r>
              <w:rPr>
                <w:rFonts w:hint="eastAsia" w:ascii="宋体" w:hAnsi="宋体" w:cs="宋体"/>
                <w:b/>
                <w:bCs/>
                <w:sz w:val="21"/>
                <w:szCs w:val="21"/>
              </w:rPr>
              <w:t>验收标准</w:t>
            </w:r>
          </w:p>
        </w:tc>
        <w:tc>
          <w:tcPr>
            <w:tcW w:w="8886" w:type="dxa"/>
            <w:tcBorders>
              <w:top w:val="single" w:color="auto" w:sz="4" w:space="0"/>
              <w:left w:val="single" w:color="auto" w:sz="4" w:space="0"/>
              <w:bottom w:val="single" w:color="auto" w:sz="4" w:space="0"/>
              <w:right w:val="single" w:color="auto" w:sz="4" w:space="0"/>
            </w:tcBorders>
            <w:vAlign w:val="center"/>
          </w:tcPr>
          <w:p w14:paraId="54B505B2">
            <w:pPr>
              <w:spacing w:line="360" w:lineRule="auto"/>
              <w:rPr>
                <w:sz w:val="18"/>
                <w:szCs w:val="18"/>
              </w:rPr>
            </w:pPr>
            <w:r>
              <w:rPr>
                <w:rFonts w:hint="eastAsia"/>
                <w:sz w:val="18"/>
                <w:szCs w:val="18"/>
              </w:rPr>
              <w:t>1.投标人于投标文件中必须对所有产品的技术参数要求作出真实、有效的响应和承诺。供应商所提供的产品必须为原装正品的、全新的、必须符合国家强制执行的相关质量标准要求以及产品制造厂家合格产品的出厂质量标准。</w:t>
            </w:r>
          </w:p>
          <w:p w14:paraId="124DFB3C">
            <w:pPr>
              <w:spacing w:line="360" w:lineRule="auto"/>
              <w:rPr>
                <w:sz w:val="18"/>
                <w:szCs w:val="18"/>
              </w:rPr>
            </w:pPr>
            <w:r>
              <w:rPr>
                <w:rFonts w:hint="eastAsia"/>
                <w:sz w:val="18"/>
                <w:szCs w:val="18"/>
              </w:rPr>
              <w:t>2.招标人现场根据招标文件要求及招标文件承诺对各项参数逐条对应进行核验，核验或检测数据不符合招标人要求及投标文件承诺的指标的，招标人有权终止合同执行并全部退货，由此造成招标人经济损失的由成交供应商负责承担全部赔偿责任并向招标人支付合同金额的30%违约赔偿金。如有异议，将交由国家认可并具有检验检测资质的第三方机构进行检验，若核验结果的各项参数指标不满足招标人要求及投标文件承诺的指标要求，所有产生的费用由中标人承担，并承担虚假投标的相关法律责任。</w:t>
            </w:r>
          </w:p>
          <w:p w14:paraId="6525CF22">
            <w:pPr>
              <w:spacing w:line="360" w:lineRule="auto"/>
              <w:rPr>
                <w:sz w:val="18"/>
                <w:szCs w:val="18"/>
              </w:rPr>
            </w:pPr>
            <w:r>
              <w:rPr>
                <w:rFonts w:hint="eastAsia"/>
                <w:sz w:val="18"/>
                <w:szCs w:val="18"/>
              </w:rPr>
              <w:t>3.项目完成系统建设内容，经稳定运行一周以上可提出验收，成交供应商按医院信息化项目管理制度要求提供有关材料，由采购人组织现场验收。</w:t>
            </w:r>
          </w:p>
          <w:p w14:paraId="01BFD5D2">
            <w:pPr>
              <w:spacing w:line="360" w:lineRule="auto"/>
              <w:rPr>
                <w:rFonts w:asciiTheme="minorEastAsia" w:hAnsiTheme="minorEastAsia" w:eastAsiaTheme="minorEastAsia" w:cstheme="minorEastAsia"/>
                <w:spacing w:val="-2"/>
                <w:sz w:val="18"/>
                <w:szCs w:val="18"/>
              </w:rPr>
            </w:pPr>
            <w:r>
              <w:rPr>
                <w:rFonts w:hint="eastAsia"/>
                <w:sz w:val="18"/>
                <w:szCs w:val="18"/>
              </w:rPr>
              <w:t>4.验收其他要求按合同条款执行。</w:t>
            </w:r>
          </w:p>
        </w:tc>
      </w:tr>
      <w:tr w14:paraId="2FB03B46">
        <w:tblPrEx>
          <w:tblCellMar>
            <w:top w:w="0" w:type="dxa"/>
            <w:left w:w="108" w:type="dxa"/>
            <w:bottom w:w="0" w:type="dxa"/>
            <w:right w:w="108" w:type="dxa"/>
          </w:tblCellMar>
        </w:tblPrEx>
        <w:trPr>
          <w:trHeight w:val="378" w:hRule="atLeast"/>
          <w:jc w:val="center"/>
        </w:trPr>
        <w:tc>
          <w:tcPr>
            <w:tcW w:w="1343" w:type="dxa"/>
            <w:tcBorders>
              <w:top w:val="single" w:color="auto" w:sz="4" w:space="0"/>
              <w:left w:val="single" w:color="auto" w:sz="4" w:space="0"/>
              <w:bottom w:val="single" w:color="auto" w:sz="4" w:space="0"/>
              <w:right w:val="single" w:color="auto" w:sz="4" w:space="0"/>
            </w:tcBorders>
            <w:vAlign w:val="center"/>
          </w:tcPr>
          <w:p w14:paraId="48363728">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Theme="minorEastAsia" w:hAnsiTheme="minorEastAsia" w:eastAsiaTheme="minorEastAsia" w:cstheme="minorEastAsia"/>
                <w:bCs/>
                <w:spacing w:val="-2"/>
                <w:sz w:val="21"/>
                <w:szCs w:val="21"/>
              </w:rPr>
              <w:t>（六）</w:t>
            </w:r>
            <w:r>
              <w:rPr>
                <w:rFonts w:hint="eastAsia" w:ascii="宋体" w:hAnsi="宋体" w:cs="宋体"/>
                <w:b/>
                <w:bCs/>
                <w:sz w:val="21"/>
                <w:szCs w:val="21"/>
                <w:lang w:val="zh-CN"/>
              </w:rPr>
              <w:t>其他要求</w:t>
            </w:r>
          </w:p>
        </w:tc>
        <w:tc>
          <w:tcPr>
            <w:tcW w:w="8886" w:type="dxa"/>
            <w:tcBorders>
              <w:top w:val="single" w:color="auto" w:sz="4" w:space="0"/>
              <w:left w:val="single" w:color="auto" w:sz="4" w:space="0"/>
              <w:bottom w:val="single" w:color="auto" w:sz="4" w:space="0"/>
              <w:right w:val="single" w:color="auto" w:sz="4" w:space="0"/>
            </w:tcBorders>
            <w:vAlign w:val="center"/>
          </w:tcPr>
          <w:p w14:paraId="07B68501">
            <w:pPr>
              <w:spacing w:line="360" w:lineRule="auto"/>
              <w:rPr>
                <w:sz w:val="18"/>
                <w:szCs w:val="18"/>
              </w:rPr>
            </w:pPr>
            <w:r>
              <w:rPr>
                <w:rFonts w:hint="eastAsia"/>
                <w:sz w:val="18"/>
                <w:szCs w:val="18"/>
              </w:rPr>
              <w:t>1.本项目所提供的软件必须具有合法的版权或使用权，如在本项目范围内使用过程中出现版权或使用权纠纷，应由供应商负责。</w:t>
            </w:r>
          </w:p>
          <w:p w14:paraId="4CAFBAD2">
            <w:pPr>
              <w:spacing w:line="360" w:lineRule="auto"/>
              <w:rPr>
                <w:sz w:val="18"/>
                <w:szCs w:val="18"/>
              </w:rPr>
            </w:pPr>
            <w:r>
              <w:rPr>
                <w:rFonts w:hint="eastAsia"/>
                <w:sz w:val="18"/>
                <w:szCs w:val="18"/>
              </w:rPr>
              <w:t>2.为了避免恶意竞争，保证项目的整体质量并确保服务质量，如某一供应商的报价明显低于其他通过符合性审查投标人的报价或评标委员会认定为低于成本报价时，评标委员会可要求其在规定时间内予以澄清说明，必要时可要求其提供相关证明材料，投标人不能合理说明或者不能提供相关证明材料的，视为以低于企业成本报价恶意报价，其投标文件作无效处理。</w:t>
            </w:r>
          </w:p>
          <w:p w14:paraId="223D2B38">
            <w:pPr>
              <w:spacing w:line="360" w:lineRule="auto"/>
              <w:rPr>
                <w:rFonts w:hint="eastAsia"/>
                <w:sz w:val="18"/>
                <w:szCs w:val="18"/>
              </w:rPr>
            </w:pPr>
            <w:r>
              <w:rPr>
                <w:rFonts w:hint="eastAsia"/>
                <w:sz w:val="18"/>
                <w:szCs w:val="18"/>
              </w:rPr>
              <w:t>3.投标报价包括本次采购范围内所有服务、人员、材料、运输、管理费、购置费、税金、后续服务等及其他所有成本费用的总和，招标人不再支付其他任何费用。</w:t>
            </w:r>
          </w:p>
          <w:p w14:paraId="4001314C">
            <w:pPr>
              <w:jc w:val="left"/>
              <w:rPr>
                <w:rFonts w:hint="eastAsia"/>
                <w:sz w:val="18"/>
                <w:szCs w:val="18"/>
              </w:rPr>
            </w:pPr>
            <w:r>
              <w:rPr>
                <w:rFonts w:hint="eastAsia" w:ascii="宋体" w:hAnsi="宋体" w:eastAsia="宋体" w:cs="宋体"/>
                <w:color w:val="auto"/>
                <w:sz w:val="18"/>
                <w:szCs w:val="18"/>
                <w:highlight w:val="none"/>
                <w:lang w:val="en-US" w:eastAsia="zh-CN"/>
              </w:rPr>
              <w:t>4、本项目采购预算金额：人民币</w:t>
            </w:r>
            <w:r>
              <w:rPr>
                <w:rFonts w:hint="eastAsia" w:ascii="宋体" w:hAnsi="宋体" w:cs="宋体"/>
                <w:color w:val="auto"/>
                <w:sz w:val="18"/>
                <w:szCs w:val="18"/>
                <w:highlight w:val="none"/>
                <w:lang w:val="en-US" w:eastAsia="zh-CN"/>
              </w:rPr>
              <w:t>陆拾贰万贰仟</w:t>
            </w:r>
            <w:r>
              <w:rPr>
                <w:rFonts w:hint="eastAsia" w:ascii="宋体" w:hAnsi="宋体" w:eastAsia="宋体" w:cs="宋体"/>
                <w:color w:val="auto"/>
                <w:sz w:val="18"/>
                <w:szCs w:val="18"/>
                <w:highlight w:val="none"/>
                <w:lang w:val="en-US" w:eastAsia="zh-CN"/>
              </w:rPr>
              <w:t>元整（¥</w:t>
            </w:r>
            <w:r>
              <w:rPr>
                <w:rFonts w:hint="eastAsia" w:ascii="宋体" w:hAnsi="宋体" w:cs="宋体"/>
                <w:color w:val="auto"/>
                <w:sz w:val="18"/>
                <w:szCs w:val="18"/>
                <w:highlight w:val="none"/>
                <w:lang w:val="en-US" w:eastAsia="zh-CN"/>
              </w:rPr>
              <w:t>622000</w:t>
            </w:r>
            <w:r>
              <w:rPr>
                <w:rFonts w:hint="eastAsia" w:ascii="宋体" w:hAnsi="宋体" w:eastAsia="宋体" w:cs="宋体"/>
                <w:color w:val="auto"/>
                <w:sz w:val="18"/>
                <w:szCs w:val="18"/>
                <w:highlight w:val="none"/>
                <w:lang w:val="en-US" w:eastAsia="zh-CN"/>
              </w:rPr>
              <w:t>.00元）。报价超过采购预算金额的，调研文件按无效处理。</w:t>
            </w:r>
          </w:p>
        </w:tc>
      </w:tr>
    </w:tbl>
    <w:p w14:paraId="4AE234DF">
      <w:pPr>
        <w:rPr>
          <w:b/>
          <w:bCs/>
        </w:rPr>
      </w:pPr>
    </w:p>
    <w:p w14:paraId="6AF2CF23"/>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大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5385EE"/>
    <w:multiLevelType w:val="singleLevel"/>
    <w:tmpl w:val="685385EE"/>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D616A"/>
    <w:rsid w:val="01F30BBC"/>
    <w:rsid w:val="04BF7674"/>
    <w:rsid w:val="0F721E6B"/>
    <w:rsid w:val="1032561E"/>
    <w:rsid w:val="113C12DA"/>
    <w:rsid w:val="12670401"/>
    <w:rsid w:val="17D83E4A"/>
    <w:rsid w:val="1A1A27B3"/>
    <w:rsid w:val="1B634D6B"/>
    <w:rsid w:val="2965324A"/>
    <w:rsid w:val="2BB7085C"/>
    <w:rsid w:val="2C9556C7"/>
    <w:rsid w:val="3F795AB7"/>
    <w:rsid w:val="4D340029"/>
    <w:rsid w:val="4F6E39F6"/>
    <w:rsid w:val="5A4B77C2"/>
    <w:rsid w:val="5C8E6DE6"/>
    <w:rsid w:val="64112FF4"/>
    <w:rsid w:val="716450F5"/>
    <w:rsid w:val="75E73A32"/>
    <w:rsid w:val="76E63D4F"/>
    <w:rsid w:val="7B3541F1"/>
    <w:rsid w:val="7BB25031"/>
    <w:rsid w:val="7C596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9"/>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ahoma" w:hAnsi="Tahoma"/>
      <w:sz w:val="18"/>
      <w:szCs w:val="18"/>
    </w:rPr>
  </w:style>
  <w:style w:type="paragraph" w:styleId="4">
    <w:name w:val="annotation text"/>
    <w:basedOn w:val="1"/>
    <w:qFormat/>
    <w:uiPriority w:val="0"/>
    <w:pPr>
      <w:jc w:val="left"/>
    </w:pPr>
  </w:style>
  <w:style w:type="paragraph" w:styleId="5">
    <w:name w:val="Body Text"/>
    <w:basedOn w:val="1"/>
    <w:next w:val="1"/>
    <w:qFormat/>
    <w:uiPriority w:val="0"/>
    <w:pPr>
      <w:spacing w:after="12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3 Char"/>
    <w:link w:val="3"/>
    <w:qFormat/>
    <w:uiPriority w:val="99"/>
    <w:rPr>
      <w:rFonts w:ascii="Calibri" w:hAnsi="Calibri" w:eastAsia="宋体" w:cs="Times New Roman"/>
      <w:kern w:val="2"/>
      <w:sz w:val="28"/>
      <w:szCs w:val="22"/>
      <w:lang w:val="en-US" w:eastAsia="zh-CN" w:bidi="ar-SA"/>
    </w:rPr>
  </w:style>
  <w:style w:type="paragraph" w:customStyle="1" w:styleId="10">
    <w:name w:val="列出段落1"/>
    <w:basedOn w:val="1"/>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2614</Words>
  <Characters>2750</Characters>
  <Lines>0</Lines>
  <Paragraphs>0</Paragraphs>
  <TotalTime>0</TotalTime>
  <ScaleCrop>false</ScaleCrop>
  <LinksUpToDate>false</LinksUpToDate>
  <CharactersWithSpaces>2779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2026-04-27T00:50:38Z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46DC23690EF04B12A877EFD1197C89A3_13</vt:lpwstr>
  </property>
  <property fmtid="{D5CDD505-2E9C-101B-9397-08002B2CF9AE}" pid="4" name="KSOTemplateDocerSaveRecord">
    <vt:lpwstr>eyJoZGlkIjoiODJhZjYxNmNlMWQyYTI4MDdkNDQzYWM1MDViY2VlZTMiLCJ1c2VySWQiOiI0MzYyNDA5MDIifQ==</vt:lpwstr>
  </property>
</Properties>
</file>