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F8547">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Times New Roman" w:hAnsi="Times New Roman" w:eastAsia="宋体" w:cs="Times New Roman"/>
          <w:color w:val="auto"/>
          <w:sz w:val="30"/>
          <w:szCs w:val="30"/>
          <w:lang w:val="en-US" w:eastAsia="zh-CN"/>
        </w:rPr>
        <w:t>终端安全准入与虚拟化安全管理系统续保服务</w:t>
      </w:r>
      <w:r>
        <w:rPr>
          <w:rFonts w:hint="eastAsia" w:ascii="宋体" w:hAnsi="宋体" w:eastAsia="宋体" w:cs="宋体"/>
          <w:b/>
          <w:bCs w:val="0"/>
          <w:sz w:val="30"/>
          <w:szCs w:val="30"/>
          <w:lang w:val="en-US" w:eastAsia="zh-CN"/>
        </w:rPr>
        <w:t>采购</w:t>
      </w:r>
    </w:p>
    <w:p w14:paraId="0798EB5B">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功能需求</w:t>
      </w:r>
    </w:p>
    <w:p w14:paraId="2AB78736">
      <w:pPr>
        <w:jc w:val="left"/>
        <w:rPr>
          <w:rFonts w:hint="eastAsia" w:ascii="宋体" w:hAnsi="宋体" w:cs="宋体"/>
          <w:b/>
          <w:bCs w:val="0"/>
          <w:sz w:val="24"/>
          <w:szCs w:val="24"/>
          <w:lang w:val="en-US" w:eastAsia="zh-CN"/>
        </w:rPr>
      </w:pPr>
    </w:p>
    <w:p w14:paraId="660416E2">
      <w:pPr>
        <w:numPr>
          <w:ilvl w:val="0"/>
          <w:numId w:val="1"/>
        </w:numPr>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技术要求</w:t>
      </w:r>
    </w:p>
    <w:tbl>
      <w:tblPr>
        <w:tblStyle w:val="7"/>
        <w:tblW w:w="55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
        <w:gridCol w:w="1631"/>
        <w:gridCol w:w="6414"/>
        <w:gridCol w:w="405"/>
        <w:gridCol w:w="660"/>
      </w:tblGrid>
      <w:tr w14:paraId="2688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213" w:type="pct"/>
            <w:vAlign w:val="center"/>
          </w:tcPr>
          <w:p w14:paraId="27C812A2">
            <w:pPr>
              <w:spacing w:line="400" w:lineRule="exact"/>
              <w:jc w:val="center"/>
              <w:rPr>
                <w:rFonts w:ascii="宋体" w:hAnsi="宋体" w:eastAsia="宋体"/>
                <w:b/>
                <w:bCs/>
                <w:color w:val="auto"/>
                <w:sz w:val="24"/>
                <w:szCs w:val="24"/>
              </w:rPr>
            </w:pPr>
            <w:r>
              <w:rPr>
                <w:rFonts w:hint="eastAsia" w:ascii="宋体" w:hAnsi="宋体" w:eastAsia="宋体"/>
                <w:b/>
                <w:bCs/>
                <w:color w:val="auto"/>
                <w:sz w:val="24"/>
                <w:szCs w:val="24"/>
              </w:rPr>
              <w:t>项号</w:t>
            </w:r>
          </w:p>
        </w:tc>
        <w:tc>
          <w:tcPr>
            <w:tcW w:w="856" w:type="pct"/>
            <w:vAlign w:val="center"/>
          </w:tcPr>
          <w:p w14:paraId="5196E402">
            <w:pPr>
              <w:spacing w:line="400" w:lineRule="exact"/>
              <w:jc w:val="center"/>
              <w:rPr>
                <w:rFonts w:ascii="宋体" w:hAnsi="宋体" w:eastAsia="宋体" w:cs="宋体"/>
                <w:b/>
                <w:bCs/>
                <w:color w:val="auto"/>
                <w:sz w:val="24"/>
                <w:szCs w:val="24"/>
              </w:rPr>
            </w:pPr>
            <w:r>
              <w:rPr>
                <w:rFonts w:hint="eastAsia" w:ascii="宋体" w:hAnsi="宋体" w:eastAsia="宋体" w:cs="宋体"/>
                <w:b/>
                <w:bCs/>
                <w:color w:val="auto"/>
                <w:sz w:val="24"/>
                <w:szCs w:val="24"/>
              </w:rPr>
              <w:t>货物名称</w:t>
            </w:r>
          </w:p>
        </w:tc>
        <w:tc>
          <w:tcPr>
            <w:tcW w:w="3370" w:type="pct"/>
            <w:vAlign w:val="center"/>
          </w:tcPr>
          <w:p w14:paraId="196AD543">
            <w:pPr>
              <w:tabs>
                <w:tab w:val="left" w:pos="420"/>
              </w:tabs>
              <w:suppressAutoHyphens/>
              <w:ind w:left="420" w:hanging="420"/>
              <w:jc w:val="center"/>
              <w:rPr>
                <w:rFonts w:ascii="宋体" w:hAnsi="宋体" w:eastAsia="宋体"/>
                <w:b/>
                <w:bCs/>
                <w:color w:val="auto"/>
                <w:sz w:val="18"/>
                <w:szCs w:val="18"/>
              </w:rPr>
            </w:pPr>
            <w:r>
              <w:rPr>
                <w:rFonts w:hint="eastAsia" w:ascii="宋体" w:hAnsi="宋体" w:eastAsia="宋体"/>
                <w:b/>
                <w:bCs/>
                <w:color w:val="auto"/>
                <w:sz w:val="18"/>
                <w:szCs w:val="18"/>
              </w:rPr>
              <w:t>技术参数及性能配置要求</w:t>
            </w:r>
          </w:p>
        </w:tc>
        <w:tc>
          <w:tcPr>
            <w:tcW w:w="212" w:type="pct"/>
            <w:vAlign w:val="center"/>
          </w:tcPr>
          <w:p w14:paraId="60C5D9CA">
            <w:pPr>
              <w:spacing w:line="400" w:lineRule="exact"/>
              <w:jc w:val="center"/>
              <w:rPr>
                <w:rFonts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346" w:type="pct"/>
            <w:vAlign w:val="center"/>
          </w:tcPr>
          <w:p w14:paraId="06238657">
            <w:pPr>
              <w:spacing w:line="400" w:lineRule="exact"/>
              <w:jc w:val="center"/>
              <w:rPr>
                <w:rFonts w:ascii="宋体" w:hAnsi="宋体" w:eastAsia="宋体" w:cs="宋体"/>
                <w:b/>
                <w:bCs/>
                <w:color w:val="auto"/>
                <w:sz w:val="24"/>
                <w:szCs w:val="24"/>
              </w:rPr>
            </w:pPr>
            <w:r>
              <w:rPr>
                <w:rFonts w:hint="eastAsia" w:ascii="宋体" w:hAnsi="宋体" w:eastAsia="宋体" w:cs="宋体"/>
                <w:b/>
                <w:bCs/>
                <w:color w:val="auto"/>
                <w:sz w:val="24"/>
                <w:szCs w:val="24"/>
              </w:rPr>
              <w:t>单位</w:t>
            </w:r>
          </w:p>
        </w:tc>
      </w:tr>
      <w:tr w14:paraId="75A4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13" w:type="pct"/>
            <w:shd w:val="clear" w:color="auto" w:fill="auto"/>
            <w:vAlign w:val="center"/>
          </w:tcPr>
          <w:p w14:paraId="07C32035">
            <w:pPr>
              <w:spacing w:line="400" w:lineRule="exact"/>
              <w:jc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Cs w:val="21"/>
              </w:rPr>
              <w:t>1</w:t>
            </w:r>
          </w:p>
        </w:tc>
        <w:tc>
          <w:tcPr>
            <w:tcW w:w="856" w:type="pct"/>
            <w:shd w:val="clear" w:color="auto" w:fill="auto"/>
            <w:vAlign w:val="center"/>
          </w:tcPr>
          <w:p w14:paraId="3CE2EBCB">
            <w:pPr>
              <w:spacing w:line="300" w:lineRule="atLeas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内网终端安全管理系统续保、扩容</w:t>
            </w:r>
          </w:p>
        </w:tc>
        <w:tc>
          <w:tcPr>
            <w:tcW w:w="3370" w:type="pct"/>
            <w:shd w:val="clear" w:color="auto" w:fill="auto"/>
            <w:vAlign w:val="center"/>
          </w:tcPr>
          <w:p w14:paraId="672D796D">
            <w:pPr>
              <w:pStyle w:val="11"/>
              <w:numPr>
                <w:ilvl w:val="0"/>
                <w:numId w:val="0"/>
              </w:numPr>
              <w:ind w:firstLine="0" w:firstLineChars="0"/>
              <w:rPr>
                <w:rFonts w:hint="eastAsia" w:ascii="宋体" w:hAnsi="宋体" w:eastAsia="宋体"/>
                <w:color w:val="auto"/>
                <w:sz w:val="18"/>
                <w:szCs w:val="18"/>
              </w:rPr>
            </w:pPr>
            <w:r>
              <w:rPr>
                <w:rFonts w:hint="eastAsia" w:ascii="宋体" w:hAnsi="宋体" w:eastAsia="宋体" w:cs="宋体"/>
                <w:color w:val="auto"/>
                <w:kern w:val="2"/>
                <w:sz w:val="18"/>
                <w:szCs w:val="18"/>
                <w:lang w:val="en-US" w:eastAsia="zh-CN" w:bidi="ar-SA"/>
              </w:rPr>
              <w:t>1</w:t>
            </w:r>
            <w:r>
              <w:rPr>
                <w:rFonts w:hint="eastAsia" w:cs="宋体"/>
                <w:color w:val="auto"/>
                <w:kern w:val="2"/>
                <w:sz w:val="18"/>
                <w:szCs w:val="18"/>
                <w:lang w:val="en-US" w:eastAsia="zh-CN" w:bidi="ar-SA"/>
              </w:rPr>
              <w:t>.</w:t>
            </w:r>
            <w:r>
              <w:rPr>
                <w:rFonts w:hint="eastAsia" w:ascii="宋体" w:hAnsi="宋体" w:eastAsia="宋体"/>
                <w:color w:val="auto"/>
                <w:sz w:val="18"/>
                <w:szCs w:val="18"/>
              </w:rPr>
              <w:t>配置</w:t>
            </w:r>
            <w:r>
              <w:rPr>
                <w:rFonts w:hint="eastAsia" w:ascii="宋体" w:hAnsi="宋体" w:eastAsia="宋体"/>
                <w:color w:val="auto"/>
                <w:sz w:val="18"/>
                <w:szCs w:val="18"/>
                <w:lang w:val="en-US" w:eastAsia="zh-CN"/>
              </w:rPr>
              <w:t>续保≥1600点</w:t>
            </w:r>
            <w:r>
              <w:rPr>
                <w:rFonts w:hint="eastAsia" w:ascii="宋体" w:hAnsi="宋体" w:eastAsia="宋体"/>
                <w:color w:val="auto"/>
                <w:sz w:val="18"/>
                <w:szCs w:val="18"/>
              </w:rPr>
              <w:t>防病毒（不含第三方扩展引擎）、补丁管理、主机防火墙、终端管控、移动存储管理、Windows XP/7 停服系统加固功能授权。支持主流Windows PC客户端操作系统，含一年功能、病毒特征库、补丁规则库更新服务。</w:t>
            </w:r>
          </w:p>
          <w:p w14:paraId="25D0D9F2">
            <w:pPr>
              <w:pStyle w:val="11"/>
              <w:numPr>
                <w:ilvl w:val="0"/>
                <w:numId w:val="0"/>
              </w:numPr>
              <w:ind w:firstLine="0" w:firstLineChars="0"/>
              <w:rPr>
                <w:rFonts w:ascii="宋体" w:hAnsi="宋体" w:eastAsia="宋体"/>
                <w:color w:val="auto"/>
                <w:sz w:val="18"/>
                <w:szCs w:val="18"/>
              </w:rPr>
            </w:pPr>
            <w:r>
              <w:rPr>
                <w:rFonts w:hint="eastAsia" w:cs="宋体"/>
                <w:color w:val="auto"/>
                <w:kern w:val="2"/>
                <w:sz w:val="18"/>
                <w:szCs w:val="18"/>
                <w:lang w:val="en-US" w:eastAsia="zh-CN" w:bidi="ar-SA"/>
              </w:rPr>
              <w:t>2.</w:t>
            </w:r>
            <w:r>
              <w:rPr>
                <w:rFonts w:hint="eastAsia" w:ascii="宋体" w:hAnsi="宋体" w:eastAsia="宋体"/>
                <w:color w:val="auto"/>
                <w:sz w:val="18"/>
                <w:szCs w:val="18"/>
              </w:rPr>
              <w:t>配置续保≥8点Linux防病毒一年更新服务，含一年功能及病毒特征库更新服务。</w:t>
            </w:r>
          </w:p>
          <w:p w14:paraId="30DFD8B8">
            <w:pPr>
              <w:pStyle w:val="11"/>
              <w:numPr>
                <w:ilvl w:val="0"/>
                <w:numId w:val="0"/>
              </w:numPr>
              <w:ind w:firstLine="0" w:firstLineChars="0"/>
              <w:rPr>
                <w:rFonts w:ascii="宋体" w:hAnsi="宋体" w:eastAsia="宋体"/>
                <w:color w:val="auto"/>
                <w:sz w:val="18"/>
                <w:szCs w:val="18"/>
              </w:rPr>
            </w:pPr>
            <w:r>
              <w:rPr>
                <w:rFonts w:hint="eastAsia" w:ascii="宋体" w:hAnsi="宋体" w:eastAsia="宋体" w:cs="宋体"/>
                <w:color w:val="auto"/>
                <w:kern w:val="2"/>
                <w:sz w:val="18"/>
                <w:szCs w:val="18"/>
                <w:lang w:val="en-US" w:eastAsia="zh-CN" w:bidi="ar-SA"/>
              </w:rPr>
              <w:t>3</w:t>
            </w:r>
            <w:r>
              <w:rPr>
                <w:rFonts w:hint="eastAsia" w:cs="宋体"/>
                <w:color w:val="auto"/>
                <w:kern w:val="2"/>
                <w:sz w:val="18"/>
                <w:szCs w:val="18"/>
                <w:lang w:val="en-US" w:eastAsia="zh-CN" w:bidi="ar-SA"/>
              </w:rPr>
              <w:t>.</w:t>
            </w:r>
            <w:r>
              <w:rPr>
                <w:rFonts w:hint="eastAsia" w:ascii="宋体" w:hAnsi="宋体" w:eastAsia="宋体"/>
                <w:color w:val="auto"/>
                <w:sz w:val="18"/>
                <w:szCs w:val="18"/>
              </w:rPr>
              <w:t>防病毒：支持病毒防护概况、病毒查杀日志、病毒防护报表、黑白名单、病毒扫描、主动防御、网络防护、终端病毒处理弹窗等功能。</w:t>
            </w:r>
          </w:p>
          <w:p w14:paraId="43A48EA2">
            <w:pPr>
              <w:pStyle w:val="11"/>
              <w:numPr>
                <w:ilvl w:val="0"/>
                <w:numId w:val="0"/>
              </w:numPr>
              <w:ind w:firstLine="0" w:firstLineChars="0"/>
              <w:rPr>
                <w:rFonts w:ascii="宋体" w:hAnsi="宋体" w:eastAsia="宋体"/>
                <w:color w:val="auto"/>
                <w:sz w:val="18"/>
                <w:szCs w:val="18"/>
              </w:rPr>
            </w:pPr>
            <w:r>
              <w:rPr>
                <w:rFonts w:hint="eastAsia" w:ascii="宋体" w:hAnsi="宋体" w:eastAsia="宋体" w:cs="宋体"/>
                <w:color w:val="auto"/>
                <w:kern w:val="2"/>
                <w:sz w:val="18"/>
                <w:szCs w:val="18"/>
                <w:lang w:val="en-US" w:eastAsia="zh-CN" w:bidi="ar-SA"/>
              </w:rPr>
              <w:t>4</w:t>
            </w:r>
            <w:r>
              <w:rPr>
                <w:rFonts w:hint="eastAsia" w:cs="宋体"/>
                <w:color w:val="auto"/>
                <w:kern w:val="2"/>
                <w:sz w:val="18"/>
                <w:szCs w:val="18"/>
                <w:lang w:val="en-US" w:eastAsia="zh-CN" w:bidi="ar-SA"/>
              </w:rPr>
              <w:t>.</w:t>
            </w:r>
            <w:r>
              <w:rPr>
                <w:rFonts w:hint="eastAsia" w:ascii="宋体" w:hAnsi="宋体" w:eastAsia="宋体"/>
                <w:color w:val="auto"/>
                <w:sz w:val="18"/>
                <w:szCs w:val="18"/>
              </w:rPr>
              <w:t>补丁管理：支持补丁类型、灰度发布、漏洞修复设置、补丁日志等功能。</w:t>
            </w:r>
          </w:p>
          <w:p w14:paraId="35273C9A">
            <w:pPr>
              <w:pStyle w:val="11"/>
              <w:numPr>
                <w:ilvl w:val="0"/>
                <w:numId w:val="0"/>
              </w:numPr>
              <w:ind w:firstLine="0" w:firstLineChars="0"/>
              <w:rPr>
                <w:rFonts w:ascii="宋体" w:hAnsi="宋体" w:eastAsia="宋体"/>
                <w:color w:val="auto"/>
                <w:sz w:val="18"/>
                <w:szCs w:val="18"/>
              </w:rPr>
            </w:pPr>
            <w:r>
              <w:rPr>
                <w:rFonts w:hint="eastAsia" w:ascii="宋体" w:hAnsi="宋体" w:eastAsia="宋体" w:cs="宋体"/>
                <w:color w:val="auto"/>
                <w:kern w:val="2"/>
                <w:sz w:val="18"/>
                <w:szCs w:val="18"/>
                <w:lang w:val="en-US" w:eastAsia="zh-CN" w:bidi="ar-SA"/>
              </w:rPr>
              <w:t>5</w:t>
            </w:r>
            <w:r>
              <w:rPr>
                <w:rFonts w:hint="eastAsia" w:cs="宋体"/>
                <w:color w:val="auto"/>
                <w:kern w:val="2"/>
                <w:sz w:val="18"/>
                <w:szCs w:val="18"/>
                <w:lang w:val="en-US" w:eastAsia="zh-CN" w:bidi="ar-SA"/>
              </w:rPr>
              <w:t>.</w:t>
            </w:r>
            <w:r>
              <w:rPr>
                <w:rFonts w:hint="eastAsia" w:ascii="宋体" w:hAnsi="宋体" w:eastAsia="宋体"/>
                <w:color w:val="auto"/>
                <w:sz w:val="18"/>
                <w:szCs w:val="18"/>
              </w:rPr>
              <w:t>主机防火墙：支持通过添加IP、域名规则、支持允许/拒绝规则、支持任意流向拦截和允许等功能。</w:t>
            </w:r>
          </w:p>
          <w:p w14:paraId="21D88A62">
            <w:pPr>
              <w:pStyle w:val="11"/>
              <w:numPr>
                <w:ilvl w:val="0"/>
                <w:numId w:val="0"/>
              </w:numPr>
              <w:ind w:firstLine="0" w:firstLineChars="0"/>
              <w:rPr>
                <w:rFonts w:ascii="宋体" w:hAnsi="宋体" w:eastAsia="宋体"/>
                <w:color w:val="auto"/>
                <w:sz w:val="18"/>
                <w:szCs w:val="18"/>
              </w:rPr>
            </w:pPr>
            <w:r>
              <w:rPr>
                <w:rFonts w:hint="eastAsia" w:ascii="宋体" w:hAnsi="宋体" w:eastAsia="宋体" w:cs="宋体"/>
                <w:color w:val="auto"/>
                <w:kern w:val="2"/>
                <w:sz w:val="18"/>
                <w:szCs w:val="18"/>
                <w:lang w:val="en-US" w:eastAsia="zh-CN" w:bidi="ar-SA"/>
              </w:rPr>
              <w:t>6</w:t>
            </w:r>
            <w:r>
              <w:rPr>
                <w:rFonts w:hint="eastAsia" w:cs="宋体"/>
                <w:color w:val="auto"/>
                <w:kern w:val="2"/>
                <w:sz w:val="18"/>
                <w:szCs w:val="18"/>
                <w:lang w:val="en-US" w:eastAsia="zh-CN" w:bidi="ar-SA"/>
              </w:rPr>
              <w:t>.</w:t>
            </w:r>
            <w:r>
              <w:rPr>
                <w:rFonts w:hint="eastAsia" w:ascii="宋体" w:hAnsi="宋体" w:eastAsia="宋体"/>
                <w:color w:val="auto"/>
                <w:sz w:val="18"/>
                <w:szCs w:val="18"/>
              </w:rPr>
              <w:t>终端管控：支持外设管理、进程管理、违规外联、能耗管理、外发管控、网络防护等功能。</w:t>
            </w:r>
          </w:p>
          <w:p w14:paraId="3DBE8B63">
            <w:pPr>
              <w:pStyle w:val="11"/>
              <w:numPr>
                <w:ilvl w:val="0"/>
                <w:numId w:val="0"/>
              </w:numPr>
              <w:ind w:firstLine="0" w:firstLineChars="0"/>
              <w:rPr>
                <w:rFonts w:ascii="宋体" w:hAnsi="宋体" w:eastAsia="宋体"/>
                <w:color w:val="auto"/>
                <w:sz w:val="18"/>
                <w:szCs w:val="18"/>
              </w:rPr>
            </w:pPr>
            <w:r>
              <w:rPr>
                <w:rFonts w:hint="eastAsia" w:ascii="宋体" w:hAnsi="宋体" w:eastAsia="宋体" w:cs="宋体"/>
                <w:color w:val="auto"/>
                <w:kern w:val="2"/>
                <w:sz w:val="18"/>
                <w:szCs w:val="18"/>
                <w:lang w:val="en-US" w:eastAsia="zh-CN" w:bidi="ar-SA"/>
              </w:rPr>
              <w:t>7</w:t>
            </w:r>
            <w:r>
              <w:rPr>
                <w:rFonts w:hint="eastAsia" w:cs="宋体"/>
                <w:color w:val="auto"/>
                <w:kern w:val="2"/>
                <w:sz w:val="18"/>
                <w:szCs w:val="18"/>
                <w:lang w:val="en-US" w:eastAsia="zh-CN" w:bidi="ar-SA"/>
              </w:rPr>
              <w:t>.</w:t>
            </w:r>
            <w:r>
              <w:rPr>
                <w:rFonts w:hint="eastAsia" w:ascii="宋体" w:hAnsi="宋体" w:eastAsia="宋体"/>
                <w:color w:val="auto"/>
                <w:sz w:val="18"/>
                <w:szCs w:val="18"/>
              </w:rPr>
              <w:t>移动存储管理：支持对入网的移动存储介质进行注册，可以对已注册的移动介质进行管理，包括授权、启用、停用、删除、取消注册、导出注册列表等功能</w:t>
            </w:r>
            <w:r>
              <w:rPr>
                <w:rFonts w:hint="eastAsia" w:ascii="宋体" w:hAnsi="宋体" w:eastAsia="宋体"/>
                <w:color w:val="auto"/>
                <w:sz w:val="18"/>
                <w:szCs w:val="18"/>
                <w:lang w:eastAsia="zh-CN"/>
              </w:rPr>
              <w:t>。</w:t>
            </w:r>
          </w:p>
          <w:p w14:paraId="0DBF7837">
            <w:pPr>
              <w:pStyle w:val="11"/>
              <w:numPr>
                <w:ilvl w:val="0"/>
                <w:numId w:val="0"/>
              </w:numPr>
              <w:ind w:firstLine="0" w:firstLineChars="0"/>
              <w:rPr>
                <w:rFonts w:ascii="宋体" w:hAnsi="宋体" w:eastAsia="宋体"/>
                <w:color w:val="auto"/>
                <w:sz w:val="18"/>
                <w:szCs w:val="18"/>
              </w:rPr>
            </w:pPr>
            <w:r>
              <w:rPr>
                <w:rFonts w:hint="eastAsia" w:ascii="宋体" w:hAnsi="宋体" w:eastAsia="宋体" w:cs="宋体"/>
                <w:color w:val="auto"/>
                <w:kern w:val="2"/>
                <w:sz w:val="18"/>
                <w:szCs w:val="18"/>
                <w:lang w:val="en-US" w:eastAsia="zh-CN" w:bidi="ar-SA"/>
              </w:rPr>
              <w:t>8</w:t>
            </w:r>
            <w:r>
              <w:rPr>
                <w:rFonts w:hint="eastAsia" w:cs="宋体"/>
                <w:color w:val="auto"/>
                <w:kern w:val="2"/>
                <w:sz w:val="18"/>
                <w:szCs w:val="18"/>
                <w:lang w:val="en-US" w:eastAsia="zh-CN" w:bidi="ar-SA"/>
              </w:rPr>
              <w:t>.</w:t>
            </w:r>
            <w:r>
              <w:rPr>
                <w:rFonts w:hint="eastAsia" w:ascii="宋体" w:hAnsi="宋体" w:eastAsia="宋体"/>
                <w:color w:val="auto"/>
                <w:sz w:val="18"/>
                <w:szCs w:val="18"/>
              </w:rPr>
              <w:t>Windows XP/7 停服系统加固:对Windows XP/7 停服系统可带来安全隐患的设计机制进行加固性修复。</w:t>
            </w:r>
          </w:p>
          <w:p w14:paraId="0C11B433">
            <w:pPr>
              <w:pStyle w:val="11"/>
              <w:numPr>
                <w:ilvl w:val="0"/>
                <w:numId w:val="0"/>
              </w:numPr>
              <w:ind w:firstLine="0" w:firstLineChars="0"/>
              <w:rPr>
                <w:rFonts w:hint="eastAsia" w:ascii="宋体" w:hAnsi="宋体" w:eastAsia="宋体" w:cstheme="minorBidi"/>
                <w:color w:val="auto"/>
                <w:kern w:val="2"/>
                <w:sz w:val="18"/>
                <w:szCs w:val="18"/>
                <w:lang w:val="en-US" w:eastAsia="zh-CN" w:bidi="ar-SA"/>
              </w:rPr>
            </w:pPr>
            <w:r>
              <w:rPr>
                <w:rFonts w:hint="eastAsia" w:ascii="宋体" w:hAnsi="宋体" w:eastAsia="宋体" w:cstheme="minorBidi"/>
                <w:color w:val="auto"/>
                <w:kern w:val="2"/>
                <w:sz w:val="18"/>
                <w:szCs w:val="18"/>
                <w:lang w:val="en-US" w:eastAsia="zh-CN" w:bidi="ar-SA"/>
              </w:rPr>
              <w:t>9</w:t>
            </w:r>
            <w:r>
              <w:rPr>
                <w:rFonts w:hint="eastAsia" w:cstheme="minorBidi"/>
                <w:color w:val="auto"/>
                <w:kern w:val="2"/>
                <w:sz w:val="18"/>
                <w:szCs w:val="18"/>
                <w:lang w:val="en-US" w:eastAsia="zh-CN" w:bidi="ar-SA"/>
              </w:rPr>
              <w:t>.</w:t>
            </w:r>
            <w:r>
              <w:rPr>
                <w:rFonts w:hint="eastAsia" w:ascii="宋体" w:hAnsi="宋体" w:eastAsia="宋体"/>
                <w:color w:val="auto"/>
                <w:sz w:val="18"/>
                <w:szCs w:val="18"/>
              </w:rPr>
              <w:t>须与现网终端安全管理系统无缝兼容，</w:t>
            </w:r>
            <w:r>
              <w:rPr>
                <w:rFonts w:hint="eastAsia" w:ascii="宋体" w:hAnsi="宋体" w:eastAsia="宋体"/>
                <w:b/>
                <w:bCs/>
                <w:color w:val="auto"/>
                <w:sz w:val="18"/>
                <w:szCs w:val="18"/>
                <w:lang w:val="en-US" w:eastAsia="zh-CN"/>
              </w:rPr>
              <w:t>投标时</w:t>
            </w:r>
            <w:r>
              <w:rPr>
                <w:rFonts w:hint="eastAsia" w:ascii="宋体" w:hAnsi="宋体" w:eastAsia="宋体"/>
                <w:b/>
                <w:bCs/>
                <w:color w:val="auto"/>
                <w:sz w:val="18"/>
                <w:szCs w:val="18"/>
              </w:rPr>
              <w:t>提供产品生产厂商出具的售后服务承诺函原件</w:t>
            </w:r>
            <w:r>
              <w:rPr>
                <w:rFonts w:hint="eastAsia" w:ascii="宋体" w:hAnsi="宋体" w:eastAsia="宋体"/>
                <w:b/>
                <w:bCs/>
                <w:color w:val="auto"/>
                <w:sz w:val="18"/>
                <w:szCs w:val="18"/>
                <w:lang w:eastAsia="zh-CN"/>
              </w:rPr>
              <w:t>，</w:t>
            </w:r>
            <w:r>
              <w:rPr>
                <w:rFonts w:hint="eastAsia" w:ascii="宋体" w:hAnsi="宋体" w:eastAsia="宋体"/>
                <w:b/>
                <w:bCs/>
                <w:color w:val="auto"/>
                <w:sz w:val="18"/>
                <w:szCs w:val="18"/>
                <w:lang w:val="en-US" w:eastAsia="zh-CN"/>
              </w:rPr>
              <w:t>否则投标无效</w:t>
            </w:r>
            <w:r>
              <w:rPr>
                <w:rFonts w:hint="eastAsia" w:ascii="宋体" w:hAnsi="宋体" w:eastAsia="宋体"/>
                <w:b/>
                <w:bCs/>
                <w:color w:val="auto"/>
                <w:sz w:val="18"/>
                <w:szCs w:val="18"/>
              </w:rPr>
              <w:t>。</w:t>
            </w:r>
          </w:p>
        </w:tc>
        <w:tc>
          <w:tcPr>
            <w:tcW w:w="212" w:type="pct"/>
            <w:shd w:val="clear" w:color="auto" w:fill="auto"/>
            <w:vAlign w:val="center"/>
          </w:tcPr>
          <w:p w14:paraId="4BEFBF08">
            <w:pPr>
              <w:spacing w:line="360" w:lineRule="auto"/>
              <w:jc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szCs w:val="21"/>
              </w:rPr>
              <w:t>1</w:t>
            </w:r>
          </w:p>
        </w:tc>
        <w:tc>
          <w:tcPr>
            <w:tcW w:w="346" w:type="pct"/>
            <w:shd w:val="clear" w:color="auto" w:fill="auto"/>
            <w:vAlign w:val="center"/>
          </w:tcPr>
          <w:p w14:paraId="5E47CAE9">
            <w:pPr>
              <w:spacing w:line="360"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项</w:t>
            </w:r>
          </w:p>
        </w:tc>
      </w:tr>
      <w:tr w14:paraId="5323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13" w:type="pct"/>
            <w:shd w:val="clear" w:color="auto" w:fill="auto"/>
            <w:vAlign w:val="center"/>
          </w:tcPr>
          <w:p w14:paraId="6B898789">
            <w:pPr>
              <w:spacing w:line="400" w:lineRule="exact"/>
              <w:jc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Cs w:val="21"/>
              </w:rPr>
              <w:t>2</w:t>
            </w:r>
          </w:p>
        </w:tc>
        <w:tc>
          <w:tcPr>
            <w:tcW w:w="856" w:type="pct"/>
            <w:shd w:val="clear" w:color="auto" w:fill="auto"/>
            <w:vAlign w:val="center"/>
          </w:tcPr>
          <w:p w14:paraId="319DCB67">
            <w:pPr>
              <w:spacing w:line="300" w:lineRule="atLeas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准入系统和客户端升级维保</w:t>
            </w:r>
          </w:p>
        </w:tc>
        <w:tc>
          <w:tcPr>
            <w:tcW w:w="3370" w:type="pct"/>
            <w:shd w:val="clear" w:color="auto" w:fill="auto"/>
            <w:vAlign w:val="center"/>
          </w:tcPr>
          <w:p w14:paraId="62BFC6B2">
            <w:pPr>
              <w:pStyle w:val="11"/>
              <w:numPr>
                <w:ilvl w:val="0"/>
                <w:numId w:val="0"/>
              </w:numPr>
              <w:ind w:firstLine="0" w:firstLineChars="0"/>
              <w:rPr>
                <w:rFonts w:hint="eastAsia" w:ascii="宋体" w:hAnsi="宋体" w:eastAsia="宋体" w:cstheme="minorBidi"/>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1</w:t>
            </w:r>
            <w:r>
              <w:rPr>
                <w:rFonts w:hint="eastAsia" w:cs="宋体"/>
                <w:color w:val="auto"/>
                <w:kern w:val="2"/>
                <w:sz w:val="18"/>
                <w:szCs w:val="18"/>
                <w:lang w:val="en-US" w:eastAsia="zh-CN" w:bidi="ar-SA"/>
              </w:rPr>
              <w:t>.</w:t>
            </w:r>
            <w:r>
              <w:rPr>
                <w:rFonts w:hint="eastAsia" w:ascii="宋体" w:hAnsi="宋体" w:eastAsia="宋体"/>
                <w:color w:val="auto"/>
                <w:sz w:val="18"/>
                <w:szCs w:val="18"/>
              </w:rPr>
              <w:t>配置续保网络安全准入系统和≥1</w:t>
            </w:r>
            <w:r>
              <w:rPr>
                <w:rFonts w:hint="eastAsia" w:ascii="宋体" w:hAnsi="宋体" w:eastAsia="宋体"/>
                <w:color w:val="auto"/>
                <w:sz w:val="18"/>
                <w:szCs w:val="18"/>
                <w:lang w:val="en-US" w:eastAsia="zh-CN"/>
              </w:rPr>
              <w:t>6</w:t>
            </w:r>
            <w:r>
              <w:rPr>
                <w:rFonts w:hint="eastAsia" w:ascii="宋体" w:hAnsi="宋体" w:eastAsia="宋体"/>
                <w:color w:val="auto"/>
                <w:sz w:val="18"/>
                <w:szCs w:val="18"/>
              </w:rPr>
              <w:t>00点准入客户端的1年升级更新及维保服务。</w:t>
            </w:r>
          </w:p>
        </w:tc>
        <w:tc>
          <w:tcPr>
            <w:tcW w:w="212" w:type="pct"/>
            <w:shd w:val="clear" w:color="auto" w:fill="auto"/>
            <w:vAlign w:val="center"/>
          </w:tcPr>
          <w:p w14:paraId="77A44E64">
            <w:pPr>
              <w:spacing w:line="360"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1</w:t>
            </w:r>
          </w:p>
        </w:tc>
        <w:tc>
          <w:tcPr>
            <w:tcW w:w="346" w:type="pct"/>
            <w:shd w:val="clear" w:color="auto" w:fill="auto"/>
            <w:vAlign w:val="center"/>
          </w:tcPr>
          <w:p w14:paraId="6E244D26">
            <w:pPr>
              <w:spacing w:line="360"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项</w:t>
            </w:r>
          </w:p>
        </w:tc>
      </w:tr>
      <w:tr w14:paraId="6D7B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213" w:type="pct"/>
            <w:shd w:val="clear" w:color="auto" w:fill="auto"/>
            <w:vAlign w:val="center"/>
          </w:tcPr>
          <w:p w14:paraId="70008FBC">
            <w:pPr>
              <w:spacing w:line="400" w:lineRule="exact"/>
              <w:jc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Cs w:val="21"/>
              </w:rPr>
              <w:t>3</w:t>
            </w:r>
          </w:p>
        </w:tc>
        <w:tc>
          <w:tcPr>
            <w:tcW w:w="856" w:type="pct"/>
            <w:shd w:val="clear" w:color="auto" w:fill="auto"/>
            <w:vAlign w:val="center"/>
          </w:tcPr>
          <w:p w14:paraId="0D41A80E">
            <w:pPr>
              <w:spacing w:line="300" w:lineRule="atLeas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内网虚拟化安全续保、扩容</w:t>
            </w:r>
          </w:p>
        </w:tc>
        <w:tc>
          <w:tcPr>
            <w:tcW w:w="3370" w:type="pct"/>
            <w:shd w:val="clear" w:color="auto" w:fill="auto"/>
            <w:vAlign w:val="center"/>
          </w:tcPr>
          <w:p w14:paraId="30F7ADEA">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1</w:t>
            </w:r>
            <w:r>
              <w:rPr>
                <w:rFonts w:hint="eastAsia"/>
                <w:color w:val="auto"/>
                <w:sz w:val="18"/>
                <w:szCs w:val="18"/>
                <w:lang w:val="en-US" w:eastAsia="zh-CN"/>
              </w:rPr>
              <w:t>.</w:t>
            </w:r>
            <w:r>
              <w:rPr>
                <w:rFonts w:hint="eastAsia" w:ascii="宋体" w:hAnsi="宋体" w:eastAsia="宋体"/>
                <w:color w:val="auto"/>
                <w:sz w:val="18"/>
                <w:szCs w:val="18"/>
              </w:rPr>
              <w:t>配置续保≥54颗CPU功能包一年服务授权（包含防病毒+防火墙+入侵防御+webshell检测功能），提供1年7x24远程电话支持服务、模块规则库升级、模块软件升级，以及1年威胁情报支持服务。</w:t>
            </w:r>
          </w:p>
          <w:p w14:paraId="795D64C2">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2</w:t>
            </w:r>
            <w:r>
              <w:rPr>
                <w:rFonts w:hint="eastAsia"/>
                <w:color w:val="auto"/>
                <w:sz w:val="18"/>
                <w:szCs w:val="18"/>
                <w:lang w:val="en-US" w:eastAsia="zh-CN"/>
              </w:rPr>
              <w:t>.</w:t>
            </w:r>
            <w:r>
              <w:rPr>
                <w:rFonts w:hint="eastAsia" w:ascii="宋体" w:hAnsi="宋体" w:eastAsia="宋体"/>
                <w:color w:val="auto"/>
                <w:sz w:val="18"/>
                <w:szCs w:val="18"/>
              </w:rPr>
              <w:t>防病毒：系统支持快速扫描、全盘扫描；支持个性化扫描，可以提供不同路径、不同文件类型、时间等进行自定义病毒扫描查杀。</w:t>
            </w:r>
          </w:p>
          <w:p w14:paraId="09989A1C">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3</w:t>
            </w:r>
            <w:r>
              <w:rPr>
                <w:rFonts w:hint="eastAsia"/>
                <w:color w:val="auto"/>
                <w:sz w:val="18"/>
                <w:szCs w:val="18"/>
                <w:lang w:val="en-US" w:eastAsia="zh-CN"/>
              </w:rPr>
              <w:t>.</w:t>
            </w:r>
            <w:r>
              <w:rPr>
                <w:rFonts w:hint="eastAsia" w:ascii="宋体" w:hAnsi="宋体" w:eastAsia="宋体"/>
                <w:color w:val="auto"/>
                <w:sz w:val="18"/>
                <w:szCs w:val="18"/>
              </w:rPr>
              <w:t>防火墙功能，支持虚拟机/终端系统的双向控制。</w:t>
            </w:r>
          </w:p>
          <w:p w14:paraId="27949E6A">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4</w:t>
            </w:r>
            <w:r>
              <w:rPr>
                <w:rFonts w:hint="eastAsia"/>
                <w:color w:val="auto"/>
                <w:sz w:val="18"/>
                <w:szCs w:val="18"/>
                <w:lang w:val="en-US" w:eastAsia="zh-CN"/>
              </w:rPr>
              <w:t>.</w:t>
            </w:r>
            <w:r>
              <w:rPr>
                <w:rFonts w:hint="eastAsia" w:ascii="宋体" w:hAnsi="宋体" w:eastAsia="宋体"/>
                <w:color w:val="auto"/>
                <w:sz w:val="18"/>
                <w:szCs w:val="18"/>
              </w:rPr>
              <w:t>入侵防御：针对出入虚拟机的流量进行检测识别，防御网络攻击及入侵行为，通过真实漏洞利用流量的特征来检测或阻止漏洞利用(虚拟补丁防护能力)。</w:t>
            </w:r>
          </w:p>
          <w:p w14:paraId="30CFD7A4">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5</w:t>
            </w:r>
            <w:r>
              <w:rPr>
                <w:rFonts w:hint="eastAsia"/>
                <w:color w:val="auto"/>
                <w:sz w:val="18"/>
                <w:szCs w:val="18"/>
                <w:lang w:val="en-US" w:eastAsia="zh-CN"/>
              </w:rPr>
              <w:t>.</w:t>
            </w:r>
            <w:r>
              <w:rPr>
                <w:rFonts w:hint="eastAsia" w:ascii="宋体" w:hAnsi="宋体" w:eastAsia="宋体"/>
                <w:color w:val="auto"/>
                <w:sz w:val="18"/>
                <w:szCs w:val="18"/>
              </w:rPr>
              <w:t>Webshell检测：支持PHP、JSP、ASP、ASPX等文件的恶意webshell检测，支持对webshell文件设定白名单，支持对文件进行下载、隔离、恢复加白操作，避免对网站核心系统文件造成影响。</w:t>
            </w:r>
          </w:p>
          <w:p w14:paraId="60114857">
            <w:pPr>
              <w:pStyle w:val="11"/>
              <w:ind w:left="0" w:firstLine="0" w:firstLineChars="0"/>
              <w:rPr>
                <w:rFonts w:hint="eastAsia" w:ascii="宋体" w:hAnsi="宋体" w:eastAsia="宋体" w:cstheme="minorBidi"/>
                <w:color w:val="auto"/>
                <w:kern w:val="2"/>
                <w:sz w:val="18"/>
                <w:szCs w:val="18"/>
                <w:lang w:val="en-US" w:eastAsia="zh-CN" w:bidi="ar-SA"/>
              </w:rPr>
            </w:pPr>
            <w:r>
              <w:rPr>
                <w:rFonts w:hint="eastAsia" w:ascii="宋体" w:hAnsi="宋体" w:eastAsia="宋体"/>
                <w:color w:val="auto"/>
                <w:sz w:val="18"/>
                <w:szCs w:val="18"/>
              </w:rPr>
              <w:t>6</w:t>
            </w:r>
            <w:r>
              <w:rPr>
                <w:rFonts w:hint="eastAsia"/>
                <w:color w:val="auto"/>
                <w:sz w:val="18"/>
                <w:szCs w:val="18"/>
                <w:lang w:val="en-US" w:eastAsia="zh-CN"/>
              </w:rPr>
              <w:t>.</w:t>
            </w:r>
            <w:r>
              <w:rPr>
                <w:rFonts w:hint="eastAsia" w:ascii="宋体" w:hAnsi="宋体" w:eastAsia="宋体"/>
                <w:color w:val="auto"/>
                <w:sz w:val="18"/>
                <w:szCs w:val="18"/>
              </w:rPr>
              <w:t>须与现网终端安全管理系统无缝兼容，</w:t>
            </w:r>
            <w:r>
              <w:rPr>
                <w:rFonts w:hint="eastAsia" w:ascii="宋体" w:hAnsi="宋体" w:eastAsia="宋体"/>
                <w:b/>
                <w:bCs/>
                <w:color w:val="auto"/>
                <w:sz w:val="18"/>
                <w:szCs w:val="18"/>
                <w:lang w:val="en-US" w:eastAsia="zh-CN"/>
              </w:rPr>
              <w:t>投标时</w:t>
            </w:r>
            <w:r>
              <w:rPr>
                <w:rFonts w:hint="eastAsia" w:ascii="宋体" w:hAnsi="宋体" w:eastAsia="宋体"/>
                <w:b/>
                <w:bCs/>
                <w:color w:val="auto"/>
                <w:sz w:val="18"/>
                <w:szCs w:val="18"/>
              </w:rPr>
              <w:t>提供产品生产厂商出具的售后服务承诺函原件</w:t>
            </w:r>
            <w:r>
              <w:rPr>
                <w:rFonts w:hint="eastAsia" w:ascii="宋体" w:hAnsi="宋体" w:eastAsia="宋体"/>
                <w:b/>
                <w:bCs/>
                <w:color w:val="auto"/>
                <w:sz w:val="18"/>
                <w:szCs w:val="18"/>
                <w:lang w:eastAsia="zh-CN"/>
              </w:rPr>
              <w:t>，</w:t>
            </w:r>
            <w:r>
              <w:rPr>
                <w:rFonts w:hint="eastAsia" w:ascii="宋体" w:hAnsi="宋体" w:eastAsia="宋体"/>
                <w:b/>
                <w:bCs/>
                <w:color w:val="auto"/>
                <w:sz w:val="18"/>
                <w:szCs w:val="18"/>
                <w:lang w:val="en-US" w:eastAsia="zh-CN"/>
              </w:rPr>
              <w:t>否则投标无效</w:t>
            </w:r>
            <w:r>
              <w:rPr>
                <w:rFonts w:hint="eastAsia" w:ascii="宋体" w:hAnsi="宋体" w:eastAsia="宋体"/>
                <w:b/>
                <w:bCs/>
                <w:color w:val="auto"/>
                <w:sz w:val="18"/>
                <w:szCs w:val="18"/>
              </w:rPr>
              <w:t>。</w:t>
            </w:r>
          </w:p>
        </w:tc>
        <w:tc>
          <w:tcPr>
            <w:tcW w:w="212" w:type="pct"/>
            <w:shd w:val="clear" w:color="auto" w:fill="auto"/>
            <w:vAlign w:val="center"/>
          </w:tcPr>
          <w:p w14:paraId="10369AB4">
            <w:pPr>
              <w:spacing w:line="360"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1</w:t>
            </w:r>
          </w:p>
        </w:tc>
        <w:tc>
          <w:tcPr>
            <w:tcW w:w="346" w:type="pct"/>
            <w:shd w:val="clear" w:color="auto" w:fill="auto"/>
            <w:vAlign w:val="center"/>
          </w:tcPr>
          <w:p w14:paraId="6D182E5E">
            <w:pPr>
              <w:spacing w:line="360"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项</w:t>
            </w:r>
          </w:p>
        </w:tc>
      </w:tr>
      <w:tr w14:paraId="3BBD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213" w:type="pct"/>
            <w:shd w:val="clear" w:color="auto" w:fill="auto"/>
            <w:vAlign w:val="center"/>
          </w:tcPr>
          <w:p w14:paraId="394317C8">
            <w:pPr>
              <w:spacing w:line="400" w:lineRule="exact"/>
              <w:jc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Cs w:val="21"/>
              </w:rPr>
              <w:t>4</w:t>
            </w:r>
          </w:p>
        </w:tc>
        <w:tc>
          <w:tcPr>
            <w:tcW w:w="856" w:type="pct"/>
            <w:shd w:val="clear" w:color="auto" w:fill="auto"/>
            <w:vAlign w:val="center"/>
          </w:tcPr>
          <w:p w14:paraId="3426F549">
            <w:pPr>
              <w:spacing w:line="300" w:lineRule="atLeas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外网虚拟化安全续保、扩容</w:t>
            </w:r>
          </w:p>
        </w:tc>
        <w:tc>
          <w:tcPr>
            <w:tcW w:w="3370" w:type="pct"/>
            <w:shd w:val="clear" w:color="auto" w:fill="auto"/>
            <w:vAlign w:val="center"/>
          </w:tcPr>
          <w:p w14:paraId="7221698D">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1</w:t>
            </w:r>
            <w:r>
              <w:rPr>
                <w:rFonts w:hint="eastAsia"/>
                <w:color w:val="auto"/>
                <w:sz w:val="18"/>
                <w:szCs w:val="18"/>
                <w:lang w:val="en-US" w:eastAsia="zh-CN"/>
              </w:rPr>
              <w:t>.</w:t>
            </w:r>
            <w:r>
              <w:rPr>
                <w:rFonts w:hint="eastAsia" w:ascii="宋体" w:hAnsi="宋体" w:eastAsia="宋体"/>
                <w:color w:val="auto"/>
                <w:sz w:val="18"/>
                <w:szCs w:val="18"/>
              </w:rPr>
              <w:t>配置续保≥1</w:t>
            </w:r>
            <w:r>
              <w:rPr>
                <w:rFonts w:hint="eastAsia" w:ascii="宋体" w:hAnsi="宋体" w:eastAsia="宋体"/>
                <w:color w:val="auto"/>
                <w:sz w:val="18"/>
                <w:szCs w:val="18"/>
                <w:lang w:val="en-US" w:eastAsia="zh-CN"/>
              </w:rPr>
              <w:t>2</w:t>
            </w:r>
            <w:r>
              <w:rPr>
                <w:rFonts w:hint="eastAsia" w:ascii="宋体" w:hAnsi="宋体" w:eastAsia="宋体"/>
                <w:color w:val="auto"/>
                <w:sz w:val="18"/>
                <w:szCs w:val="18"/>
              </w:rPr>
              <w:t>颗CPU功能包一年服务授权（包含防病毒+防火墙+入侵防御+webshell检测功能），提供1年7x24远程电话支持服务、模块规则库升级、模块软件升级，以及1年威胁情报支持服务。</w:t>
            </w:r>
          </w:p>
          <w:p w14:paraId="44F5BD44">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2</w:t>
            </w:r>
            <w:r>
              <w:rPr>
                <w:rFonts w:hint="eastAsia"/>
                <w:color w:val="auto"/>
                <w:sz w:val="18"/>
                <w:szCs w:val="18"/>
                <w:lang w:val="en-US" w:eastAsia="zh-CN"/>
              </w:rPr>
              <w:t>.</w:t>
            </w:r>
            <w:r>
              <w:rPr>
                <w:rFonts w:hint="eastAsia" w:ascii="宋体" w:hAnsi="宋体" w:eastAsia="宋体"/>
                <w:color w:val="auto"/>
                <w:sz w:val="18"/>
                <w:szCs w:val="18"/>
              </w:rPr>
              <w:t>防病毒：系统支持快速扫描、全盘扫描；支持个性化扫描，可以提供不同路径、不同文件类型、时间等进行自定义病毒扫描查杀。</w:t>
            </w:r>
          </w:p>
          <w:p w14:paraId="79521A2E">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3</w:t>
            </w:r>
            <w:r>
              <w:rPr>
                <w:rFonts w:hint="eastAsia"/>
                <w:color w:val="auto"/>
                <w:sz w:val="18"/>
                <w:szCs w:val="18"/>
                <w:lang w:val="en-US" w:eastAsia="zh-CN"/>
              </w:rPr>
              <w:t>.</w:t>
            </w:r>
            <w:r>
              <w:rPr>
                <w:rFonts w:hint="eastAsia" w:ascii="宋体" w:hAnsi="宋体" w:eastAsia="宋体"/>
                <w:color w:val="auto"/>
                <w:sz w:val="18"/>
                <w:szCs w:val="18"/>
              </w:rPr>
              <w:t>防火墙功能，支持虚拟机/终端系统的双向控制。</w:t>
            </w:r>
          </w:p>
          <w:p w14:paraId="76CF109A">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4</w:t>
            </w:r>
            <w:r>
              <w:rPr>
                <w:rFonts w:hint="eastAsia"/>
                <w:color w:val="auto"/>
                <w:sz w:val="18"/>
                <w:szCs w:val="18"/>
                <w:lang w:val="en-US" w:eastAsia="zh-CN"/>
              </w:rPr>
              <w:t>.</w:t>
            </w:r>
            <w:r>
              <w:rPr>
                <w:rFonts w:hint="eastAsia" w:ascii="宋体" w:hAnsi="宋体" w:eastAsia="宋体"/>
                <w:color w:val="auto"/>
                <w:sz w:val="18"/>
                <w:szCs w:val="18"/>
              </w:rPr>
              <w:t>入侵防御：针对出入虚拟机的流量进行检测识别，防御网络攻击及入侵行为，通过真实漏洞利用流量的特征来检测或阻止漏洞利用(虚拟补丁防护能力)。</w:t>
            </w:r>
          </w:p>
          <w:p w14:paraId="7DD343FB">
            <w:pPr>
              <w:pStyle w:val="11"/>
              <w:ind w:left="0" w:firstLine="0" w:firstLineChars="0"/>
              <w:rPr>
                <w:rFonts w:ascii="宋体" w:hAnsi="宋体" w:eastAsia="宋体"/>
                <w:color w:val="auto"/>
                <w:sz w:val="18"/>
                <w:szCs w:val="18"/>
              </w:rPr>
            </w:pPr>
            <w:r>
              <w:rPr>
                <w:rFonts w:hint="eastAsia" w:ascii="宋体" w:hAnsi="宋体" w:eastAsia="宋体"/>
                <w:color w:val="auto"/>
                <w:sz w:val="18"/>
                <w:szCs w:val="18"/>
              </w:rPr>
              <w:t>5</w:t>
            </w:r>
            <w:r>
              <w:rPr>
                <w:rFonts w:hint="eastAsia"/>
                <w:color w:val="auto"/>
                <w:sz w:val="18"/>
                <w:szCs w:val="18"/>
                <w:lang w:val="en-US" w:eastAsia="zh-CN"/>
              </w:rPr>
              <w:t>.</w:t>
            </w:r>
            <w:r>
              <w:rPr>
                <w:rFonts w:hint="eastAsia" w:ascii="宋体" w:hAnsi="宋体" w:eastAsia="宋体"/>
                <w:color w:val="auto"/>
                <w:sz w:val="18"/>
                <w:szCs w:val="18"/>
              </w:rPr>
              <w:t>Webshell检测：支持PHP、JSP、ASP、ASPX等文件的恶意webshell检测，支持对webshell文件设定白名单，支持对文件进行下载、隔离、恢复加白操作，避免对网站核心系统文件造成影响。</w:t>
            </w:r>
          </w:p>
          <w:p w14:paraId="463745E2">
            <w:pPr>
              <w:pStyle w:val="11"/>
              <w:ind w:left="0" w:firstLine="0" w:firstLineChars="0"/>
              <w:rPr>
                <w:rFonts w:hint="eastAsia" w:ascii="宋体" w:hAnsi="宋体" w:eastAsia="宋体" w:cstheme="minorBidi"/>
                <w:color w:val="auto"/>
                <w:kern w:val="2"/>
                <w:sz w:val="18"/>
                <w:szCs w:val="18"/>
                <w:lang w:val="en-US" w:eastAsia="zh-CN" w:bidi="ar-SA"/>
              </w:rPr>
            </w:pPr>
            <w:r>
              <w:rPr>
                <w:rFonts w:hint="eastAsia" w:ascii="宋体" w:hAnsi="宋体" w:eastAsia="宋体"/>
                <w:color w:val="auto"/>
                <w:sz w:val="18"/>
                <w:szCs w:val="18"/>
              </w:rPr>
              <w:t>6</w:t>
            </w:r>
            <w:r>
              <w:rPr>
                <w:rFonts w:hint="eastAsia"/>
                <w:color w:val="auto"/>
                <w:sz w:val="18"/>
                <w:szCs w:val="18"/>
                <w:lang w:val="en-US" w:eastAsia="zh-CN"/>
              </w:rPr>
              <w:t>.</w:t>
            </w:r>
            <w:r>
              <w:rPr>
                <w:rFonts w:hint="eastAsia" w:ascii="宋体" w:hAnsi="宋体" w:eastAsia="宋体"/>
                <w:color w:val="auto"/>
                <w:sz w:val="18"/>
                <w:szCs w:val="18"/>
              </w:rPr>
              <w:t>须与现网终端安全管理系统无缝兼容，</w:t>
            </w:r>
            <w:r>
              <w:rPr>
                <w:rFonts w:hint="eastAsia" w:ascii="宋体" w:hAnsi="宋体" w:eastAsia="宋体"/>
                <w:b/>
                <w:bCs/>
                <w:color w:val="auto"/>
                <w:sz w:val="18"/>
                <w:szCs w:val="18"/>
                <w:lang w:val="en-US" w:eastAsia="zh-CN"/>
              </w:rPr>
              <w:t>投标时</w:t>
            </w:r>
            <w:r>
              <w:rPr>
                <w:rFonts w:hint="eastAsia" w:ascii="宋体" w:hAnsi="宋体" w:eastAsia="宋体"/>
                <w:b/>
                <w:bCs/>
                <w:color w:val="auto"/>
                <w:sz w:val="18"/>
                <w:szCs w:val="18"/>
              </w:rPr>
              <w:t>提供产品生产厂商出具的售后服务承诺函原件</w:t>
            </w:r>
            <w:r>
              <w:rPr>
                <w:rFonts w:hint="eastAsia" w:ascii="宋体" w:hAnsi="宋体" w:eastAsia="宋体"/>
                <w:b/>
                <w:bCs/>
                <w:color w:val="auto"/>
                <w:sz w:val="18"/>
                <w:szCs w:val="18"/>
                <w:lang w:eastAsia="zh-CN"/>
              </w:rPr>
              <w:t>，</w:t>
            </w:r>
            <w:r>
              <w:rPr>
                <w:rFonts w:hint="eastAsia" w:ascii="宋体" w:hAnsi="宋体" w:eastAsia="宋体"/>
                <w:b/>
                <w:bCs/>
                <w:color w:val="auto"/>
                <w:sz w:val="18"/>
                <w:szCs w:val="18"/>
                <w:lang w:val="en-US" w:eastAsia="zh-CN"/>
              </w:rPr>
              <w:t>否则投标无效</w:t>
            </w:r>
            <w:r>
              <w:rPr>
                <w:rFonts w:hint="eastAsia" w:ascii="宋体" w:hAnsi="宋体" w:eastAsia="宋体"/>
                <w:b/>
                <w:bCs/>
                <w:color w:val="auto"/>
                <w:sz w:val="18"/>
                <w:szCs w:val="18"/>
              </w:rPr>
              <w:t>。</w:t>
            </w:r>
          </w:p>
        </w:tc>
        <w:tc>
          <w:tcPr>
            <w:tcW w:w="212" w:type="pct"/>
            <w:shd w:val="clear" w:color="auto" w:fill="auto"/>
            <w:vAlign w:val="center"/>
          </w:tcPr>
          <w:p w14:paraId="57F060B9">
            <w:pPr>
              <w:spacing w:line="360" w:lineRule="auto"/>
              <w:jc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szCs w:val="21"/>
              </w:rPr>
              <w:t>1</w:t>
            </w:r>
          </w:p>
        </w:tc>
        <w:tc>
          <w:tcPr>
            <w:tcW w:w="346" w:type="pct"/>
            <w:shd w:val="clear" w:color="auto" w:fill="auto"/>
            <w:vAlign w:val="center"/>
          </w:tcPr>
          <w:p w14:paraId="6B028521">
            <w:pPr>
              <w:spacing w:line="360"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项</w:t>
            </w:r>
          </w:p>
        </w:tc>
      </w:tr>
      <w:tr w14:paraId="1638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213" w:type="pct"/>
            <w:vAlign w:val="center"/>
          </w:tcPr>
          <w:p w14:paraId="41A16498">
            <w:pPr>
              <w:spacing w:line="400" w:lineRule="exact"/>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5</w:t>
            </w:r>
          </w:p>
        </w:tc>
        <w:tc>
          <w:tcPr>
            <w:tcW w:w="856" w:type="pct"/>
            <w:vAlign w:val="center"/>
          </w:tcPr>
          <w:p w14:paraId="6A87D932">
            <w:pPr>
              <w:spacing w:line="400" w:lineRule="exact"/>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云证书管理服务</w:t>
            </w:r>
          </w:p>
        </w:tc>
        <w:tc>
          <w:tcPr>
            <w:tcW w:w="3370" w:type="pct"/>
            <w:vAlign w:val="center"/>
          </w:tcPr>
          <w:p w14:paraId="367A4D0E">
            <w:pPr>
              <w:suppressAutoHyphens/>
              <w:spacing w:line="240" w:lineRule="auto"/>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购买SSL证书，主域名glrmyy.com证书（一年）费用，可用于主域名和多个二级域名</w:t>
            </w:r>
            <w:r>
              <w:rPr>
                <w:rFonts w:hint="eastAsia" w:ascii="宋体" w:hAnsi="宋体"/>
                <w:color w:val="auto"/>
                <w:sz w:val="18"/>
                <w:szCs w:val="18"/>
                <w:lang w:val="en-US" w:eastAsia="zh-CN"/>
              </w:rPr>
              <w:t>。</w:t>
            </w:r>
          </w:p>
        </w:tc>
        <w:tc>
          <w:tcPr>
            <w:tcW w:w="212" w:type="pct"/>
            <w:shd w:val="clear" w:color="auto" w:fill="auto"/>
            <w:vAlign w:val="center"/>
          </w:tcPr>
          <w:p w14:paraId="2423880A">
            <w:pPr>
              <w:suppressAutoHyphens/>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1</w:t>
            </w:r>
          </w:p>
        </w:tc>
        <w:tc>
          <w:tcPr>
            <w:tcW w:w="346" w:type="pct"/>
            <w:shd w:val="clear" w:color="auto" w:fill="auto"/>
            <w:vAlign w:val="center"/>
          </w:tcPr>
          <w:p w14:paraId="3B28C274">
            <w:pPr>
              <w:suppressAutoHyphens/>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项</w:t>
            </w:r>
          </w:p>
        </w:tc>
      </w:tr>
    </w:tbl>
    <w:p w14:paraId="31751823">
      <w:pPr>
        <w:numPr>
          <w:ilvl w:val="0"/>
          <w:numId w:val="0"/>
        </w:numPr>
        <w:spacing w:line="360" w:lineRule="exact"/>
        <w:ind w:firstLine="0" w:firstLineChars="0"/>
        <w:rPr>
          <w:rFonts w:hint="eastAsia" w:ascii="宋体" w:hAnsi="宋体" w:eastAsia="宋体" w:cs="Times New Roman"/>
          <w:b/>
          <w:kern w:val="2"/>
          <w:sz w:val="24"/>
          <w:szCs w:val="24"/>
          <w:lang w:val="en-US" w:eastAsia="zh-CN" w:bidi="ar-SA"/>
        </w:rPr>
      </w:pPr>
    </w:p>
    <w:p w14:paraId="1B4EF9CB">
      <w:pPr>
        <w:numPr>
          <w:ilvl w:val="0"/>
          <w:numId w:val="0"/>
        </w:numPr>
        <w:spacing w:line="360" w:lineRule="exact"/>
        <w:ind w:firstLine="0" w:firstLineChars="0"/>
        <w:rPr>
          <w:rFonts w:hint="eastAsia" w:ascii="宋体" w:hAnsi="宋体"/>
          <w:b/>
          <w:sz w:val="24"/>
        </w:rPr>
      </w:pPr>
      <w:r>
        <w:rPr>
          <w:rFonts w:hint="eastAsia" w:ascii="宋体" w:hAnsi="宋体" w:eastAsia="宋体" w:cs="Times New Roman"/>
          <w:b/>
          <w:kern w:val="2"/>
          <w:sz w:val="24"/>
          <w:szCs w:val="24"/>
          <w:lang w:val="en-US" w:eastAsia="zh-CN" w:bidi="ar-SA"/>
        </w:rPr>
        <w:t>2.</w:t>
      </w:r>
      <w:r>
        <w:rPr>
          <w:rFonts w:hint="eastAsia" w:ascii="宋体" w:hAnsi="宋体"/>
          <w:b/>
          <w:sz w:val="24"/>
        </w:rPr>
        <w:t>商务要求</w:t>
      </w:r>
    </w:p>
    <w:tbl>
      <w:tblPr>
        <w:tblStyle w:val="7"/>
        <w:tblpPr w:leftFromText="180" w:rightFromText="180" w:vertAnchor="text" w:horzAnchor="page" w:tblpX="1293" w:tblpY="352"/>
        <w:tblOverlap w:val="never"/>
        <w:tblW w:w="9580" w:type="dxa"/>
        <w:jc w:val="center"/>
        <w:tblLayout w:type="autofit"/>
        <w:tblCellMar>
          <w:top w:w="0" w:type="dxa"/>
          <w:left w:w="108" w:type="dxa"/>
          <w:bottom w:w="0" w:type="dxa"/>
          <w:right w:w="108" w:type="dxa"/>
        </w:tblCellMar>
      </w:tblPr>
      <w:tblGrid>
        <w:gridCol w:w="2372"/>
        <w:gridCol w:w="7208"/>
      </w:tblGrid>
      <w:tr w14:paraId="6E19B133">
        <w:tblPrEx>
          <w:tblCellMar>
            <w:top w:w="0" w:type="dxa"/>
            <w:left w:w="108" w:type="dxa"/>
            <w:bottom w:w="0" w:type="dxa"/>
            <w:right w:w="108" w:type="dxa"/>
          </w:tblCellMar>
        </w:tblPrEx>
        <w:trPr>
          <w:trHeight w:val="3335" w:hRule="atLeast"/>
          <w:jc w:val="center"/>
        </w:trPr>
        <w:tc>
          <w:tcPr>
            <w:tcW w:w="2372" w:type="dxa"/>
            <w:tcBorders>
              <w:top w:val="single" w:color="auto" w:sz="4" w:space="0"/>
              <w:left w:val="single" w:color="auto" w:sz="4" w:space="0"/>
              <w:bottom w:val="single" w:color="auto" w:sz="4" w:space="0"/>
              <w:right w:val="single" w:color="auto" w:sz="4" w:space="0"/>
            </w:tcBorders>
            <w:vAlign w:val="center"/>
          </w:tcPr>
          <w:p w14:paraId="087D363D">
            <w:pPr>
              <w:adjustRightInd w:val="0"/>
              <w:snapToGrid w:val="0"/>
              <w:spacing w:line="300" w:lineRule="exact"/>
              <w:jc w:val="center"/>
              <w:rPr>
                <w:rFonts w:hint="eastAsia" w:ascii="宋体" w:hAnsi="宋体" w:eastAsia="宋体" w:cs="宋体"/>
                <w:b w:val="0"/>
                <w:bCs/>
                <w:spacing w:val="-2"/>
                <w:sz w:val="21"/>
                <w:szCs w:val="21"/>
              </w:rPr>
            </w:pPr>
            <w:r>
              <w:rPr>
                <w:rFonts w:hint="eastAsia" w:ascii="宋体" w:hAnsi="宋体" w:eastAsia="宋体" w:cs="宋体"/>
                <w:b/>
                <w:bCs/>
                <w:sz w:val="21"/>
                <w:szCs w:val="21"/>
              </w:rPr>
              <w:t>供应商资质</w:t>
            </w:r>
          </w:p>
        </w:tc>
        <w:tc>
          <w:tcPr>
            <w:tcW w:w="7208" w:type="dxa"/>
            <w:tcBorders>
              <w:top w:val="single" w:color="auto" w:sz="4" w:space="0"/>
              <w:left w:val="single" w:color="auto" w:sz="4" w:space="0"/>
              <w:bottom w:val="single" w:color="auto" w:sz="4" w:space="0"/>
              <w:right w:val="single" w:color="auto" w:sz="4" w:space="0"/>
            </w:tcBorders>
            <w:vAlign w:val="center"/>
          </w:tcPr>
          <w:p w14:paraId="7DE5A494">
            <w:pPr>
              <w:widowControl/>
              <w:spacing w:line="400" w:lineRule="exact"/>
              <w:jc w:val="left"/>
              <w:rPr>
                <w:rFonts w:hint="eastAsia" w:ascii="宋体" w:hAnsi="宋体"/>
                <w:sz w:val="18"/>
                <w:szCs w:val="18"/>
              </w:rPr>
            </w:pPr>
            <w:r>
              <w:rPr>
                <w:rFonts w:hint="eastAsia" w:ascii="宋体" w:hAnsi="宋体"/>
                <w:sz w:val="18"/>
                <w:szCs w:val="18"/>
              </w:rPr>
              <w:t>1.国内注册【依法在市场监督管理部门(或行政审批部门)登记注册】的，具备合法资格的供应商。</w:t>
            </w:r>
          </w:p>
          <w:p w14:paraId="5264BA51">
            <w:pPr>
              <w:widowControl/>
              <w:spacing w:line="400" w:lineRule="exact"/>
              <w:jc w:val="left"/>
              <w:rPr>
                <w:rFonts w:hint="eastAsia" w:ascii="宋体" w:hAnsi="宋体" w:eastAsia="宋体"/>
                <w:sz w:val="18"/>
                <w:szCs w:val="18"/>
                <w:lang w:val="en-US" w:eastAsia="zh-CN"/>
              </w:rPr>
            </w:pPr>
            <w:r>
              <w:rPr>
                <w:rFonts w:hint="eastAsia" w:ascii="宋体" w:hAnsi="宋体"/>
                <w:sz w:val="18"/>
                <w:szCs w:val="18"/>
              </w:rPr>
              <w:t>2.本项目不接受在“信用中国”网站(www.creditchina.gov.cn)、中国政府采购网(www.ccgp.gov.cn)被列入失信被执行人、重大税收违法失信主体、严重违法失信行为记录名单的供应商参与报</w:t>
            </w:r>
            <w:r>
              <w:rPr>
                <w:rFonts w:hint="eastAsia" w:ascii="宋体" w:hAnsi="宋体"/>
                <w:sz w:val="18"/>
                <w:szCs w:val="18"/>
                <w:lang w:val="en-US" w:eastAsia="zh-CN"/>
              </w:rPr>
              <w:t>价。</w:t>
            </w:r>
          </w:p>
          <w:p w14:paraId="0C94B547">
            <w:pPr>
              <w:widowControl/>
              <w:spacing w:line="400" w:lineRule="exact"/>
              <w:jc w:val="left"/>
              <w:rPr>
                <w:rFonts w:hint="eastAsia" w:ascii="宋体" w:hAnsi="宋体"/>
                <w:sz w:val="18"/>
                <w:szCs w:val="18"/>
              </w:rPr>
            </w:pPr>
            <w:r>
              <w:rPr>
                <w:rFonts w:hint="eastAsia" w:ascii="宋体" w:hAnsi="宋体"/>
                <w:sz w:val="18"/>
                <w:szCs w:val="18"/>
              </w:rPr>
              <w:t>3.参加投标采购活动前三年内，在经营活动中没有重大违法记录: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p>
          <w:p w14:paraId="1F50678B">
            <w:pPr>
              <w:widowControl/>
              <w:spacing w:line="400" w:lineRule="exact"/>
              <w:jc w:val="left"/>
              <w:rPr>
                <w:rFonts w:hint="eastAsia" w:ascii="宋体" w:hAnsi="宋体" w:eastAsia="宋体" w:cs="宋体"/>
                <w:sz w:val="21"/>
                <w:szCs w:val="21"/>
                <w:lang w:val="en-US" w:eastAsia="zh-CN"/>
              </w:rPr>
            </w:pPr>
            <w:r>
              <w:rPr>
                <w:rFonts w:hint="eastAsia" w:ascii="宋体" w:hAnsi="宋体"/>
                <w:sz w:val="18"/>
                <w:szCs w:val="18"/>
              </w:rPr>
              <w:t>4.本项目</w:t>
            </w:r>
            <w:r>
              <w:rPr>
                <w:rFonts w:hint="eastAsia" w:ascii="宋体" w:hAnsi="宋体"/>
                <w:sz w:val="18"/>
                <w:szCs w:val="18"/>
                <w:lang w:val="en-US" w:eastAsia="zh-CN"/>
              </w:rPr>
              <w:t>不</w:t>
            </w:r>
            <w:r>
              <w:rPr>
                <w:rFonts w:hint="eastAsia" w:ascii="宋体" w:hAnsi="宋体"/>
                <w:sz w:val="18"/>
                <w:szCs w:val="18"/>
              </w:rPr>
              <w:t>接受联合体参与报价。</w:t>
            </w:r>
          </w:p>
        </w:tc>
      </w:tr>
      <w:tr w14:paraId="7BDBD8A8">
        <w:tblPrEx>
          <w:tblCellMar>
            <w:top w:w="0" w:type="dxa"/>
            <w:left w:w="108" w:type="dxa"/>
            <w:bottom w:w="0" w:type="dxa"/>
            <w:right w:w="108" w:type="dxa"/>
          </w:tblCellMar>
        </w:tblPrEx>
        <w:trPr>
          <w:trHeight w:val="967"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7D4C28BF">
            <w:pPr>
              <w:adjustRightInd w:val="0"/>
              <w:snapToGrid w:val="0"/>
              <w:spacing w:line="300" w:lineRule="exact"/>
              <w:jc w:val="center"/>
              <w:rPr>
                <w:rFonts w:hint="eastAsia" w:ascii="宋体" w:hAnsi="宋体" w:eastAsia="宋体" w:cs="宋体"/>
                <w:b w:val="0"/>
                <w:bCs/>
                <w:spacing w:val="-2"/>
                <w:kern w:val="2"/>
                <w:sz w:val="21"/>
                <w:szCs w:val="21"/>
                <w:lang w:val="en-US" w:eastAsia="zh-CN" w:bidi="ar-SA"/>
              </w:rPr>
            </w:pPr>
            <w:r>
              <w:rPr>
                <w:rFonts w:hint="eastAsia" w:ascii="宋体" w:hAnsi="宋体" w:eastAsia="宋体" w:cs="宋体"/>
                <w:b/>
                <w:bCs/>
                <w:sz w:val="21"/>
                <w:szCs w:val="21"/>
              </w:rPr>
              <w:t>售后服务要求</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37C73FDB">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1.免费送货上门、提供免费技术培训（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p w14:paraId="229AA5CC">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3.提供1年的7*24小时售后技术服务，维保期内均提供免费上门维护、升级服务，故障响应时间：2小时内进行响应，12小时以内到现场，24小时以内解决问题。包括免费升级、功能完善、故障排除、性能调优、技术咨询等。</w:t>
            </w:r>
          </w:p>
        </w:tc>
      </w:tr>
      <w:tr w14:paraId="79EA9C0F">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627F83CD">
            <w:pPr>
              <w:adjustRightInd w:val="0"/>
              <w:snapToGrid w:val="0"/>
              <w:spacing w:line="300" w:lineRule="exact"/>
              <w:jc w:val="center"/>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交付期及地点</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0057CA2A">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1.交付期：自签订合同之日起10个工作日内验收合格并交付采购人使用。</w:t>
            </w:r>
          </w:p>
          <w:p w14:paraId="1653F37C">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2.交付地点：招标人指定地点。</w:t>
            </w:r>
          </w:p>
        </w:tc>
      </w:tr>
      <w:tr w14:paraId="4E71C59F">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75CCCF50">
            <w:pPr>
              <w:adjustRightInd w:val="0"/>
              <w:snapToGrid w:val="0"/>
              <w:spacing w:line="300" w:lineRule="exact"/>
              <w:jc w:val="center"/>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付款方式</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0CA480B3">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付款方式：在合同生效后，由乙方出具正规等额、有效发票，甲方在收到发票30个工作日后向乙方支付合同总价款的50%，服务满一年后支付剩余50%，合同期满后，甲方在30个工作日后向乙方付清余款。</w:t>
            </w:r>
          </w:p>
        </w:tc>
      </w:tr>
      <w:tr w14:paraId="4CF86D78">
        <w:tblPrEx>
          <w:tblCellMar>
            <w:top w:w="0" w:type="dxa"/>
            <w:left w:w="108" w:type="dxa"/>
            <w:bottom w:w="0" w:type="dxa"/>
            <w:right w:w="108" w:type="dxa"/>
          </w:tblCellMar>
        </w:tblPrEx>
        <w:trPr>
          <w:trHeight w:val="126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5BD5C748">
            <w:pPr>
              <w:adjustRightInd w:val="0"/>
              <w:snapToGrid w:val="0"/>
              <w:spacing w:line="300" w:lineRule="exact"/>
              <w:jc w:val="center"/>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验收标准</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55E8272F">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1.投标人提供的产品必须符合国家强制执行的相关质量标准要求以及产品制造厂家合格产品的出厂质量标准。</w:t>
            </w:r>
          </w:p>
          <w:p w14:paraId="3630D877">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2.产品到货交付后，采购人将根据招标文件要求及投标文件承诺逐条对应进行核验，必要时，采购人有权邀请国家质量监督检验部门或国家认可的检测机构参与共同验收。如产品不满足招标文件要求、投标文件承诺或国家强制执行的相关质量标准要求以及产品制造厂家合格产品的出厂质量标准，采购人有权不予验收，由此造成采购人的经济损失由中标人承担全部赔偿责任，验收时所产生的一切费用由中标人承担。</w:t>
            </w:r>
          </w:p>
          <w:p w14:paraId="107E676F">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3.项目完成系统建设内容，经稳定运行一周以上可提出验收，中标人按医院信息化项目管理制度要求提供有关材料，由采购人组织现场验收。</w:t>
            </w:r>
          </w:p>
          <w:p w14:paraId="6976D688">
            <w:pPr>
              <w:widowControl/>
              <w:spacing w:line="400" w:lineRule="exact"/>
              <w:jc w:val="left"/>
              <w:rPr>
                <w:rFonts w:hint="default" w:ascii="宋体" w:hAnsi="宋体"/>
                <w:sz w:val="18"/>
                <w:szCs w:val="18"/>
                <w:lang w:val="en-US" w:eastAsia="zh-CN"/>
              </w:rPr>
            </w:pPr>
            <w:r>
              <w:rPr>
                <w:rFonts w:hint="eastAsia" w:ascii="宋体" w:hAnsi="宋体"/>
                <w:sz w:val="18"/>
                <w:szCs w:val="18"/>
                <w:lang w:val="en-US" w:eastAsia="zh-CN"/>
              </w:rPr>
              <w:t>4.验收其他要求按合同条款执行。</w:t>
            </w:r>
          </w:p>
        </w:tc>
      </w:tr>
      <w:tr w14:paraId="094F8AF2">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76871512">
            <w:pPr>
              <w:adjustRightInd w:val="0"/>
              <w:snapToGrid w:val="0"/>
              <w:spacing w:line="300" w:lineRule="exact"/>
              <w:jc w:val="center"/>
              <w:rPr>
                <w:rFonts w:hint="eastAsia" w:ascii="宋体" w:hAnsi="宋体" w:eastAsia="宋体" w:cs="宋体"/>
                <w:b w:val="0"/>
                <w:bCs/>
                <w:spacing w:val="-2"/>
                <w:kern w:val="2"/>
                <w:sz w:val="21"/>
                <w:szCs w:val="21"/>
                <w:highlight w:val="none"/>
                <w:lang w:val="zh-CN" w:eastAsia="zh-CN" w:bidi="ar-SA"/>
              </w:rPr>
            </w:pPr>
            <w:r>
              <w:rPr>
                <w:rFonts w:hint="eastAsia" w:ascii="宋体" w:hAnsi="宋体" w:eastAsia="宋体" w:cs="宋体"/>
                <w:b/>
                <w:bCs/>
                <w:sz w:val="21"/>
                <w:szCs w:val="21"/>
                <w:lang w:val="en-US" w:eastAsia="zh-CN"/>
              </w:rPr>
              <w:t>最高限价</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2ADD3CCB">
            <w:pPr>
              <w:widowControl/>
              <w:spacing w:line="400" w:lineRule="exact"/>
              <w:jc w:val="left"/>
              <w:rPr>
                <w:rFonts w:hint="eastAsia" w:ascii="宋体" w:hAnsi="宋体"/>
                <w:sz w:val="18"/>
                <w:szCs w:val="18"/>
                <w:lang w:val="en-US" w:eastAsia="zh-CN"/>
              </w:rPr>
            </w:pPr>
            <w:r>
              <w:rPr>
                <w:rFonts w:hint="eastAsia" w:ascii="宋体" w:hAnsi="宋体"/>
                <w:sz w:val="18"/>
                <w:szCs w:val="18"/>
              </w:rPr>
              <w:t>本项目预算金额为人民币</w:t>
            </w:r>
            <w:r>
              <w:rPr>
                <w:rFonts w:hint="eastAsia" w:ascii="宋体" w:hAnsi="宋体"/>
                <w:color w:val="FF0000"/>
                <w:sz w:val="18"/>
                <w:szCs w:val="18"/>
                <w:lang w:val="en-US" w:eastAsia="zh-CN"/>
              </w:rPr>
              <w:t>贰拾捌万元整（¥280000.00）</w:t>
            </w:r>
            <w:r>
              <w:rPr>
                <w:rFonts w:hint="eastAsia" w:ascii="宋体" w:hAnsi="宋体"/>
                <w:sz w:val="18"/>
                <w:szCs w:val="18"/>
              </w:rPr>
              <w:t>，</w:t>
            </w:r>
            <w:r>
              <w:rPr>
                <w:rFonts w:hint="eastAsia" w:ascii="宋体" w:hAnsi="宋体"/>
                <w:sz w:val="18"/>
                <w:szCs w:val="18"/>
                <w:lang w:val="en-US" w:eastAsia="zh-CN"/>
              </w:rPr>
              <w:t>投标人</w:t>
            </w:r>
            <w:r>
              <w:rPr>
                <w:rFonts w:hint="eastAsia" w:ascii="宋体" w:hAnsi="宋体"/>
                <w:sz w:val="18"/>
                <w:szCs w:val="18"/>
              </w:rPr>
              <w:t>报价超出参考预算金额的，按无效处理。</w:t>
            </w:r>
          </w:p>
        </w:tc>
      </w:tr>
      <w:tr w14:paraId="359E7196">
        <w:tblPrEx>
          <w:tblCellMar>
            <w:top w:w="0" w:type="dxa"/>
            <w:left w:w="108" w:type="dxa"/>
            <w:bottom w:w="0" w:type="dxa"/>
            <w:right w:w="108" w:type="dxa"/>
          </w:tblCellMar>
        </w:tblPrEx>
        <w:trPr>
          <w:trHeight w:val="90" w:hRule="atLeast"/>
          <w:jc w:val="center"/>
        </w:trPr>
        <w:tc>
          <w:tcPr>
            <w:tcW w:w="2372" w:type="dxa"/>
            <w:tcBorders>
              <w:top w:val="single" w:color="auto" w:sz="4" w:space="0"/>
              <w:left w:val="single" w:color="auto" w:sz="4" w:space="0"/>
              <w:bottom w:val="single" w:color="auto" w:sz="4" w:space="0"/>
              <w:right w:val="single" w:color="auto" w:sz="4" w:space="0"/>
            </w:tcBorders>
            <w:shd w:val="clear" w:color="auto" w:fill="auto"/>
            <w:vAlign w:val="center"/>
          </w:tcPr>
          <w:p w14:paraId="07AD0C6E">
            <w:pPr>
              <w:adjustRightInd w:val="0"/>
              <w:snapToGrid w:val="0"/>
              <w:spacing w:line="300" w:lineRule="exact"/>
              <w:jc w:val="center"/>
              <w:rPr>
                <w:rFonts w:hint="eastAsia" w:ascii="宋体" w:hAnsi="宋体" w:eastAsia="宋体" w:cs="宋体"/>
                <w:b/>
                <w:bCs/>
                <w:kern w:val="2"/>
                <w:sz w:val="21"/>
                <w:szCs w:val="21"/>
                <w:lang w:val="zh-CN" w:eastAsia="zh-CN" w:bidi="ar-SA"/>
              </w:rPr>
            </w:pPr>
            <w:r>
              <w:rPr>
                <w:rFonts w:hint="eastAsia" w:ascii="宋体" w:hAnsi="宋体" w:eastAsia="宋体" w:cs="宋体"/>
                <w:b/>
                <w:bCs/>
                <w:sz w:val="21"/>
                <w:szCs w:val="21"/>
                <w:lang w:val="zh-CN"/>
              </w:rPr>
              <w:t>其他要求</w:t>
            </w:r>
          </w:p>
        </w:tc>
        <w:tc>
          <w:tcPr>
            <w:tcW w:w="7208" w:type="dxa"/>
            <w:tcBorders>
              <w:top w:val="single" w:color="auto" w:sz="4" w:space="0"/>
              <w:left w:val="single" w:color="auto" w:sz="4" w:space="0"/>
              <w:bottom w:val="single" w:color="auto" w:sz="4" w:space="0"/>
              <w:right w:val="single" w:color="auto" w:sz="4" w:space="0"/>
            </w:tcBorders>
            <w:shd w:val="clear" w:color="auto" w:fill="auto"/>
            <w:vAlign w:val="center"/>
          </w:tcPr>
          <w:p w14:paraId="2C231394">
            <w:pPr>
              <w:widowControl/>
              <w:spacing w:line="400" w:lineRule="exact"/>
              <w:jc w:val="left"/>
              <w:rPr>
                <w:rFonts w:hint="eastAsia" w:ascii="宋体" w:hAnsi="宋体"/>
                <w:sz w:val="18"/>
                <w:szCs w:val="18"/>
                <w:lang w:val="en-US" w:eastAsia="zh-CN"/>
              </w:rPr>
            </w:pPr>
            <w:r>
              <w:rPr>
                <w:rFonts w:hint="eastAsia" w:ascii="宋体" w:hAnsi="宋体"/>
                <w:sz w:val="18"/>
                <w:szCs w:val="18"/>
                <w:lang w:val="en-US" w:eastAsia="zh-CN"/>
              </w:rPr>
              <w:t>1.本项目所提供的软件必须具有合法的版权或使用权，如在本项目范围内使用过程中出现版权或使用权纠纷，应由供应商负责。</w:t>
            </w:r>
            <w:bookmarkStart w:id="0" w:name="_GoBack"/>
            <w:bookmarkEnd w:id="0"/>
          </w:p>
        </w:tc>
      </w:tr>
    </w:tbl>
    <w:p w14:paraId="4AE74951">
      <w:pPr>
        <w:pStyle w:val="3"/>
        <w:numPr>
          <w:ilvl w:val="0"/>
          <w:numId w:val="0"/>
        </w:numPr>
        <w:rPr>
          <w:rFonts w:hint="eastAsia"/>
        </w:rPr>
      </w:pPr>
    </w:p>
    <w:p w14:paraId="393ADB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64DCF9"/>
    <w:multiLevelType w:val="singleLevel"/>
    <w:tmpl w:val="DF64DCF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17ACD"/>
    <w:rsid w:val="0DBC574E"/>
    <w:rsid w:val="12670401"/>
    <w:rsid w:val="17375756"/>
    <w:rsid w:val="184616E2"/>
    <w:rsid w:val="1E1332F5"/>
    <w:rsid w:val="25D315FC"/>
    <w:rsid w:val="2E693783"/>
    <w:rsid w:val="305203E9"/>
    <w:rsid w:val="30F73365"/>
    <w:rsid w:val="345B12C4"/>
    <w:rsid w:val="3BAF1030"/>
    <w:rsid w:val="3F9E3E2A"/>
    <w:rsid w:val="411B504A"/>
    <w:rsid w:val="44E0071B"/>
    <w:rsid w:val="4AEA4621"/>
    <w:rsid w:val="4B045373"/>
    <w:rsid w:val="4B835B73"/>
    <w:rsid w:val="4D7A195F"/>
    <w:rsid w:val="503B1779"/>
    <w:rsid w:val="52CE1B5C"/>
    <w:rsid w:val="547D21CC"/>
    <w:rsid w:val="5C886ED1"/>
    <w:rsid w:val="5DD451FE"/>
    <w:rsid w:val="6D133DBF"/>
    <w:rsid w:val="740F3067"/>
    <w:rsid w:val="76412F66"/>
    <w:rsid w:val="77B5724E"/>
    <w:rsid w:val="784A4D50"/>
    <w:rsid w:val="79BF7F82"/>
    <w:rsid w:val="7A58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10"/>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0"/>
    <w:pPr>
      <w:spacing w:after="120"/>
    </w:pPr>
  </w:style>
  <w:style w:type="paragraph" w:styleId="6">
    <w:name w:val="toc 1"/>
    <w:basedOn w:val="1"/>
    <w:next w:val="1"/>
    <w:qFormat/>
    <w:uiPriority w:val="39"/>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3 Char"/>
    <w:link w:val="4"/>
    <w:qFormat/>
    <w:uiPriority w:val="99"/>
    <w:rPr>
      <w:rFonts w:ascii="Calibri" w:hAnsi="Calibri" w:eastAsia="宋体" w:cs="Times New Roman"/>
      <w:kern w:val="2"/>
      <w:sz w:val="28"/>
      <w:szCs w:val="22"/>
      <w:lang w:val="en-US" w:eastAsia="zh-CN" w:bidi="ar-SA"/>
    </w:rPr>
  </w:style>
  <w:style w:type="paragraph"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2377</Words>
  <Characters>2610</Characters>
  <Lines>0</Lines>
  <Paragraphs>0</Paragraphs>
  <TotalTime>11</TotalTime>
  <ScaleCrop>false</ScaleCrop>
  <LinksUpToDate>false</LinksUpToDate>
  <CharactersWithSpaces>2617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2026-05-20T07:35:40Z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AAB4030508ED4BA69AA5397511769E2E_13</vt:lpwstr>
  </property>
  <property fmtid="{D5CDD505-2E9C-101B-9397-08002B2CF9AE}" pid="4" name="KSOTemplateDocerSaveRecord">
    <vt:lpwstr>eyJoZGlkIjoiODJhZjYxNmNlMWQyYTI4MDdkNDQzYWM1MDViY2VlZTMiLCJ1c2VySWQiOiI0MzYyNDA5MDIifQ==</vt:lpwstr>
  </property>
</Properties>
</file>