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F8547">
      <w:pPr>
        <w:pStyle w:val="2"/>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宋体" w:hAnsi="宋体" w:eastAsia="宋体" w:cs="宋体"/>
          <w:b/>
          <w:bCs w:val="0"/>
          <w:sz w:val="30"/>
          <w:szCs w:val="30"/>
          <w:lang w:val="en-US" w:eastAsia="zh-CN"/>
        </w:rPr>
      </w:pPr>
      <w:r>
        <w:rPr>
          <w:rFonts w:hint="eastAsia" w:ascii="Times New Roman" w:hAnsi="Times New Roman" w:eastAsia="宋体" w:cs="Times New Roman"/>
          <w:color w:val="auto"/>
          <w:sz w:val="30"/>
          <w:szCs w:val="30"/>
          <w:lang w:val="en-US" w:eastAsia="zh-CN"/>
        </w:rPr>
        <w:t>等保测评和商用密码评估服务</w:t>
      </w:r>
      <w:r>
        <w:rPr>
          <w:rFonts w:hint="eastAsia" w:ascii="宋体" w:hAnsi="宋体" w:eastAsia="宋体" w:cs="宋体"/>
          <w:b/>
          <w:bCs w:val="0"/>
          <w:sz w:val="30"/>
          <w:szCs w:val="30"/>
          <w:lang w:val="en-US" w:eastAsia="zh-CN"/>
        </w:rPr>
        <w:t>采购</w:t>
      </w:r>
    </w:p>
    <w:p w14:paraId="0798EB5B">
      <w:pPr>
        <w:pStyle w:val="2"/>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功能需求</w:t>
      </w:r>
    </w:p>
    <w:p w14:paraId="2AB78736">
      <w:pPr>
        <w:jc w:val="left"/>
        <w:rPr>
          <w:rFonts w:hint="eastAsia" w:ascii="宋体" w:hAnsi="宋体" w:cs="宋体"/>
          <w:b/>
          <w:bCs w:val="0"/>
          <w:sz w:val="24"/>
          <w:szCs w:val="24"/>
          <w:lang w:val="en-US" w:eastAsia="zh-CN"/>
        </w:rPr>
      </w:pPr>
    </w:p>
    <w:p w14:paraId="1AB5E10F">
      <w:pPr>
        <w:numPr>
          <w:ilvl w:val="0"/>
          <w:numId w:val="1"/>
        </w:numPr>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技术要求</w:t>
      </w:r>
    </w:p>
    <w:tbl>
      <w:tblPr>
        <w:tblStyle w:val="10"/>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1240"/>
        <w:gridCol w:w="5381"/>
        <w:gridCol w:w="851"/>
        <w:gridCol w:w="850"/>
      </w:tblGrid>
      <w:tr w14:paraId="5C68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3B210383">
            <w:pPr>
              <w:spacing w:line="330" w:lineRule="exact"/>
              <w:jc w:val="center"/>
              <w:rPr>
                <w:rFonts w:ascii="宋体" w:hAnsi="宋体" w:cs="宋体"/>
                <w:bCs/>
                <w:szCs w:val="21"/>
              </w:rPr>
            </w:pPr>
            <w:r>
              <w:rPr>
                <w:rFonts w:hint="eastAsia" w:ascii="宋体" w:hAnsi="宋体" w:cs="宋体"/>
                <w:bCs/>
                <w:szCs w:val="21"/>
              </w:rPr>
              <w:t>项号</w:t>
            </w:r>
          </w:p>
        </w:tc>
        <w:tc>
          <w:tcPr>
            <w:tcW w:w="1240" w:type="dxa"/>
            <w:shd w:val="clear" w:color="auto" w:fill="auto"/>
            <w:vAlign w:val="center"/>
          </w:tcPr>
          <w:p w14:paraId="4D2B1944">
            <w:pPr>
              <w:spacing w:line="330" w:lineRule="exact"/>
              <w:jc w:val="center"/>
              <w:rPr>
                <w:rFonts w:ascii="宋体" w:hAnsi="宋体" w:cs="宋体"/>
                <w:bCs/>
                <w:szCs w:val="21"/>
              </w:rPr>
            </w:pPr>
            <w:r>
              <w:rPr>
                <w:rFonts w:hint="eastAsia" w:ascii="宋体" w:hAnsi="宋体" w:cs="宋体"/>
                <w:bCs/>
                <w:szCs w:val="21"/>
              </w:rPr>
              <w:t>服务名称</w:t>
            </w:r>
          </w:p>
        </w:tc>
        <w:tc>
          <w:tcPr>
            <w:tcW w:w="5381" w:type="dxa"/>
            <w:shd w:val="clear" w:color="auto" w:fill="auto"/>
            <w:vAlign w:val="center"/>
          </w:tcPr>
          <w:p w14:paraId="0D478FDE">
            <w:pPr>
              <w:spacing w:line="330" w:lineRule="exact"/>
              <w:jc w:val="center"/>
              <w:rPr>
                <w:rFonts w:ascii="宋体" w:hAnsi="宋体" w:cs="宋体"/>
                <w:bCs/>
                <w:szCs w:val="21"/>
              </w:rPr>
            </w:pPr>
            <w:r>
              <w:rPr>
                <w:rFonts w:hint="eastAsia" w:ascii="宋体" w:hAnsi="宋体"/>
                <w:bCs/>
                <w:szCs w:val="21"/>
              </w:rPr>
              <w:t>技术参数、性能、配置等要求</w:t>
            </w:r>
          </w:p>
        </w:tc>
        <w:tc>
          <w:tcPr>
            <w:tcW w:w="851" w:type="dxa"/>
            <w:shd w:val="clear" w:color="auto" w:fill="auto"/>
            <w:vAlign w:val="center"/>
          </w:tcPr>
          <w:p w14:paraId="33FAAE81">
            <w:pPr>
              <w:spacing w:line="330" w:lineRule="exact"/>
              <w:jc w:val="center"/>
              <w:rPr>
                <w:rFonts w:ascii="宋体" w:hAnsi="宋体" w:cs="宋体"/>
                <w:bCs/>
                <w:szCs w:val="21"/>
              </w:rPr>
            </w:pPr>
            <w:r>
              <w:rPr>
                <w:rFonts w:hint="eastAsia" w:ascii="宋体" w:hAnsi="宋体" w:cs="宋体"/>
                <w:bCs/>
                <w:szCs w:val="21"/>
              </w:rPr>
              <w:t>数量</w:t>
            </w:r>
          </w:p>
        </w:tc>
        <w:tc>
          <w:tcPr>
            <w:tcW w:w="850" w:type="dxa"/>
            <w:shd w:val="clear" w:color="auto" w:fill="auto"/>
            <w:vAlign w:val="center"/>
          </w:tcPr>
          <w:p w14:paraId="2316692B">
            <w:pPr>
              <w:spacing w:line="330" w:lineRule="exact"/>
              <w:jc w:val="center"/>
              <w:rPr>
                <w:rFonts w:ascii="宋体" w:hAnsi="宋体" w:cs="宋体"/>
                <w:bCs/>
                <w:szCs w:val="21"/>
              </w:rPr>
            </w:pPr>
            <w:r>
              <w:rPr>
                <w:rFonts w:hint="eastAsia" w:ascii="宋体" w:hAnsi="宋体" w:cs="宋体"/>
                <w:bCs/>
                <w:szCs w:val="21"/>
              </w:rPr>
              <w:t>单位</w:t>
            </w:r>
          </w:p>
        </w:tc>
      </w:tr>
      <w:tr w14:paraId="5580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2FA9F2F5">
            <w:pPr>
              <w:spacing w:line="330" w:lineRule="exact"/>
              <w:jc w:val="center"/>
              <w:rPr>
                <w:rFonts w:ascii="宋体" w:hAnsi="宋体"/>
                <w:bCs/>
                <w:sz w:val="18"/>
                <w:szCs w:val="18"/>
              </w:rPr>
            </w:pPr>
            <w:r>
              <w:rPr>
                <w:rFonts w:hint="eastAsia" w:ascii="宋体" w:hAnsi="宋体"/>
                <w:bCs/>
                <w:sz w:val="18"/>
                <w:szCs w:val="18"/>
              </w:rPr>
              <w:t>1</w:t>
            </w:r>
          </w:p>
        </w:tc>
        <w:tc>
          <w:tcPr>
            <w:tcW w:w="1240" w:type="dxa"/>
            <w:shd w:val="clear" w:color="auto" w:fill="auto"/>
            <w:vAlign w:val="center"/>
          </w:tcPr>
          <w:p w14:paraId="0B78A190">
            <w:pPr>
              <w:spacing w:line="330" w:lineRule="exact"/>
              <w:jc w:val="center"/>
              <w:rPr>
                <w:rFonts w:ascii="宋体" w:hAnsi="宋体"/>
                <w:bCs/>
                <w:sz w:val="18"/>
                <w:szCs w:val="18"/>
              </w:rPr>
            </w:pPr>
            <w:r>
              <w:rPr>
                <w:rFonts w:hint="eastAsia" w:ascii="宋体" w:hAnsi="宋体" w:cs="宋体"/>
                <w:sz w:val="18"/>
                <w:szCs w:val="18"/>
              </w:rPr>
              <w:t>HIS</w:t>
            </w:r>
            <w:bookmarkStart w:id="1" w:name="_GoBack"/>
            <w:bookmarkEnd w:id="1"/>
            <w:r>
              <w:rPr>
                <w:rFonts w:hint="eastAsia" w:ascii="宋体" w:hAnsi="宋体" w:cs="宋体"/>
                <w:sz w:val="18"/>
                <w:szCs w:val="18"/>
              </w:rPr>
              <w:t>系统网络安全等级保护测评（三级）</w:t>
            </w:r>
          </w:p>
        </w:tc>
        <w:tc>
          <w:tcPr>
            <w:tcW w:w="5381" w:type="dxa"/>
            <w:shd w:val="clear" w:color="auto" w:fill="auto"/>
          </w:tcPr>
          <w:p w14:paraId="35D72907">
            <w:pPr>
              <w:spacing w:line="240" w:lineRule="auto"/>
              <w:jc w:val="both"/>
              <w:rPr>
                <w:rFonts w:ascii="宋体" w:hAnsi="宋体" w:cs="宋体"/>
                <w:b/>
                <w:sz w:val="18"/>
                <w:szCs w:val="18"/>
              </w:rPr>
            </w:pPr>
            <w:r>
              <w:rPr>
                <w:rFonts w:hint="eastAsia" w:ascii="宋体" w:hAnsi="宋体" w:cs="宋体"/>
                <w:b/>
                <w:sz w:val="18"/>
                <w:szCs w:val="18"/>
              </w:rPr>
              <w:t>一、测评服务</w:t>
            </w:r>
          </w:p>
          <w:p w14:paraId="0D38A819">
            <w:pPr>
              <w:spacing w:line="240" w:lineRule="auto"/>
              <w:jc w:val="both"/>
              <w:rPr>
                <w:rFonts w:ascii="宋体" w:hAnsi="宋体" w:cs="宋体"/>
                <w:b/>
                <w:bCs/>
                <w:sz w:val="18"/>
                <w:szCs w:val="18"/>
              </w:rPr>
            </w:pPr>
            <w:r>
              <w:rPr>
                <w:rFonts w:hint="eastAsia" w:ascii="宋体" w:hAnsi="宋体" w:cs="宋体"/>
                <w:b/>
                <w:bCs/>
                <w:sz w:val="18"/>
                <w:szCs w:val="18"/>
              </w:rPr>
              <w:t>1、总的要求</w:t>
            </w:r>
          </w:p>
          <w:p w14:paraId="51C8DCF1">
            <w:pPr>
              <w:spacing w:line="240" w:lineRule="auto"/>
              <w:ind w:firstLine="360" w:firstLineChars="200"/>
              <w:jc w:val="both"/>
              <w:rPr>
                <w:rFonts w:ascii="宋体" w:hAnsi="宋体" w:cs="宋体"/>
                <w:sz w:val="18"/>
                <w:szCs w:val="18"/>
              </w:rPr>
            </w:pPr>
            <w:r>
              <w:rPr>
                <w:rFonts w:hint="eastAsia" w:ascii="宋体" w:hAnsi="宋体" w:cs="宋体"/>
                <w:sz w:val="18"/>
                <w:szCs w:val="18"/>
              </w:rPr>
              <w:t>依据《网络安全等级保护基本要求》（GB/T 22239-2019）对</w:t>
            </w:r>
            <w:r>
              <w:rPr>
                <w:rFonts w:hint="eastAsia" w:ascii="宋体" w:hAnsi="宋体" w:cs="宋体"/>
                <w:b/>
                <w:bCs/>
                <w:sz w:val="18"/>
                <w:szCs w:val="18"/>
              </w:rPr>
              <w:t>桂林市人民医院HIS系统（三级）</w:t>
            </w:r>
            <w:r>
              <w:rPr>
                <w:rFonts w:hint="eastAsia" w:ascii="宋体" w:hAnsi="宋体" w:cs="宋体"/>
                <w:sz w:val="18"/>
                <w:szCs w:val="18"/>
              </w:rPr>
              <w:t>开展网络安全等级保护测评工作，并出具网络安全等级保护测评报告。</w:t>
            </w:r>
          </w:p>
          <w:p w14:paraId="7F879F8B">
            <w:pPr>
              <w:widowControl w:val="0"/>
              <w:spacing w:line="240" w:lineRule="auto"/>
              <w:rPr>
                <w:rFonts w:ascii="宋体" w:hAnsi="宋体" w:cs="宋体"/>
                <w:sz w:val="18"/>
                <w:szCs w:val="18"/>
              </w:rPr>
            </w:pPr>
            <w:r>
              <w:rPr>
                <w:rFonts w:hint="eastAsia" w:ascii="宋体" w:hAnsi="宋体" w:cs="宋体"/>
                <w:b/>
                <w:bCs/>
                <w:sz w:val="18"/>
                <w:szCs w:val="18"/>
              </w:rPr>
              <w:t>2、标准依据</w:t>
            </w:r>
          </w:p>
          <w:p w14:paraId="2A24E4DF">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《计算机信息系统安全保护等级划分准则》（GB 17859-1999)</w:t>
            </w:r>
          </w:p>
          <w:p w14:paraId="5A8BFC97">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《网络安全等级保护基本要求》（GB/T 22239-2019）</w:t>
            </w:r>
          </w:p>
          <w:p w14:paraId="2C22BB7F">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《网络安全等级保护测评要求》（GB/T 28448-2019）</w:t>
            </w:r>
          </w:p>
          <w:p w14:paraId="7D627E4B">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《网络安全等级保护测评过程指南》（GB/T 28449-2018)</w:t>
            </w:r>
          </w:p>
          <w:p w14:paraId="17084C50">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《网络安全等级保护设计技术要求》（GB/T 25070-2019）</w:t>
            </w:r>
          </w:p>
          <w:p w14:paraId="1639369A">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《网络安全等级保护测试评估技术指南》（GB/T 36627-2018）</w:t>
            </w:r>
          </w:p>
          <w:p w14:paraId="4A383DE2">
            <w:pPr>
              <w:spacing w:line="240" w:lineRule="auto"/>
              <w:jc w:val="both"/>
              <w:rPr>
                <w:rFonts w:ascii="宋体" w:hAnsi="宋体" w:cs="宋体"/>
                <w:b/>
                <w:bCs/>
                <w:sz w:val="18"/>
                <w:szCs w:val="18"/>
              </w:rPr>
            </w:pPr>
            <w:r>
              <w:rPr>
                <w:rFonts w:hint="eastAsia" w:ascii="宋体" w:hAnsi="宋体" w:cs="宋体"/>
                <w:b/>
                <w:sz w:val="18"/>
                <w:szCs w:val="18"/>
              </w:rPr>
              <w:t>3</w:t>
            </w:r>
            <w:r>
              <w:rPr>
                <w:rFonts w:hint="eastAsia" w:ascii="宋体" w:hAnsi="宋体" w:cs="宋体"/>
                <w:b/>
                <w:bCs/>
                <w:sz w:val="18"/>
                <w:szCs w:val="18"/>
              </w:rPr>
              <w:t>、测评内容</w:t>
            </w:r>
          </w:p>
          <w:p w14:paraId="55F399B9">
            <w:pPr>
              <w:spacing w:line="240" w:lineRule="auto"/>
              <w:ind w:firstLine="361" w:firstLineChars="200"/>
              <w:jc w:val="both"/>
              <w:rPr>
                <w:rFonts w:ascii="宋体" w:hAnsi="宋体" w:cs="宋体"/>
                <w:b/>
                <w:bCs/>
                <w:sz w:val="18"/>
                <w:szCs w:val="18"/>
              </w:rPr>
            </w:pPr>
            <w:r>
              <w:rPr>
                <w:rFonts w:hint="eastAsia" w:ascii="宋体" w:hAnsi="宋体" w:cs="宋体"/>
                <w:b/>
                <w:bCs/>
                <w:sz w:val="18"/>
                <w:szCs w:val="18"/>
              </w:rPr>
              <w:t>安全通用要求</w:t>
            </w:r>
          </w:p>
          <w:p w14:paraId="0627C6A1">
            <w:pPr>
              <w:spacing w:line="240" w:lineRule="auto"/>
              <w:ind w:firstLine="360" w:firstLineChars="200"/>
              <w:jc w:val="both"/>
              <w:rPr>
                <w:rFonts w:ascii="宋体" w:hAnsi="宋体" w:cs="宋体"/>
                <w:sz w:val="18"/>
                <w:szCs w:val="18"/>
              </w:rPr>
            </w:pPr>
            <w:r>
              <w:rPr>
                <w:rFonts w:hint="eastAsia" w:ascii="宋体" w:hAnsi="宋体" w:cs="宋体"/>
                <w:sz w:val="18"/>
                <w:szCs w:val="18"/>
              </w:rPr>
              <w:t>安全通用要求测评内容应包括安全技术和安全管理两大类，其中技术类应包括对安全物理环境、安全通信网络、安全区域边界、安全计算环境、安全管理中心五个方面的测评，安全管理类测评应包括对安全管理制度、安全管理机构、安全管理人员、安全建设管理、安全运维管理五个方面的测评。</w:t>
            </w:r>
          </w:p>
          <w:p w14:paraId="70C196E4">
            <w:pPr>
              <w:spacing w:line="240" w:lineRule="auto"/>
              <w:rPr>
                <w:rFonts w:ascii="宋体" w:hAnsi="宋体" w:cs="宋体"/>
                <w:b/>
                <w:bCs/>
                <w:sz w:val="18"/>
                <w:szCs w:val="18"/>
              </w:rPr>
            </w:pPr>
            <w:r>
              <w:rPr>
                <w:rFonts w:hint="eastAsia" w:ascii="宋体" w:hAnsi="宋体" w:cs="宋体"/>
                <w:b/>
                <w:bCs/>
                <w:sz w:val="18"/>
                <w:szCs w:val="18"/>
              </w:rPr>
              <w:t>4、测评方法</w:t>
            </w:r>
          </w:p>
          <w:p w14:paraId="7C7B6353">
            <w:pPr>
              <w:spacing w:line="240" w:lineRule="auto"/>
              <w:ind w:firstLine="360" w:firstLineChars="200"/>
              <w:rPr>
                <w:rFonts w:ascii="宋体" w:hAnsi="宋体" w:cs="宋体"/>
                <w:sz w:val="18"/>
                <w:szCs w:val="18"/>
              </w:rPr>
            </w:pPr>
            <w:r>
              <w:rPr>
                <w:rFonts w:hint="eastAsia" w:ascii="宋体" w:hAnsi="宋体" w:cs="宋体"/>
                <w:sz w:val="18"/>
                <w:szCs w:val="18"/>
              </w:rPr>
              <w:t>在测评实施过程中，应采用访谈、检查和测试、渗透测试等测评方法进行，并与国家相关规范及标准的要求相符。</w:t>
            </w:r>
            <w:r>
              <w:rPr>
                <w:rFonts w:hint="eastAsia" w:ascii="宋体" w:hAnsi="宋体" w:cs="宋体"/>
                <w:sz w:val="18"/>
                <w:szCs w:val="18"/>
              </w:rPr>
              <w:br w:type="textWrapping"/>
            </w:r>
            <w:r>
              <w:rPr>
                <w:rFonts w:hint="eastAsia" w:ascii="宋体" w:hAnsi="宋体" w:cs="宋体"/>
                <w:sz w:val="18"/>
                <w:szCs w:val="18"/>
              </w:rPr>
              <w:t xml:space="preserve">    访谈是指测评人员通过引导信息系统相关人员进行有目的的（有针对性的）交流以帮助测评人员理解、分析或取得证据的过程；</w:t>
            </w:r>
            <w:r>
              <w:rPr>
                <w:rFonts w:hint="eastAsia" w:ascii="宋体" w:hAnsi="宋体" w:cs="宋体"/>
                <w:sz w:val="18"/>
                <w:szCs w:val="18"/>
              </w:rPr>
              <w:br w:type="textWrapping"/>
            </w:r>
            <w:r>
              <w:rPr>
                <w:rFonts w:hint="eastAsia" w:ascii="宋体" w:hAnsi="宋体" w:cs="宋体"/>
                <w:sz w:val="18"/>
                <w:szCs w:val="18"/>
              </w:rPr>
              <w:t xml:space="preserve">   检查是指测评人员通过对测评对象（如管理制度、操作记录、安全配置等）进行观察、查验、分析以帮助测评人员理解、分析或取得证据的过程；</w:t>
            </w:r>
          </w:p>
          <w:p w14:paraId="11F67089">
            <w:pPr>
              <w:spacing w:line="240" w:lineRule="auto"/>
              <w:ind w:firstLine="360" w:firstLineChars="200"/>
              <w:rPr>
                <w:rFonts w:ascii="宋体" w:hAnsi="宋体" w:cs="宋体"/>
                <w:sz w:val="18"/>
                <w:szCs w:val="18"/>
              </w:rPr>
            </w:pPr>
            <w:r>
              <w:rPr>
                <w:rFonts w:hint="eastAsia" w:ascii="宋体" w:hAnsi="宋体" w:cs="宋体"/>
                <w:sz w:val="18"/>
                <w:szCs w:val="18"/>
              </w:rPr>
              <w:t>测试是测评人员使用预定的方法/工具使测评对象产生特定的行为，通过查看和分析结果以帮助测评人员获取证据的过程；</w:t>
            </w:r>
          </w:p>
          <w:p w14:paraId="2B42D5A2">
            <w:pPr>
              <w:spacing w:line="240" w:lineRule="auto"/>
              <w:ind w:firstLine="360" w:firstLineChars="200"/>
              <w:rPr>
                <w:rFonts w:ascii="宋体" w:hAnsi="宋体" w:cs="宋体"/>
                <w:sz w:val="18"/>
                <w:szCs w:val="18"/>
              </w:rPr>
            </w:pPr>
            <w:r>
              <w:rPr>
                <w:rFonts w:hint="eastAsia" w:ascii="宋体" w:hAnsi="宋体" w:cs="宋体"/>
                <w:sz w:val="18"/>
                <w:szCs w:val="18"/>
              </w:rPr>
              <w:t>渗透测试是模拟黑客的攻击方法，对受保护对象的应用系统、主机、网络进行攻击，从而验证测评对象的弱点、技术缺陷或漏洞的一种评估方法。</w:t>
            </w:r>
          </w:p>
          <w:p w14:paraId="053E05D7">
            <w:pPr>
              <w:pStyle w:val="9"/>
              <w:spacing w:line="240" w:lineRule="auto"/>
              <w:ind w:firstLine="344" w:firstLineChars="200"/>
              <w:rPr>
                <w:rFonts w:hAnsi="宋体"/>
                <w:sz w:val="18"/>
                <w:szCs w:val="18"/>
              </w:rPr>
            </w:pPr>
            <w:r>
              <w:rPr>
                <w:rFonts w:hint="eastAsia" w:hAnsi="宋体" w:cs="宋体"/>
                <w:sz w:val="18"/>
                <w:szCs w:val="18"/>
              </w:rPr>
              <w:t>测评机构应具备对测评过程中发现的漏洞进行深度挖掘的能力。</w:t>
            </w:r>
          </w:p>
          <w:p w14:paraId="75541E3E">
            <w:pPr>
              <w:spacing w:line="240" w:lineRule="auto"/>
              <w:rPr>
                <w:rFonts w:ascii="宋体" w:hAnsi="宋体" w:cs="宋体"/>
                <w:b/>
                <w:bCs/>
                <w:sz w:val="18"/>
                <w:szCs w:val="18"/>
              </w:rPr>
            </w:pPr>
            <w:r>
              <w:rPr>
                <w:rFonts w:hint="eastAsia" w:ascii="宋体" w:hAnsi="宋体" w:cs="宋体"/>
                <w:b/>
                <w:bCs/>
                <w:sz w:val="18"/>
                <w:szCs w:val="18"/>
              </w:rPr>
              <w:t>5、服务成果</w:t>
            </w:r>
          </w:p>
          <w:p w14:paraId="7C912DA4">
            <w:pPr>
              <w:spacing w:line="240" w:lineRule="auto"/>
              <w:ind w:firstLine="360" w:firstLineChars="200"/>
              <w:rPr>
                <w:rFonts w:ascii="宋体" w:hAnsi="宋体" w:cs="宋体"/>
                <w:sz w:val="18"/>
                <w:szCs w:val="18"/>
              </w:rPr>
            </w:pPr>
            <w:r>
              <w:rPr>
                <w:rFonts w:hint="eastAsia" w:ascii="宋体" w:hAnsi="宋体" w:cs="宋体"/>
                <w:sz w:val="18"/>
                <w:szCs w:val="18"/>
              </w:rPr>
              <w:t>测评完成后，出具符合等保2.0相关技术标准要求、国家网络安全等级保护管理部门规范要求且公安机关认可的的网络安全等级保护测评报告。</w:t>
            </w:r>
          </w:p>
          <w:p w14:paraId="36F34CC2">
            <w:pPr>
              <w:spacing w:line="240" w:lineRule="auto"/>
              <w:rPr>
                <w:rFonts w:ascii="宋体" w:hAnsi="宋体" w:cs="宋体"/>
                <w:b/>
                <w:bCs/>
                <w:sz w:val="18"/>
                <w:szCs w:val="18"/>
              </w:rPr>
            </w:pPr>
            <w:r>
              <w:rPr>
                <w:rFonts w:hint="eastAsia" w:ascii="宋体" w:hAnsi="宋体" w:cs="宋体"/>
                <w:b/>
                <w:bCs/>
                <w:sz w:val="18"/>
                <w:szCs w:val="18"/>
              </w:rPr>
              <w:t>6、网络安全等级保护测评机构资质要求</w:t>
            </w:r>
          </w:p>
          <w:p w14:paraId="2F21A904">
            <w:pPr>
              <w:spacing w:line="240" w:lineRule="auto"/>
              <w:ind w:firstLine="360" w:firstLineChars="200"/>
              <w:rPr>
                <w:rFonts w:ascii="宋体" w:hAnsi="宋体" w:cs="宋体"/>
                <w:sz w:val="18"/>
                <w:szCs w:val="18"/>
              </w:rPr>
            </w:pPr>
            <w:r>
              <w:rPr>
                <w:rFonts w:hint="eastAsia" w:ascii="宋体" w:hAnsi="宋体" w:cs="宋体"/>
                <w:sz w:val="18"/>
                <w:szCs w:val="18"/>
              </w:rPr>
              <w:t>测评机构必须具备公安部第三研究所认证颁发的《网络安全等级测评与检测评估机构服务认证证书》，投标时须提供以上证书复印件并加盖投标人公章。在本项目进行期间，未经采购人同意，测评过程中不得离场，且中途不得更换人员，也不得将检测任务分包或转包。</w:t>
            </w:r>
          </w:p>
        </w:tc>
        <w:tc>
          <w:tcPr>
            <w:tcW w:w="851" w:type="dxa"/>
            <w:shd w:val="clear" w:color="auto" w:fill="auto"/>
            <w:vAlign w:val="center"/>
          </w:tcPr>
          <w:p w14:paraId="1756D6D5">
            <w:pPr>
              <w:spacing w:line="330" w:lineRule="exact"/>
              <w:jc w:val="center"/>
              <w:rPr>
                <w:rFonts w:ascii="宋体" w:hAnsi="宋体"/>
                <w:bCs/>
                <w:szCs w:val="21"/>
              </w:rPr>
            </w:pPr>
            <w:r>
              <w:rPr>
                <w:rFonts w:hint="eastAsia" w:ascii="宋体" w:hAnsi="宋体" w:cs="宋体"/>
                <w:szCs w:val="21"/>
              </w:rPr>
              <w:t>1</w:t>
            </w:r>
          </w:p>
        </w:tc>
        <w:tc>
          <w:tcPr>
            <w:tcW w:w="850" w:type="dxa"/>
            <w:shd w:val="clear" w:color="auto" w:fill="auto"/>
            <w:vAlign w:val="center"/>
          </w:tcPr>
          <w:p w14:paraId="72FEF7B7">
            <w:pPr>
              <w:spacing w:line="330" w:lineRule="exact"/>
              <w:jc w:val="center"/>
              <w:rPr>
                <w:rFonts w:ascii="宋体" w:hAnsi="宋体"/>
                <w:bCs/>
                <w:szCs w:val="21"/>
              </w:rPr>
            </w:pPr>
            <w:r>
              <w:rPr>
                <w:rFonts w:hint="eastAsia" w:ascii="宋体" w:hAnsi="宋体" w:cs="宋体"/>
                <w:szCs w:val="21"/>
              </w:rPr>
              <w:t>项</w:t>
            </w:r>
          </w:p>
        </w:tc>
      </w:tr>
      <w:tr w14:paraId="0F76C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745" w:type="dxa"/>
            <w:shd w:val="clear" w:color="auto" w:fill="auto"/>
            <w:vAlign w:val="center"/>
          </w:tcPr>
          <w:p w14:paraId="2BBA558E">
            <w:pPr>
              <w:spacing w:line="330" w:lineRule="exact"/>
              <w:jc w:val="center"/>
              <w:rPr>
                <w:rFonts w:ascii="宋体" w:hAnsi="宋体"/>
                <w:bCs/>
                <w:sz w:val="18"/>
                <w:szCs w:val="18"/>
              </w:rPr>
            </w:pPr>
            <w:r>
              <w:rPr>
                <w:rFonts w:hint="eastAsia" w:ascii="宋体" w:hAnsi="宋体"/>
                <w:bCs/>
                <w:sz w:val="18"/>
                <w:szCs w:val="18"/>
              </w:rPr>
              <w:t>2</w:t>
            </w:r>
          </w:p>
        </w:tc>
        <w:tc>
          <w:tcPr>
            <w:tcW w:w="1240" w:type="dxa"/>
            <w:shd w:val="clear" w:color="auto" w:fill="auto"/>
            <w:vAlign w:val="center"/>
          </w:tcPr>
          <w:p w14:paraId="2B0EF36C">
            <w:pPr>
              <w:spacing w:line="330" w:lineRule="exact"/>
              <w:jc w:val="center"/>
              <w:rPr>
                <w:rFonts w:ascii="宋体" w:hAnsi="宋体" w:cs="宋体"/>
                <w:sz w:val="18"/>
                <w:szCs w:val="18"/>
              </w:rPr>
            </w:pPr>
            <w:r>
              <w:rPr>
                <w:rFonts w:hint="eastAsia" w:ascii="宋体" w:hAnsi="宋体" w:cs="宋体"/>
                <w:sz w:val="18"/>
                <w:szCs w:val="18"/>
              </w:rPr>
              <w:t>HIS系统差距整改咨询服务</w:t>
            </w:r>
          </w:p>
        </w:tc>
        <w:tc>
          <w:tcPr>
            <w:tcW w:w="5381" w:type="dxa"/>
            <w:shd w:val="clear" w:color="auto" w:fill="auto"/>
          </w:tcPr>
          <w:p w14:paraId="25DF871D">
            <w:pPr>
              <w:spacing w:line="240" w:lineRule="auto"/>
              <w:rPr>
                <w:rFonts w:ascii="宋体" w:hAnsi="宋体" w:cs="宋体"/>
                <w:b/>
                <w:bCs/>
                <w:sz w:val="18"/>
                <w:szCs w:val="18"/>
              </w:rPr>
            </w:pPr>
            <w:r>
              <w:rPr>
                <w:rFonts w:hint="eastAsia" w:ascii="宋体" w:hAnsi="宋体" w:cs="宋体"/>
                <w:b/>
                <w:bCs/>
                <w:sz w:val="18"/>
                <w:szCs w:val="18"/>
              </w:rPr>
              <w:t>1、安全评估服务</w:t>
            </w:r>
          </w:p>
          <w:p w14:paraId="12FD0E3C">
            <w:pPr>
              <w:spacing w:line="240" w:lineRule="auto"/>
              <w:ind w:firstLine="360" w:firstLineChars="200"/>
              <w:rPr>
                <w:rFonts w:ascii="宋体" w:hAnsi="宋体" w:cs="宋体"/>
                <w:sz w:val="18"/>
                <w:szCs w:val="18"/>
              </w:rPr>
            </w:pPr>
            <w:r>
              <w:rPr>
                <w:rFonts w:hint="eastAsia" w:ascii="宋体" w:hAnsi="宋体" w:cs="宋体"/>
                <w:sz w:val="18"/>
                <w:szCs w:val="18"/>
              </w:rPr>
              <w:t>包含系统详细调研、评估工作方案、识别关键信息资产、实施物理安全评估、实施网络安全评估、实施主机安全评估、实施应用安全评估、实施数据安全评估、实施管理机构评估、实施管理制度评估、实施管理人员评估、实施系统建设管理评估、实施系统运维管理评估、生成并确认评估报告。</w:t>
            </w:r>
          </w:p>
          <w:p w14:paraId="27086C79">
            <w:pPr>
              <w:spacing w:line="240" w:lineRule="auto"/>
              <w:rPr>
                <w:rFonts w:ascii="宋体" w:hAnsi="宋体" w:cs="宋体"/>
                <w:b/>
                <w:bCs/>
                <w:sz w:val="18"/>
                <w:szCs w:val="18"/>
              </w:rPr>
            </w:pPr>
            <w:r>
              <w:rPr>
                <w:rFonts w:hint="eastAsia" w:ascii="宋体" w:hAnsi="宋体" w:cs="宋体"/>
                <w:b/>
                <w:bCs/>
                <w:sz w:val="18"/>
                <w:szCs w:val="18"/>
              </w:rPr>
              <w:t>2、差距分析服务</w:t>
            </w:r>
          </w:p>
          <w:p w14:paraId="541F473F">
            <w:pPr>
              <w:spacing w:line="240" w:lineRule="auto"/>
              <w:ind w:firstLine="360" w:firstLineChars="200"/>
              <w:rPr>
                <w:rFonts w:ascii="宋体" w:hAnsi="宋体" w:cs="宋体"/>
                <w:sz w:val="18"/>
                <w:szCs w:val="18"/>
              </w:rPr>
            </w:pPr>
            <w:r>
              <w:rPr>
                <w:rFonts w:hint="eastAsia" w:ascii="宋体" w:hAnsi="宋体" w:cs="宋体"/>
                <w:sz w:val="18"/>
                <w:szCs w:val="18"/>
              </w:rPr>
              <w:t>包含依照系统准备差距分析表、安全管理差距分析（通过文档、访谈和测试等方式）、安全技术差距分析（通过文档、访谈等方式）、生成等级保护差距分析报告。</w:t>
            </w:r>
          </w:p>
          <w:p w14:paraId="470A2510">
            <w:pPr>
              <w:spacing w:line="240" w:lineRule="auto"/>
              <w:rPr>
                <w:rFonts w:ascii="宋体" w:hAnsi="宋体" w:cs="宋体"/>
                <w:b/>
                <w:bCs/>
                <w:sz w:val="18"/>
                <w:szCs w:val="18"/>
              </w:rPr>
            </w:pPr>
            <w:r>
              <w:rPr>
                <w:rFonts w:hint="eastAsia" w:ascii="宋体" w:hAnsi="宋体" w:cs="宋体"/>
                <w:b/>
                <w:bCs/>
                <w:sz w:val="18"/>
                <w:szCs w:val="18"/>
              </w:rPr>
              <w:t>3、安全规划服务</w:t>
            </w:r>
          </w:p>
          <w:p w14:paraId="7E13F4D4">
            <w:pPr>
              <w:spacing w:line="240" w:lineRule="auto"/>
              <w:ind w:firstLine="360" w:firstLineChars="200"/>
              <w:rPr>
                <w:rFonts w:ascii="宋体" w:hAnsi="宋体" w:cs="宋体"/>
                <w:sz w:val="18"/>
                <w:szCs w:val="18"/>
              </w:rPr>
            </w:pPr>
            <w:r>
              <w:rPr>
                <w:rFonts w:hint="eastAsia" w:ascii="宋体" w:hAnsi="宋体" w:cs="宋体"/>
                <w:sz w:val="18"/>
                <w:szCs w:val="18"/>
              </w:rPr>
              <w:t>包含安全需求分析 、安全建设与改建方案的制定、制作原信息系统产品加固方案、测评不符合及部分符合项整改建议、制作新的网络拓扑图、制作安全需求分析报告、编制并确认整体信息系统整改方案。</w:t>
            </w:r>
          </w:p>
          <w:p w14:paraId="090A1B3D">
            <w:pPr>
              <w:spacing w:line="240" w:lineRule="auto"/>
              <w:rPr>
                <w:rFonts w:ascii="宋体" w:hAnsi="宋体" w:cs="宋体"/>
                <w:b/>
                <w:bCs/>
                <w:sz w:val="18"/>
                <w:szCs w:val="18"/>
              </w:rPr>
            </w:pPr>
            <w:r>
              <w:rPr>
                <w:rFonts w:hint="eastAsia" w:ascii="宋体" w:hAnsi="宋体" w:cs="宋体"/>
                <w:b/>
                <w:bCs/>
                <w:sz w:val="18"/>
                <w:szCs w:val="18"/>
              </w:rPr>
              <w:t>4、整改咨询服务</w:t>
            </w:r>
          </w:p>
          <w:p w14:paraId="4916EBE5">
            <w:pPr>
              <w:spacing w:line="240" w:lineRule="auto"/>
              <w:ind w:firstLine="360" w:firstLineChars="200"/>
              <w:rPr>
                <w:rFonts w:ascii="宋体" w:hAnsi="宋体" w:cs="宋体"/>
                <w:sz w:val="18"/>
                <w:szCs w:val="18"/>
              </w:rPr>
            </w:pPr>
            <w:r>
              <w:rPr>
                <w:rFonts w:hint="eastAsia" w:ascii="宋体" w:hAnsi="宋体" w:cs="宋体"/>
                <w:sz w:val="18"/>
                <w:szCs w:val="18"/>
              </w:rPr>
              <w:t>依据等级保护相关技术标准，协助采购方完成需测评信息系统的安全整改咨询服务，完善信息系统安全防护措施，以期使各信息系统达到等级保护基本符合的要求。</w:t>
            </w:r>
          </w:p>
          <w:p w14:paraId="301EFA81">
            <w:pPr>
              <w:spacing w:line="240" w:lineRule="auto"/>
              <w:rPr>
                <w:rFonts w:ascii="宋体" w:hAnsi="宋体" w:cs="宋体"/>
                <w:b/>
                <w:bCs/>
                <w:sz w:val="18"/>
                <w:szCs w:val="18"/>
              </w:rPr>
            </w:pPr>
            <w:r>
              <w:rPr>
                <w:rFonts w:hint="eastAsia" w:ascii="宋体" w:hAnsi="宋体" w:cs="宋体"/>
                <w:b/>
                <w:bCs/>
                <w:sz w:val="18"/>
                <w:szCs w:val="18"/>
              </w:rPr>
              <w:t>5、安全咨询服务</w:t>
            </w:r>
          </w:p>
          <w:p w14:paraId="0ED0052C">
            <w:pPr>
              <w:spacing w:line="240" w:lineRule="auto"/>
              <w:ind w:firstLine="360" w:firstLineChars="200"/>
              <w:rPr>
                <w:rFonts w:ascii="宋体" w:hAnsi="宋体" w:cs="宋体"/>
                <w:sz w:val="18"/>
                <w:szCs w:val="18"/>
              </w:rPr>
            </w:pPr>
            <w:r>
              <w:rPr>
                <w:rFonts w:hint="eastAsia" w:ascii="宋体" w:hAnsi="宋体" w:cs="宋体"/>
                <w:sz w:val="18"/>
                <w:szCs w:val="18"/>
              </w:rPr>
              <w:t>由安全服务商提供的电话、邮件、面谈等方式提供各类信息系统安全咨询和建议服务。（时间1年）</w:t>
            </w:r>
          </w:p>
        </w:tc>
        <w:tc>
          <w:tcPr>
            <w:tcW w:w="851" w:type="dxa"/>
            <w:shd w:val="clear" w:color="auto" w:fill="auto"/>
            <w:vAlign w:val="center"/>
          </w:tcPr>
          <w:p w14:paraId="3090EF12">
            <w:pPr>
              <w:spacing w:line="330" w:lineRule="exact"/>
              <w:jc w:val="center"/>
              <w:rPr>
                <w:rFonts w:ascii="宋体" w:hAnsi="宋体" w:cs="宋体"/>
                <w:szCs w:val="21"/>
              </w:rPr>
            </w:pPr>
            <w:r>
              <w:rPr>
                <w:rFonts w:hint="eastAsia" w:ascii="宋体" w:hAnsi="宋体" w:cs="宋体"/>
                <w:szCs w:val="21"/>
              </w:rPr>
              <w:t>1</w:t>
            </w:r>
          </w:p>
        </w:tc>
        <w:tc>
          <w:tcPr>
            <w:tcW w:w="850" w:type="dxa"/>
            <w:shd w:val="clear" w:color="auto" w:fill="auto"/>
            <w:vAlign w:val="center"/>
          </w:tcPr>
          <w:p w14:paraId="15061877">
            <w:pPr>
              <w:spacing w:line="330" w:lineRule="exact"/>
              <w:jc w:val="center"/>
              <w:rPr>
                <w:rFonts w:ascii="宋体" w:hAnsi="宋体" w:cs="宋体"/>
                <w:szCs w:val="21"/>
              </w:rPr>
            </w:pPr>
            <w:r>
              <w:rPr>
                <w:rFonts w:hint="eastAsia" w:ascii="宋体" w:hAnsi="宋体" w:cs="宋体"/>
                <w:szCs w:val="21"/>
              </w:rPr>
              <w:t>项</w:t>
            </w:r>
          </w:p>
        </w:tc>
      </w:tr>
      <w:tr w14:paraId="7F05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5877AA66">
            <w:pPr>
              <w:spacing w:line="330" w:lineRule="exact"/>
              <w:jc w:val="center"/>
              <w:rPr>
                <w:rFonts w:ascii="宋体" w:hAnsi="宋体"/>
                <w:bCs/>
                <w:sz w:val="18"/>
                <w:szCs w:val="18"/>
              </w:rPr>
            </w:pPr>
            <w:r>
              <w:rPr>
                <w:rFonts w:hint="eastAsia" w:ascii="宋体" w:hAnsi="宋体"/>
                <w:bCs/>
                <w:sz w:val="18"/>
                <w:szCs w:val="18"/>
              </w:rPr>
              <w:t>3</w:t>
            </w:r>
          </w:p>
        </w:tc>
        <w:tc>
          <w:tcPr>
            <w:tcW w:w="1240" w:type="dxa"/>
            <w:shd w:val="clear" w:color="auto" w:fill="auto"/>
            <w:vAlign w:val="center"/>
          </w:tcPr>
          <w:p w14:paraId="00C1347F">
            <w:pPr>
              <w:spacing w:line="330" w:lineRule="exact"/>
              <w:jc w:val="both"/>
              <w:rPr>
                <w:rFonts w:ascii="宋体" w:hAnsi="宋体" w:cs="宋体"/>
                <w:sz w:val="18"/>
                <w:szCs w:val="18"/>
              </w:rPr>
            </w:pPr>
            <w:r>
              <w:rPr>
                <w:rFonts w:hint="eastAsia" w:ascii="宋体" w:hAnsi="宋体" w:cs="宋体"/>
                <w:sz w:val="18"/>
                <w:szCs w:val="18"/>
              </w:rPr>
              <w:t>互联网医院系统网络安全等级保护测评（三级）</w:t>
            </w:r>
          </w:p>
        </w:tc>
        <w:tc>
          <w:tcPr>
            <w:tcW w:w="5381" w:type="dxa"/>
            <w:shd w:val="clear" w:color="auto" w:fill="auto"/>
          </w:tcPr>
          <w:p w14:paraId="41892316">
            <w:pPr>
              <w:spacing w:line="240" w:lineRule="auto"/>
              <w:jc w:val="both"/>
              <w:rPr>
                <w:rFonts w:ascii="宋体" w:hAnsi="宋体" w:cs="宋体"/>
                <w:b/>
                <w:sz w:val="18"/>
                <w:szCs w:val="18"/>
              </w:rPr>
            </w:pPr>
            <w:r>
              <w:rPr>
                <w:rFonts w:hint="eastAsia" w:ascii="宋体" w:hAnsi="宋体" w:cs="宋体"/>
                <w:b/>
                <w:sz w:val="18"/>
                <w:szCs w:val="18"/>
              </w:rPr>
              <w:t>一、测评服务</w:t>
            </w:r>
          </w:p>
          <w:p w14:paraId="5B65D14D">
            <w:pPr>
              <w:spacing w:line="240" w:lineRule="auto"/>
              <w:jc w:val="both"/>
              <w:rPr>
                <w:rFonts w:ascii="宋体" w:hAnsi="宋体" w:cs="宋体"/>
                <w:b/>
                <w:bCs/>
                <w:sz w:val="18"/>
                <w:szCs w:val="18"/>
              </w:rPr>
            </w:pPr>
            <w:r>
              <w:rPr>
                <w:rFonts w:hint="eastAsia" w:ascii="宋体" w:hAnsi="宋体" w:cs="宋体"/>
                <w:b/>
                <w:bCs/>
                <w:sz w:val="18"/>
                <w:szCs w:val="18"/>
              </w:rPr>
              <w:t>1、总的要求</w:t>
            </w:r>
          </w:p>
          <w:p w14:paraId="10C71DAB">
            <w:pPr>
              <w:spacing w:line="240" w:lineRule="auto"/>
              <w:ind w:firstLine="360" w:firstLineChars="200"/>
              <w:jc w:val="both"/>
              <w:rPr>
                <w:rFonts w:ascii="宋体" w:hAnsi="宋体" w:cs="宋体"/>
                <w:sz w:val="18"/>
                <w:szCs w:val="18"/>
              </w:rPr>
            </w:pPr>
            <w:r>
              <w:rPr>
                <w:rFonts w:hint="eastAsia" w:ascii="宋体" w:hAnsi="宋体" w:cs="宋体"/>
                <w:sz w:val="18"/>
                <w:szCs w:val="18"/>
              </w:rPr>
              <w:t>依据《网络安全等级保护基本要求》（GB/T 22239-2019）对</w:t>
            </w:r>
            <w:r>
              <w:rPr>
                <w:rFonts w:hint="eastAsia" w:ascii="宋体" w:hAnsi="宋体" w:cs="宋体"/>
                <w:b/>
                <w:bCs/>
                <w:sz w:val="18"/>
                <w:szCs w:val="18"/>
              </w:rPr>
              <w:t>桂林市人民医院互联网医院系统（三级）</w:t>
            </w:r>
            <w:r>
              <w:rPr>
                <w:rFonts w:hint="eastAsia" w:ascii="宋体" w:hAnsi="宋体" w:cs="宋体"/>
                <w:sz w:val="18"/>
                <w:szCs w:val="18"/>
              </w:rPr>
              <w:t>开展网络安全等级保护测评工作，并出具网络安全等级保护测评报告。</w:t>
            </w:r>
          </w:p>
          <w:p w14:paraId="15EAF592">
            <w:pPr>
              <w:widowControl w:val="0"/>
              <w:spacing w:line="240" w:lineRule="auto"/>
              <w:rPr>
                <w:rFonts w:ascii="宋体" w:hAnsi="宋体" w:cs="宋体"/>
                <w:sz w:val="18"/>
                <w:szCs w:val="18"/>
              </w:rPr>
            </w:pPr>
            <w:r>
              <w:rPr>
                <w:rFonts w:hint="eastAsia" w:ascii="宋体" w:hAnsi="宋体" w:cs="宋体"/>
                <w:b/>
                <w:bCs/>
                <w:sz w:val="18"/>
                <w:szCs w:val="18"/>
              </w:rPr>
              <w:t>2、标准依据</w:t>
            </w:r>
          </w:p>
          <w:p w14:paraId="58C8A2BE">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《计算机信息系统安全保护等级划分准则》（GB 17859-1999)</w:t>
            </w:r>
          </w:p>
          <w:p w14:paraId="2D2E3629">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《网络安全等级保护基本要求》（GB/T 22239-2019）</w:t>
            </w:r>
          </w:p>
          <w:p w14:paraId="586BB742">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《网络安全等级保护测评要求》（GB/T 28448-2019）</w:t>
            </w:r>
          </w:p>
          <w:p w14:paraId="3928E1D9">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《网络安全等级保护测评过程指南》（GB/T 28449-2018)</w:t>
            </w:r>
          </w:p>
          <w:p w14:paraId="2EE5F9F8">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《网络安全等级保护设计技术要求》（GB/T 25070-2019）</w:t>
            </w:r>
          </w:p>
          <w:p w14:paraId="3D6EE1EE">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《网络安全等级保护测试评估技术指南》（GB/T 36627-2018）</w:t>
            </w:r>
          </w:p>
          <w:p w14:paraId="17DB7B0F">
            <w:pPr>
              <w:spacing w:line="240" w:lineRule="auto"/>
              <w:jc w:val="both"/>
              <w:rPr>
                <w:rFonts w:ascii="宋体" w:hAnsi="宋体" w:cs="宋体"/>
                <w:b/>
                <w:bCs/>
                <w:sz w:val="18"/>
                <w:szCs w:val="18"/>
              </w:rPr>
            </w:pPr>
            <w:r>
              <w:rPr>
                <w:rFonts w:hint="eastAsia" w:ascii="宋体" w:hAnsi="宋体" w:cs="宋体"/>
                <w:b/>
                <w:sz w:val="18"/>
                <w:szCs w:val="18"/>
              </w:rPr>
              <w:t>3</w:t>
            </w:r>
            <w:r>
              <w:rPr>
                <w:rFonts w:hint="eastAsia" w:ascii="宋体" w:hAnsi="宋体" w:cs="宋体"/>
                <w:b/>
                <w:bCs/>
                <w:sz w:val="18"/>
                <w:szCs w:val="18"/>
              </w:rPr>
              <w:t>、测评内容</w:t>
            </w:r>
          </w:p>
          <w:p w14:paraId="27123F57">
            <w:pPr>
              <w:spacing w:line="240" w:lineRule="auto"/>
              <w:ind w:firstLine="361" w:firstLineChars="200"/>
              <w:jc w:val="both"/>
              <w:rPr>
                <w:rFonts w:ascii="宋体" w:hAnsi="宋体" w:cs="宋体"/>
                <w:b/>
                <w:bCs/>
                <w:sz w:val="18"/>
                <w:szCs w:val="18"/>
              </w:rPr>
            </w:pPr>
            <w:r>
              <w:rPr>
                <w:rFonts w:hint="eastAsia" w:ascii="宋体" w:hAnsi="宋体" w:cs="宋体"/>
                <w:b/>
                <w:bCs/>
                <w:sz w:val="18"/>
                <w:szCs w:val="18"/>
              </w:rPr>
              <w:t>安全通用要求</w:t>
            </w:r>
          </w:p>
          <w:p w14:paraId="5548AB75">
            <w:pPr>
              <w:spacing w:line="240" w:lineRule="auto"/>
              <w:ind w:firstLine="360" w:firstLineChars="200"/>
              <w:jc w:val="both"/>
              <w:rPr>
                <w:rFonts w:ascii="宋体" w:hAnsi="宋体" w:cs="宋体"/>
                <w:sz w:val="18"/>
                <w:szCs w:val="18"/>
              </w:rPr>
            </w:pPr>
            <w:r>
              <w:rPr>
                <w:rFonts w:hint="eastAsia" w:ascii="宋体" w:hAnsi="宋体" w:cs="宋体"/>
                <w:sz w:val="18"/>
                <w:szCs w:val="18"/>
              </w:rPr>
              <w:t>安全通用要求测评内容应包括安全技术和安全管理两大类，其中技术类应包括对安全物理环境、安全通信网络、安全区域边界、安全计算环境、安全管理中心五个方面的测评，安全管理类测评应包括对安全管理制度、安全管理机构、安全管理人员、安全建设管理、安全运维管理五个方面的测评。</w:t>
            </w:r>
          </w:p>
          <w:p w14:paraId="017930EB">
            <w:pPr>
              <w:spacing w:line="240" w:lineRule="auto"/>
              <w:rPr>
                <w:rFonts w:ascii="宋体" w:hAnsi="宋体" w:cs="宋体"/>
                <w:b/>
                <w:bCs/>
                <w:sz w:val="18"/>
                <w:szCs w:val="18"/>
              </w:rPr>
            </w:pPr>
            <w:r>
              <w:rPr>
                <w:rFonts w:hint="eastAsia" w:ascii="宋体" w:hAnsi="宋体" w:cs="宋体"/>
                <w:b/>
                <w:bCs/>
                <w:sz w:val="18"/>
                <w:szCs w:val="18"/>
              </w:rPr>
              <w:t>4、测评方法</w:t>
            </w:r>
          </w:p>
          <w:p w14:paraId="1E46C99B">
            <w:pPr>
              <w:spacing w:line="240" w:lineRule="auto"/>
              <w:ind w:firstLine="360" w:firstLineChars="200"/>
              <w:rPr>
                <w:rFonts w:ascii="宋体" w:hAnsi="宋体" w:cs="宋体"/>
                <w:sz w:val="18"/>
                <w:szCs w:val="18"/>
              </w:rPr>
            </w:pPr>
            <w:r>
              <w:rPr>
                <w:rFonts w:hint="eastAsia" w:ascii="宋体" w:hAnsi="宋体" w:cs="宋体"/>
                <w:sz w:val="18"/>
                <w:szCs w:val="18"/>
              </w:rPr>
              <w:t>在测评实施过程中，应采用访谈、检查和测试、渗透测试等测评方法进行，并与国家相关规范及标准的要求相符。</w:t>
            </w:r>
            <w:r>
              <w:rPr>
                <w:rFonts w:hint="eastAsia" w:ascii="宋体" w:hAnsi="宋体" w:cs="宋体"/>
                <w:sz w:val="18"/>
                <w:szCs w:val="18"/>
              </w:rPr>
              <w:br w:type="textWrapping"/>
            </w:r>
            <w:r>
              <w:rPr>
                <w:rFonts w:hint="eastAsia" w:ascii="宋体" w:hAnsi="宋体" w:cs="宋体"/>
                <w:sz w:val="18"/>
                <w:szCs w:val="18"/>
              </w:rPr>
              <w:t xml:space="preserve">    访谈是指测评人员通过引导信息系统相关人员进行有目的的（有针对性的）交流以帮助测评人员理解、分析或取得证据的过程；</w:t>
            </w:r>
            <w:r>
              <w:rPr>
                <w:rFonts w:hint="eastAsia" w:ascii="宋体" w:hAnsi="宋体" w:cs="宋体"/>
                <w:sz w:val="18"/>
                <w:szCs w:val="18"/>
              </w:rPr>
              <w:br w:type="textWrapping"/>
            </w:r>
            <w:r>
              <w:rPr>
                <w:rFonts w:hint="eastAsia" w:ascii="宋体" w:hAnsi="宋体" w:cs="宋体"/>
                <w:sz w:val="18"/>
                <w:szCs w:val="18"/>
              </w:rPr>
              <w:t xml:space="preserve">   检查是指测评人员通过对测评对象（如管理制度、操作记录、安全配置等）进行观察、查验、分析以帮助测评人员理解、分析或取得证据的过程；</w:t>
            </w:r>
          </w:p>
          <w:p w14:paraId="3525DFE6">
            <w:pPr>
              <w:spacing w:line="240" w:lineRule="auto"/>
              <w:ind w:firstLine="360" w:firstLineChars="200"/>
              <w:rPr>
                <w:rFonts w:ascii="宋体" w:hAnsi="宋体" w:cs="宋体"/>
                <w:sz w:val="18"/>
                <w:szCs w:val="18"/>
              </w:rPr>
            </w:pPr>
            <w:r>
              <w:rPr>
                <w:rFonts w:hint="eastAsia" w:ascii="宋体" w:hAnsi="宋体" w:cs="宋体"/>
                <w:sz w:val="18"/>
                <w:szCs w:val="18"/>
              </w:rPr>
              <w:t>测试是测评人员使用预定的方法/工具使测评对象产生特定的行为，通过查看和分析结果以帮助测评人员获取证据的过程；</w:t>
            </w:r>
          </w:p>
          <w:p w14:paraId="04D8E7A1">
            <w:pPr>
              <w:spacing w:line="240" w:lineRule="auto"/>
              <w:ind w:firstLine="360" w:firstLineChars="200"/>
              <w:rPr>
                <w:rFonts w:ascii="宋体" w:hAnsi="宋体" w:cs="宋体"/>
                <w:sz w:val="18"/>
                <w:szCs w:val="18"/>
              </w:rPr>
            </w:pPr>
            <w:r>
              <w:rPr>
                <w:rFonts w:hint="eastAsia" w:ascii="宋体" w:hAnsi="宋体" w:cs="宋体"/>
                <w:sz w:val="18"/>
                <w:szCs w:val="18"/>
              </w:rPr>
              <w:t>渗透测试是模拟黑客的攻击方法，对受保护对象的应用系统、主机、网络进行攻击，从而验证测评对象的弱点、技术缺陷或漏洞的一种评估方法。</w:t>
            </w:r>
          </w:p>
          <w:p w14:paraId="7D954D26">
            <w:pPr>
              <w:pStyle w:val="9"/>
              <w:spacing w:line="240" w:lineRule="auto"/>
              <w:ind w:firstLine="344" w:firstLineChars="200"/>
              <w:rPr>
                <w:rFonts w:hAnsi="宋体"/>
                <w:sz w:val="18"/>
                <w:szCs w:val="18"/>
              </w:rPr>
            </w:pPr>
            <w:r>
              <w:rPr>
                <w:rFonts w:hint="eastAsia" w:hAnsi="宋体" w:cs="宋体"/>
                <w:sz w:val="18"/>
                <w:szCs w:val="18"/>
              </w:rPr>
              <w:t>测评机构应具备对测评过程中发现的漏洞进行深度挖掘的能力。</w:t>
            </w:r>
          </w:p>
          <w:p w14:paraId="5CE48DCB">
            <w:pPr>
              <w:spacing w:line="240" w:lineRule="auto"/>
              <w:rPr>
                <w:rFonts w:ascii="宋体" w:hAnsi="宋体" w:cs="宋体"/>
                <w:b/>
                <w:bCs/>
                <w:sz w:val="18"/>
                <w:szCs w:val="18"/>
              </w:rPr>
            </w:pPr>
            <w:r>
              <w:rPr>
                <w:rFonts w:hint="eastAsia" w:ascii="宋体" w:hAnsi="宋体" w:cs="宋体"/>
                <w:b/>
                <w:bCs/>
                <w:sz w:val="18"/>
                <w:szCs w:val="18"/>
              </w:rPr>
              <w:t>5、服务成果</w:t>
            </w:r>
          </w:p>
          <w:p w14:paraId="0AA5B993">
            <w:pPr>
              <w:suppressAutoHyphens/>
              <w:spacing w:line="240" w:lineRule="auto"/>
              <w:ind w:firstLine="360" w:firstLineChars="200"/>
              <w:rPr>
                <w:rFonts w:ascii="宋体" w:hAnsi="宋体" w:cs="宋体"/>
                <w:sz w:val="18"/>
                <w:szCs w:val="18"/>
              </w:rPr>
            </w:pPr>
            <w:r>
              <w:rPr>
                <w:rFonts w:hint="eastAsia" w:ascii="宋体" w:hAnsi="宋体" w:cs="宋体"/>
                <w:sz w:val="18"/>
                <w:szCs w:val="18"/>
              </w:rPr>
              <w:t>测评完成后，出具符合等保2.0相关技术标准要求、国家网络安全等级保护管理部门规范要求且公安机关认可的的网络安全等级保护测评报告。</w:t>
            </w:r>
          </w:p>
          <w:p w14:paraId="275A3CE2">
            <w:pPr>
              <w:spacing w:line="240" w:lineRule="auto"/>
              <w:rPr>
                <w:rFonts w:ascii="宋体" w:hAnsi="宋体" w:cs="宋体"/>
                <w:b/>
                <w:bCs/>
                <w:sz w:val="18"/>
                <w:szCs w:val="18"/>
              </w:rPr>
            </w:pPr>
            <w:r>
              <w:rPr>
                <w:rFonts w:hint="eastAsia" w:ascii="宋体" w:hAnsi="宋体" w:cs="宋体"/>
                <w:b/>
                <w:bCs/>
                <w:sz w:val="18"/>
                <w:szCs w:val="18"/>
              </w:rPr>
              <w:t>6、网络安全等级保护测评机构资质要求</w:t>
            </w:r>
          </w:p>
          <w:p w14:paraId="6FD5E139">
            <w:pPr>
              <w:suppressAutoHyphens/>
              <w:spacing w:line="240" w:lineRule="auto"/>
              <w:ind w:firstLine="360" w:firstLineChars="200"/>
              <w:rPr>
                <w:rFonts w:ascii="宋体" w:hAnsi="宋体" w:cs="宋体"/>
                <w:sz w:val="18"/>
                <w:szCs w:val="18"/>
              </w:rPr>
            </w:pPr>
            <w:r>
              <w:rPr>
                <w:rFonts w:hint="eastAsia" w:ascii="宋体" w:hAnsi="宋体" w:cs="宋体"/>
                <w:sz w:val="18"/>
                <w:szCs w:val="18"/>
              </w:rPr>
              <w:t>测评机构必须具备公安部第三研究所认证颁发的《网络安全等级测评与检测评估机构服务认证证书》，投标时须提供以上证书复印件并加盖投标人公章。在本项目进行期间，未经采购人同意，测评过程中不得离场，且中途不得更换人员，也不得将检测任务分包或转包。</w:t>
            </w:r>
          </w:p>
        </w:tc>
        <w:tc>
          <w:tcPr>
            <w:tcW w:w="851" w:type="dxa"/>
            <w:shd w:val="clear" w:color="auto" w:fill="auto"/>
            <w:vAlign w:val="center"/>
          </w:tcPr>
          <w:p w14:paraId="748FBAD8">
            <w:pPr>
              <w:spacing w:line="330" w:lineRule="exact"/>
              <w:jc w:val="center"/>
              <w:rPr>
                <w:rFonts w:ascii="宋体" w:hAnsi="宋体" w:cs="宋体"/>
                <w:szCs w:val="21"/>
              </w:rPr>
            </w:pPr>
            <w:r>
              <w:rPr>
                <w:rFonts w:hint="eastAsia" w:ascii="宋体" w:hAnsi="宋体" w:cs="宋体"/>
                <w:szCs w:val="21"/>
              </w:rPr>
              <w:t>1</w:t>
            </w:r>
          </w:p>
        </w:tc>
        <w:tc>
          <w:tcPr>
            <w:tcW w:w="850" w:type="dxa"/>
            <w:shd w:val="clear" w:color="auto" w:fill="auto"/>
            <w:vAlign w:val="center"/>
          </w:tcPr>
          <w:p w14:paraId="458D4044">
            <w:pPr>
              <w:spacing w:line="330" w:lineRule="exact"/>
              <w:jc w:val="center"/>
              <w:rPr>
                <w:rFonts w:ascii="宋体" w:hAnsi="宋体" w:cs="宋体"/>
                <w:szCs w:val="21"/>
              </w:rPr>
            </w:pPr>
            <w:r>
              <w:rPr>
                <w:rFonts w:hint="eastAsia" w:ascii="宋体" w:hAnsi="宋体" w:cs="宋体"/>
                <w:szCs w:val="21"/>
              </w:rPr>
              <w:t>项</w:t>
            </w:r>
          </w:p>
        </w:tc>
      </w:tr>
      <w:tr w14:paraId="3084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6B005370">
            <w:pPr>
              <w:spacing w:line="330" w:lineRule="exact"/>
              <w:jc w:val="center"/>
              <w:rPr>
                <w:rFonts w:ascii="宋体" w:hAnsi="宋体"/>
                <w:bCs/>
                <w:sz w:val="18"/>
                <w:szCs w:val="18"/>
              </w:rPr>
            </w:pPr>
            <w:r>
              <w:rPr>
                <w:rFonts w:hint="eastAsia" w:ascii="宋体" w:hAnsi="宋体"/>
                <w:bCs/>
                <w:sz w:val="18"/>
                <w:szCs w:val="18"/>
              </w:rPr>
              <w:t>4</w:t>
            </w:r>
          </w:p>
        </w:tc>
        <w:tc>
          <w:tcPr>
            <w:tcW w:w="1240" w:type="dxa"/>
            <w:shd w:val="clear" w:color="auto" w:fill="auto"/>
            <w:vAlign w:val="center"/>
          </w:tcPr>
          <w:p w14:paraId="3EE369E4">
            <w:pPr>
              <w:spacing w:line="330" w:lineRule="exact"/>
              <w:jc w:val="center"/>
              <w:rPr>
                <w:rFonts w:ascii="宋体" w:hAnsi="宋体" w:cs="宋体"/>
                <w:sz w:val="18"/>
                <w:szCs w:val="18"/>
              </w:rPr>
            </w:pPr>
            <w:r>
              <w:rPr>
                <w:rFonts w:hint="eastAsia" w:ascii="宋体" w:hAnsi="宋体" w:cs="宋体"/>
                <w:sz w:val="18"/>
                <w:szCs w:val="18"/>
              </w:rPr>
              <w:t>互联网医院系统系统差距整改咨询服务</w:t>
            </w:r>
          </w:p>
        </w:tc>
        <w:tc>
          <w:tcPr>
            <w:tcW w:w="5381" w:type="dxa"/>
            <w:shd w:val="clear" w:color="auto" w:fill="auto"/>
          </w:tcPr>
          <w:p w14:paraId="4D93B72C">
            <w:pPr>
              <w:spacing w:line="240" w:lineRule="auto"/>
              <w:rPr>
                <w:rFonts w:ascii="宋体" w:hAnsi="宋体" w:cs="宋体"/>
                <w:b/>
                <w:bCs/>
                <w:sz w:val="18"/>
                <w:szCs w:val="18"/>
              </w:rPr>
            </w:pPr>
            <w:r>
              <w:rPr>
                <w:rFonts w:hint="eastAsia" w:ascii="宋体" w:hAnsi="宋体" w:cs="宋体"/>
                <w:b/>
                <w:bCs/>
                <w:sz w:val="18"/>
                <w:szCs w:val="18"/>
              </w:rPr>
              <w:t>1、安全评估服务</w:t>
            </w:r>
          </w:p>
          <w:p w14:paraId="0FC9C4A6">
            <w:pPr>
              <w:spacing w:line="240" w:lineRule="auto"/>
              <w:ind w:firstLine="360" w:firstLineChars="200"/>
              <w:rPr>
                <w:rFonts w:ascii="宋体" w:hAnsi="宋体" w:cs="宋体"/>
                <w:sz w:val="18"/>
                <w:szCs w:val="18"/>
              </w:rPr>
            </w:pPr>
            <w:r>
              <w:rPr>
                <w:rFonts w:hint="eastAsia" w:ascii="宋体" w:hAnsi="宋体" w:cs="宋体"/>
                <w:sz w:val="18"/>
                <w:szCs w:val="18"/>
              </w:rPr>
              <w:t>包含系统详细调研、评估工作方案、识别关键信息资产、实施物理安全评估、实施网络安全评估、实施主机安全评估、实施应用安全评估、实施数据安全评估、实施管理机构评估、实施管理制度评估、实施管理人员评估、实施系统建设管理评估、实施系统运维管理评估、生成并确认评估报告。</w:t>
            </w:r>
          </w:p>
          <w:p w14:paraId="515337FA">
            <w:pPr>
              <w:spacing w:line="240" w:lineRule="auto"/>
              <w:rPr>
                <w:rFonts w:ascii="宋体" w:hAnsi="宋体" w:cs="宋体"/>
                <w:b/>
                <w:bCs/>
                <w:sz w:val="18"/>
                <w:szCs w:val="18"/>
              </w:rPr>
            </w:pPr>
            <w:r>
              <w:rPr>
                <w:rFonts w:hint="eastAsia" w:ascii="宋体" w:hAnsi="宋体" w:cs="宋体"/>
                <w:b/>
                <w:bCs/>
                <w:sz w:val="18"/>
                <w:szCs w:val="18"/>
              </w:rPr>
              <w:t>2、差距分析服务</w:t>
            </w:r>
          </w:p>
          <w:p w14:paraId="553371FB">
            <w:pPr>
              <w:spacing w:line="240" w:lineRule="auto"/>
              <w:ind w:firstLine="360" w:firstLineChars="200"/>
              <w:rPr>
                <w:rFonts w:ascii="宋体" w:hAnsi="宋体" w:cs="宋体"/>
                <w:sz w:val="18"/>
                <w:szCs w:val="18"/>
              </w:rPr>
            </w:pPr>
            <w:r>
              <w:rPr>
                <w:rFonts w:hint="eastAsia" w:ascii="宋体" w:hAnsi="宋体" w:cs="宋体"/>
                <w:sz w:val="18"/>
                <w:szCs w:val="18"/>
              </w:rPr>
              <w:t>包含依照系统准备差距分析表、安全管理差距分析（通过文档、访谈和测试等方式）、安全技术差距分析（通过文档、访谈等方式）、生成等级保护差距分析报告。</w:t>
            </w:r>
          </w:p>
          <w:p w14:paraId="7F519713">
            <w:pPr>
              <w:spacing w:line="240" w:lineRule="auto"/>
              <w:rPr>
                <w:rFonts w:ascii="宋体" w:hAnsi="宋体" w:cs="宋体"/>
                <w:b/>
                <w:bCs/>
                <w:sz w:val="18"/>
                <w:szCs w:val="18"/>
              </w:rPr>
            </w:pPr>
            <w:r>
              <w:rPr>
                <w:rFonts w:hint="eastAsia" w:ascii="宋体" w:hAnsi="宋体" w:cs="宋体"/>
                <w:b/>
                <w:bCs/>
                <w:sz w:val="18"/>
                <w:szCs w:val="18"/>
              </w:rPr>
              <w:t>3、安全规划服务</w:t>
            </w:r>
          </w:p>
          <w:p w14:paraId="6C05E6F5">
            <w:pPr>
              <w:spacing w:line="240" w:lineRule="auto"/>
              <w:ind w:firstLine="360" w:firstLineChars="200"/>
              <w:rPr>
                <w:rFonts w:ascii="宋体" w:hAnsi="宋体" w:cs="宋体"/>
                <w:sz w:val="18"/>
                <w:szCs w:val="18"/>
              </w:rPr>
            </w:pPr>
            <w:r>
              <w:rPr>
                <w:rFonts w:hint="eastAsia" w:ascii="宋体" w:hAnsi="宋体" w:cs="宋体"/>
                <w:sz w:val="18"/>
                <w:szCs w:val="18"/>
              </w:rPr>
              <w:t>包含安全需求分析 、安全建设与改建方案的制定、制作原信息系统产品加固方案、测评不符合及部分符合项整改建议、制作新的网络拓扑图、制作安全需求分析报告、编制并确认整体信息系统整改方案。</w:t>
            </w:r>
          </w:p>
          <w:p w14:paraId="7FAF292E">
            <w:pPr>
              <w:spacing w:line="240" w:lineRule="auto"/>
              <w:rPr>
                <w:rFonts w:ascii="宋体" w:hAnsi="宋体" w:cs="宋体"/>
                <w:b/>
                <w:bCs/>
                <w:sz w:val="18"/>
                <w:szCs w:val="18"/>
              </w:rPr>
            </w:pPr>
            <w:r>
              <w:rPr>
                <w:rFonts w:hint="eastAsia" w:ascii="宋体" w:hAnsi="宋体" w:cs="宋体"/>
                <w:b/>
                <w:bCs/>
                <w:sz w:val="18"/>
                <w:szCs w:val="18"/>
              </w:rPr>
              <w:t>4、整改咨询服务</w:t>
            </w:r>
          </w:p>
          <w:p w14:paraId="41354C1C">
            <w:pPr>
              <w:spacing w:line="240" w:lineRule="auto"/>
              <w:ind w:firstLine="360" w:firstLineChars="200"/>
              <w:rPr>
                <w:rFonts w:ascii="宋体" w:hAnsi="宋体" w:cs="宋体"/>
                <w:sz w:val="18"/>
                <w:szCs w:val="18"/>
              </w:rPr>
            </w:pPr>
            <w:r>
              <w:rPr>
                <w:rFonts w:hint="eastAsia" w:ascii="宋体" w:hAnsi="宋体" w:cs="宋体"/>
                <w:sz w:val="18"/>
                <w:szCs w:val="18"/>
              </w:rPr>
              <w:t>依据等级保护相关技术标准，协助采购方完成需测评信息系统的安全整改咨询服务，完善信息系统安全防护措施，以期使各信息系统达到等级保护基本符合的要求。</w:t>
            </w:r>
          </w:p>
          <w:p w14:paraId="0FFA1C05">
            <w:pPr>
              <w:spacing w:line="240" w:lineRule="auto"/>
              <w:rPr>
                <w:rFonts w:ascii="宋体" w:hAnsi="宋体" w:cs="宋体"/>
                <w:b/>
                <w:bCs/>
                <w:sz w:val="18"/>
                <w:szCs w:val="18"/>
              </w:rPr>
            </w:pPr>
            <w:r>
              <w:rPr>
                <w:rFonts w:hint="eastAsia" w:ascii="宋体" w:hAnsi="宋体" w:cs="宋体"/>
                <w:b/>
                <w:bCs/>
                <w:sz w:val="18"/>
                <w:szCs w:val="18"/>
              </w:rPr>
              <w:t>5、安全咨询服务</w:t>
            </w:r>
          </w:p>
          <w:p w14:paraId="2906A845">
            <w:pPr>
              <w:spacing w:line="240" w:lineRule="auto"/>
              <w:ind w:firstLine="360" w:firstLineChars="200"/>
              <w:rPr>
                <w:rFonts w:ascii="宋体" w:hAnsi="宋体" w:cs="宋体"/>
                <w:sz w:val="18"/>
                <w:szCs w:val="18"/>
              </w:rPr>
            </w:pPr>
            <w:r>
              <w:rPr>
                <w:rFonts w:hint="eastAsia" w:ascii="宋体" w:hAnsi="宋体" w:cs="宋体"/>
                <w:sz w:val="18"/>
                <w:szCs w:val="18"/>
              </w:rPr>
              <w:t>由安全服务商提供的电话、邮件、面谈等方式提供各类信息系统安全咨询和建议服务。（时间1年）</w:t>
            </w:r>
          </w:p>
        </w:tc>
        <w:tc>
          <w:tcPr>
            <w:tcW w:w="851" w:type="dxa"/>
            <w:shd w:val="clear" w:color="auto" w:fill="auto"/>
            <w:vAlign w:val="center"/>
          </w:tcPr>
          <w:p w14:paraId="1911E77E">
            <w:pPr>
              <w:spacing w:line="330" w:lineRule="exact"/>
              <w:jc w:val="center"/>
              <w:rPr>
                <w:rFonts w:ascii="宋体" w:hAnsi="宋体" w:cs="宋体"/>
                <w:szCs w:val="21"/>
              </w:rPr>
            </w:pPr>
            <w:r>
              <w:rPr>
                <w:rFonts w:hint="eastAsia" w:ascii="宋体" w:hAnsi="宋体" w:cs="宋体"/>
                <w:szCs w:val="21"/>
              </w:rPr>
              <w:t>1</w:t>
            </w:r>
          </w:p>
        </w:tc>
        <w:tc>
          <w:tcPr>
            <w:tcW w:w="850" w:type="dxa"/>
            <w:shd w:val="clear" w:color="auto" w:fill="auto"/>
            <w:vAlign w:val="center"/>
          </w:tcPr>
          <w:p w14:paraId="1111EAB4">
            <w:pPr>
              <w:spacing w:line="330" w:lineRule="exact"/>
              <w:jc w:val="center"/>
              <w:rPr>
                <w:rFonts w:ascii="宋体" w:hAnsi="宋体" w:cs="宋体"/>
                <w:szCs w:val="21"/>
              </w:rPr>
            </w:pPr>
            <w:r>
              <w:rPr>
                <w:rFonts w:hint="eastAsia" w:ascii="宋体" w:hAnsi="宋体" w:cs="宋体"/>
                <w:szCs w:val="21"/>
              </w:rPr>
              <w:t>项</w:t>
            </w:r>
          </w:p>
        </w:tc>
      </w:tr>
      <w:tr w14:paraId="2A93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36E59B88">
            <w:pPr>
              <w:spacing w:line="330" w:lineRule="exact"/>
              <w:jc w:val="center"/>
              <w:rPr>
                <w:rFonts w:hint="eastAsia" w:ascii="宋体" w:hAnsi="宋体"/>
                <w:bCs/>
                <w:sz w:val="18"/>
                <w:szCs w:val="18"/>
              </w:rPr>
            </w:pPr>
            <w:r>
              <w:rPr>
                <w:rFonts w:hint="eastAsia" w:ascii="宋体" w:hAnsi="宋体"/>
                <w:bCs/>
                <w:sz w:val="18"/>
                <w:szCs w:val="18"/>
                <w:lang w:val="en-US" w:eastAsia="zh-CN"/>
              </w:rPr>
              <w:t>5</w:t>
            </w:r>
          </w:p>
        </w:tc>
        <w:tc>
          <w:tcPr>
            <w:tcW w:w="1240" w:type="dxa"/>
            <w:shd w:val="clear" w:color="auto" w:fill="auto"/>
            <w:vAlign w:val="center"/>
          </w:tcPr>
          <w:p w14:paraId="08C79EF4">
            <w:pPr>
              <w:spacing w:line="330" w:lineRule="exact"/>
              <w:jc w:val="both"/>
              <w:rPr>
                <w:rFonts w:hint="eastAsia" w:ascii="宋体" w:hAnsi="宋体" w:cs="宋体"/>
                <w:sz w:val="18"/>
                <w:szCs w:val="18"/>
              </w:rPr>
            </w:pPr>
            <w:r>
              <w:rPr>
                <w:rFonts w:hint="eastAsia" w:ascii="宋体" w:hAnsi="宋体" w:cs="宋体"/>
                <w:color w:val="000000"/>
                <w:sz w:val="18"/>
                <w:szCs w:val="18"/>
                <w:lang w:val="en-US" w:eastAsia="zh-CN"/>
              </w:rPr>
              <w:t>信息集成平台</w:t>
            </w:r>
            <w:r>
              <w:rPr>
                <w:rFonts w:hint="eastAsia" w:ascii="宋体" w:hAnsi="宋体" w:cs="宋体"/>
                <w:color w:val="000000"/>
                <w:sz w:val="18"/>
                <w:szCs w:val="18"/>
              </w:rPr>
              <w:t>网络安全等级保护测评（三级）</w:t>
            </w:r>
          </w:p>
        </w:tc>
        <w:tc>
          <w:tcPr>
            <w:tcW w:w="5381" w:type="dxa"/>
            <w:shd w:val="clear" w:color="auto" w:fill="auto"/>
            <w:vAlign w:val="top"/>
          </w:tcPr>
          <w:p w14:paraId="07BA62CE">
            <w:pPr>
              <w:spacing w:line="240" w:lineRule="auto"/>
              <w:jc w:val="both"/>
              <w:rPr>
                <w:rFonts w:ascii="宋体" w:hAnsi="宋体" w:cs="宋体"/>
                <w:b/>
                <w:sz w:val="18"/>
                <w:szCs w:val="18"/>
              </w:rPr>
            </w:pPr>
            <w:r>
              <w:rPr>
                <w:rFonts w:hint="eastAsia" w:ascii="宋体" w:hAnsi="宋体" w:cs="宋体"/>
                <w:b/>
                <w:sz w:val="18"/>
                <w:szCs w:val="18"/>
                <w:lang w:val="en-US" w:eastAsia="zh-CN"/>
              </w:rPr>
              <w:t>一</w:t>
            </w:r>
            <w:r>
              <w:rPr>
                <w:rFonts w:hint="eastAsia" w:ascii="宋体" w:hAnsi="宋体" w:cs="宋体"/>
                <w:b/>
                <w:sz w:val="18"/>
                <w:szCs w:val="18"/>
              </w:rPr>
              <w:t>、测评服务</w:t>
            </w:r>
          </w:p>
          <w:p w14:paraId="2F6EE3A8">
            <w:pPr>
              <w:spacing w:line="240" w:lineRule="auto"/>
              <w:jc w:val="both"/>
              <w:rPr>
                <w:rFonts w:ascii="宋体" w:hAnsi="宋体" w:cs="宋体"/>
                <w:b/>
                <w:bCs/>
                <w:sz w:val="18"/>
                <w:szCs w:val="18"/>
              </w:rPr>
            </w:pPr>
            <w:r>
              <w:rPr>
                <w:rFonts w:hint="eastAsia" w:ascii="宋体" w:hAnsi="宋体" w:cs="宋体"/>
                <w:b/>
                <w:bCs/>
                <w:sz w:val="18"/>
                <w:szCs w:val="18"/>
              </w:rPr>
              <w:t>1、总的要求</w:t>
            </w:r>
          </w:p>
          <w:p w14:paraId="233ADF9E">
            <w:pPr>
              <w:spacing w:line="240" w:lineRule="auto"/>
              <w:ind w:firstLine="360" w:firstLineChars="200"/>
              <w:jc w:val="both"/>
              <w:rPr>
                <w:rFonts w:ascii="宋体" w:hAnsi="宋体" w:cs="宋体"/>
                <w:sz w:val="18"/>
                <w:szCs w:val="18"/>
              </w:rPr>
            </w:pPr>
            <w:r>
              <w:rPr>
                <w:rFonts w:hint="eastAsia" w:ascii="宋体" w:hAnsi="宋体" w:cs="宋体"/>
                <w:sz w:val="18"/>
                <w:szCs w:val="18"/>
              </w:rPr>
              <w:t>依据《网络安全等级保护基本要求》（GB/T 22239-2019）对</w:t>
            </w:r>
            <w:r>
              <w:rPr>
                <w:rFonts w:hint="eastAsia" w:ascii="宋体" w:hAnsi="宋体" w:cs="宋体"/>
                <w:b/>
                <w:bCs/>
                <w:sz w:val="18"/>
                <w:szCs w:val="18"/>
              </w:rPr>
              <w:t>桂林市人民医院</w:t>
            </w:r>
            <w:r>
              <w:rPr>
                <w:rFonts w:hint="eastAsia" w:ascii="宋体" w:hAnsi="宋体" w:cs="宋体"/>
                <w:b/>
                <w:bCs/>
                <w:sz w:val="18"/>
                <w:szCs w:val="18"/>
                <w:lang w:val="en-US" w:eastAsia="zh-CN"/>
              </w:rPr>
              <w:t>信息集成平台</w:t>
            </w:r>
            <w:r>
              <w:rPr>
                <w:rFonts w:hint="eastAsia" w:ascii="宋体" w:hAnsi="宋体" w:cs="宋体"/>
                <w:b/>
                <w:bCs/>
                <w:sz w:val="18"/>
                <w:szCs w:val="18"/>
              </w:rPr>
              <w:t>（三级）</w:t>
            </w:r>
            <w:r>
              <w:rPr>
                <w:rFonts w:hint="eastAsia" w:ascii="宋体" w:hAnsi="宋体" w:cs="宋体"/>
                <w:sz w:val="18"/>
                <w:szCs w:val="18"/>
              </w:rPr>
              <w:t>开展网络安全等级保护测评工作，并出具网络安全等级保护测评报告。</w:t>
            </w:r>
          </w:p>
          <w:p w14:paraId="4146A04E">
            <w:pPr>
              <w:widowControl w:val="0"/>
              <w:spacing w:line="240" w:lineRule="auto"/>
              <w:rPr>
                <w:rFonts w:ascii="宋体" w:hAnsi="宋体" w:cs="宋体"/>
                <w:sz w:val="18"/>
                <w:szCs w:val="18"/>
              </w:rPr>
            </w:pPr>
            <w:r>
              <w:rPr>
                <w:rFonts w:hint="eastAsia" w:ascii="宋体" w:hAnsi="宋体" w:cs="宋体"/>
                <w:b/>
                <w:bCs/>
                <w:sz w:val="18"/>
                <w:szCs w:val="18"/>
              </w:rPr>
              <w:t>2、标准依据</w:t>
            </w:r>
          </w:p>
          <w:p w14:paraId="3162ADD3">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《计算机信息系统安全保护等级划分准则》（GB 17859-1999)</w:t>
            </w:r>
          </w:p>
          <w:p w14:paraId="5FE63FFF">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《网络安全等级保护基本要求》（GB/T 22239-2019）</w:t>
            </w:r>
          </w:p>
          <w:p w14:paraId="70DCF18A">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《网络安全等级保护测评要求》（GB/T 28448-2019）</w:t>
            </w:r>
          </w:p>
          <w:p w14:paraId="17BB2D55">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《网络安全等级保护测评过程指南》（GB/T 28449-2018)</w:t>
            </w:r>
          </w:p>
          <w:p w14:paraId="1213ABA5">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《网络安全等级保护设计技术要求》（GB/T 25070-2019）</w:t>
            </w:r>
          </w:p>
          <w:p w14:paraId="5987C860">
            <w:pPr>
              <w:widowControl w:val="0"/>
              <w:numPr>
                <w:ilvl w:val="0"/>
                <w:numId w:val="2"/>
              </w:numPr>
              <w:spacing w:line="240" w:lineRule="auto"/>
              <w:ind w:hanging="180"/>
              <w:jc w:val="both"/>
              <w:rPr>
                <w:rFonts w:ascii="宋体" w:hAnsi="宋体" w:cs="宋体"/>
                <w:sz w:val="18"/>
                <w:szCs w:val="18"/>
              </w:rPr>
            </w:pPr>
            <w:r>
              <w:rPr>
                <w:rFonts w:hint="eastAsia" w:ascii="宋体" w:hAnsi="宋体" w:cs="宋体"/>
                <w:sz w:val="18"/>
                <w:szCs w:val="18"/>
              </w:rPr>
              <w:t>《网络安全等级保护测试评估技术指南》（GB/T 36627-2018）</w:t>
            </w:r>
          </w:p>
          <w:p w14:paraId="3354048B">
            <w:pPr>
              <w:spacing w:line="240" w:lineRule="auto"/>
              <w:jc w:val="both"/>
              <w:rPr>
                <w:rFonts w:ascii="宋体" w:hAnsi="宋体" w:cs="宋体"/>
                <w:b/>
                <w:bCs/>
                <w:sz w:val="18"/>
                <w:szCs w:val="18"/>
              </w:rPr>
            </w:pPr>
            <w:r>
              <w:rPr>
                <w:rFonts w:hint="eastAsia" w:ascii="宋体" w:hAnsi="宋体" w:cs="宋体"/>
                <w:b/>
                <w:sz w:val="18"/>
                <w:szCs w:val="18"/>
              </w:rPr>
              <w:t>3</w:t>
            </w:r>
            <w:r>
              <w:rPr>
                <w:rFonts w:hint="eastAsia" w:ascii="宋体" w:hAnsi="宋体" w:cs="宋体"/>
                <w:b/>
                <w:bCs/>
                <w:sz w:val="18"/>
                <w:szCs w:val="18"/>
              </w:rPr>
              <w:t>、测评内容</w:t>
            </w:r>
          </w:p>
          <w:p w14:paraId="06171C97">
            <w:pPr>
              <w:spacing w:line="240" w:lineRule="auto"/>
              <w:ind w:firstLine="361" w:firstLineChars="200"/>
              <w:jc w:val="both"/>
              <w:rPr>
                <w:rFonts w:ascii="宋体" w:hAnsi="宋体" w:cs="宋体"/>
                <w:b/>
                <w:bCs/>
                <w:sz w:val="18"/>
                <w:szCs w:val="18"/>
              </w:rPr>
            </w:pPr>
            <w:r>
              <w:rPr>
                <w:rFonts w:hint="eastAsia" w:ascii="宋体" w:hAnsi="宋体" w:cs="宋体"/>
                <w:b/>
                <w:bCs/>
                <w:sz w:val="18"/>
                <w:szCs w:val="18"/>
              </w:rPr>
              <w:t>安全通用要求</w:t>
            </w:r>
          </w:p>
          <w:p w14:paraId="6F7B9119">
            <w:pPr>
              <w:spacing w:line="240" w:lineRule="auto"/>
              <w:ind w:firstLine="360" w:firstLineChars="200"/>
              <w:jc w:val="both"/>
              <w:rPr>
                <w:rFonts w:ascii="宋体" w:hAnsi="宋体" w:cs="宋体"/>
                <w:sz w:val="18"/>
                <w:szCs w:val="18"/>
              </w:rPr>
            </w:pPr>
            <w:r>
              <w:rPr>
                <w:rFonts w:hint="eastAsia" w:ascii="宋体" w:hAnsi="宋体" w:cs="宋体"/>
                <w:sz w:val="18"/>
                <w:szCs w:val="18"/>
              </w:rPr>
              <w:t>安全通用要求测评内容应包括安全技术和安全管理两大类，其中技术类应包括对安全物理环境、安全通信网络、安全区域边界、安全计算环境、安全管理中心五个方面的测评，安全管理类测评应包括对安全管理制度、安全管理机构、安全管理人员、安全建设管理、安全运维管理五个方面的测评。</w:t>
            </w:r>
          </w:p>
          <w:p w14:paraId="41E2261D">
            <w:pPr>
              <w:spacing w:line="240" w:lineRule="auto"/>
              <w:rPr>
                <w:rFonts w:ascii="宋体" w:hAnsi="宋体" w:cs="宋体"/>
                <w:b/>
                <w:bCs/>
                <w:sz w:val="18"/>
                <w:szCs w:val="18"/>
              </w:rPr>
            </w:pPr>
            <w:r>
              <w:rPr>
                <w:rFonts w:hint="eastAsia" w:ascii="宋体" w:hAnsi="宋体" w:cs="宋体"/>
                <w:b/>
                <w:bCs/>
                <w:sz w:val="18"/>
                <w:szCs w:val="18"/>
              </w:rPr>
              <w:t>4、测评方法</w:t>
            </w:r>
          </w:p>
          <w:p w14:paraId="747329DE">
            <w:pPr>
              <w:spacing w:line="240" w:lineRule="auto"/>
              <w:ind w:firstLine="360" w:firstLineChars="200"/>
              <w:rPr>
                <w:rFonts w:ascii="宋体" w:hAnsi="宋体" w:cs="宋体"/>
                <w:sz w:val="18"/>
                <w:szCs w:val="18"/>
              </w:rPr>
            </w:pPr>
            <w:r>
              <w:rPr>
                <w:rFonts w:hint="eastAsia" w:ascii="宋体" w:hAnsi="宋体" w:cs="宋体"/>
                <w:sz w:val="18"/>
                <w:szCs w:val="18"/>
              </w:rPr>
              <w:t>在测评实施过程中，应采用访谈、检查和测试、渗透测试等测评方法进行，并与国家相关规范及标准的要求相符。</w:t>
            </w:r>
            <w:r>
              <w:rPr>
                <w:rFonts w:hint="eastAsia" w:ascii="宋体" w:hAnsi="宋体" w:cs="宋体"/>
                <w:sz w:val="18"/>
                <w:szCs w:val="18"/>
              </w:rPr>
              <w:br w:type="textWrapping"/>
            </w:r>
            <w:r>
              <w:rPr>
                <w:rFonts w:hint="eastAsia" w:ascii="宋体" w:hAnsi="宋体" w:cs="宋体"/>
                <w:sz w:val="18"/>
                <w:szCs w:val="18"/>
              </w:rPr>
              <w:t xml:space="preserve">    访谈是指测评人员通过引导信息系统相关人员进行有目的的（有针对性的）交流以帮助测评人员理解、分析或取得证据的过程；</w:t>
            </w:r>
            <w:r>
              <w:rPr>
                <w:rFonts w:hint="eastAsia" w:ascii="宋体" w:hAnsi="宋体" w:cs="宋体"/>
                <w:sz w:val="18"/>
                <w:szCs w:val="18"/>
              </w:rPr>
              <w:br w:type="textWrapping"/>
            </w:r>
            <w:r>
              <w:rPr>
                <w:rFonts w:hint="eastAsia" w:ascii="宋体" w:hAnsi="宋体" w:cs="宋体"/>
                <w:sz w:val="18"/>
                <w:szCs w:val="18"/>
              </w:rPr>
              <w:t xml:space="preserve">   检查是指测评人员通过对测评对象（如管理制度、操作记录、安全配置等）进行观察、查验、分析以帮助测评人员理解、分析或取得证据的过程；</w:t>
            </w:r>
          </w:p>
          <w:p w14:paraId="1EE69196">
            <w:pPr>
              <w:spacing w:line="240" w:lineRule="auto"/>
              <w:ind w:firstLine="360" w:firstLineChars="200"/>
              <w:rPr>
                <w:rFonts w:ascii="宋体" w:hAnsi="宋体" w:cs="宋体"/>
                <w:sz w:val="18"/>
                <w:szCs w:val="18"/>
              </w:rPr>
            </w:pPr>
            <w:r>
              <w:rPr>
                <w:rFonts w:hint="eastAsia" w:ascii="宋体" w:hAnsi="宋体" w:cs="宋体"/>
                <w:sz w:val="18"/>
                <w:szCs w:val="18"/>
              </w:rPr>
              <w:t>测试是测评人员使用预定的方法/工具使测评对象产生特定的行为，通过查看和分析结果以帮助测评人员获取证据的过程；</w:t>
            </w:r>
          </w:p>
          <w:p w14:paraId="24F2B338">
            <w:pPr>
              <w:spacing w:line="240" w:lineRule="auto"/>
              <w:ind w:firstLine="360" w:firstLineChars="200"/>
              <w:rPr>
                <w:rFonts w:ascii="宋体" w:hAnsi="宋体" w:cs="宋体"/>
                <w:sz w:val="18"/>
                <w:szCs w:val="18"/>
              </w:rPr>
            </w:pPr>
            <w:r>
              <w:rPr>
                <w:rFonts w:hint="eastAsia" w:ascii="宋体" w:hAnsi="宋体" w:cs="宋体"/>
                <w:sz w:val="18"/>
                <w:szCs w:val="18"/>
              </w:rPr>
              <w:t>渗透测试是模拟黑客的攻击方法，对受保护对象的应用系统、主机、网络进行攻击，从而验证测评对象的弱点、技术缺陷或漏洞的一种评估方法。</w:t>
            </w:r>
          </w:p>
          <w:p w14:paraId="63386532">
            <w:pPr>
              <w:pStyle w:val="9"/>
              <w:spacing w:line="240" w:lineRule="auto"/>
              <w:ind w:firstLine="344" w:firstLineChars="200"/>
              <w:rPr>
                <w:rFonts w:hAnsi="宋体"/>
                <w:sz w:val="18"/>
                <w:szCs w:val="18"/>
              </w:rPr>
            </w:pPr>
            <w:r>
              <w:rPr>
                <w:rFonts w:hint="eastAsia" w:hAnsi="宋体" w:cs="宋体"/>
                <w:sz w:val="18"/>
                <w:szCs w:val="18"/>
              </w:rPr>
              <w:t>测评机构应具备对测评过程中发现的漏洞进行深度挖掘的能力，以获得过国家计算机网络应急技术处理协调中心和国家信息安全漏洞共享平台（CNVD）颁发的《原创漏洞证明》为佳。</w:t>
            </w:r>
          </w:p>
          <w:p w14:paraId="5C8CD93D">
            <w:pPr>
              <w:spacing w:line="240" w:lineRule="auto"/>
              <w:rPr>
                <w:rFonts w:ascii="宋体" w:hAnsi="宋体" w:cs="宋体"/>
                <w:b/>
                <w:bCs/>
                <w:sz w:val="18"/>
                <w:szCs w:val="18"/>
              </w:rPr>
            </w:pPr>
            <w:r>
              <w:rPr>
                <w:rFonts w:hint="eastAsia" w:ascii="宋体" w:hAnsi="宋体" w:cs="宋体"/>
                <w:b/>
                <w:bCs/>
                <w:sz w:val="18"/>
                <w:szCs w:val="18"/>
              </w:rPr>
              <w:t>5、服务成果</w:t>
            </w:r>
          </w:p>
          <w:p w14:paraId="39F23559">
            <w:pPr>
              <w:suppressAutoHyphens/>
              <w:spacing w:line="240" w:lineRule="auto"/>
              <w:ind w:firstLine="360" w:firstLineChars="200"/>
              <w:rPr>
                <w:rFonts w:ascii="宋体" w:hAnsi="宋体" w:cs="宋体"/>
                <w:sz w:val="18"/>
                <w:szCs w:val="18"/>
              </w:rPr>
            </w:pPr>
            <w:r>
              <w:rPr>
                <w:rFonts w:hint="eastAsia" w:ascii="宋体" w:hAnsi="宋体" w:cs="宋体"/>
                <w:sz w:val="18"/>
                <w:szCs w:val="18"/>
              </w:rPr>
              <w:t>测评完成后，出具符合等保2.0相关技术标准要求、国家网络安全等级保护管理部门规范要求且公安机关认可的的网络安全等级保护测评报告。</w:t>
            </w:r>
          </w:p>
          <w:p w14:paraId="08AC1311">
            <w:pPr>
              <w:spacing w:line="240" w:lineRule="auto"/>
              <w:rPr>
                <w:rFonts w:ascii="宋体" w:hAnsi="宋体" w:cs="宋体"/>
                <w:b/>
                <w:bCs/>
                <w:sz w:val="18"/>
                <w:szCs w:val="18"/>
              </w:rPr>
            </w:pPr>
            <w:r>
              <w:rPr>
                <w:rFonts w:hint="eastAsia" w:ascii="宋体" w:hAnsi="宋体" w:cs="宋体"/>
                <w:b/>
                <w:bCs/>
                <w:sz w:val="18"/>
                <w:szCs w:val="18"/>
              </w:rPr>
              <w:t>6、网络安全等级保护测评机构资质要求</w:t>
            </w:r>
          </w:p>
          <w:p w14:paraId="2428EF74">
            <w:pPr>
              <w:suppressAutoHyphens/>
              <w:spacing w:line="240" w:lineRule="auto"/>
              <w:ind w:firstLine="360" w:firstLineChars="200"/>
              <w:rPr>
                <w:rFonts w:hint="eastAsia" w:ascii="宋体" w:hAnsi="宋体" w:cs="宋体"/>
                <w:sz w:val="18"/>
                <w:szCs w:val="18"/>
              </w:rPr>
            </w:pPr>
            <w:r>
              <w:rPr>
                <w:rFonts w:hint="eastAsia" w:ascii="宋体" w:hAnsi="宋体" w:cs="宋体"/>
                <w:sz w:val="18"/>
                <w:szCs w:val="18"/>
              </w:rPr>
              <w:t>测评机构必须具备公安部第三研究所认证颁发的《网络安全等级测评与检测评估机构服务认证证书》，投标时须提供以上证书复印件并加盖投标人公章。在本项目进行期间，未经采购人同意，测评过程中不得离场，且中途不得更换人员，也不得将检测任务分包或转包。</w:t>
            </w:r>
          </w:p>
        </w:tc>
        <w:tc>
          <w:tcPr>
            <w:tcW w:w="851" w:type="dxa"/>
            <w:shd w:val="clear" w:color="auto" w:fill="auto"/>
            <w:vAlign w:val="center"/>
          </w:tcPr>
          <w:p w14:paraId="605390F7">
            <w:pPr>
              <w:spacing w:line="330" w:lineRule="exact"/>
              <w:jc w:val="center"/>
              <w:rPr>
                <w:rFonts w:hint="eastAsia" w:ascii="宋体" w:hAnsi="宋体" w:cs="宋体"/>
                <w:szCs w:val="21"/>
              </w:rPr>
            </w:pPr>
            <w:r>
              <w:rPr>
                <w:rFonts w:hint="eastAsia" w:ascii="宋体" w:hAnsi="宋体" w:cs="宋体"/>
                <w:color w:val="000000"/>
                <w:szCs w:val="21"/>
              </w:rPr>
              <w:t>1</w:t>
            </w:r>
          </w:p>
        </w:tc>
        <w:tc>
          <w:tcPr>
            <w:tcW w:w="850" w:type="dxa"/>
            <w:shd w:val="clear" w:color="auto" w:fill="auto"/>
            <w:vAlign w:val="center"/>
          </w:tcPr>
          <w:p w14:paraId="3E012D18">
            <w:pPr>
              <w:spacing w:line="330" w:lineRule="exact"/>
              <w:jc w:val="center"/>
              <w:rPr>
                <w:rFonts w:hint="eastAsia" w:ascii="宋体" w:hAnsi="宋体" w:cs="宋体"/>
                <w:szCs w:val="21"/>
              </w:rPr>
            </w:pPr>
            <w:r>
              <w:rPr>
                <w:rFonts w:hint="eastAsia" w:ascii="宋体" w:hAnsi="宋体" w:cs="宋体"/>
                <w:color w:val="000000"/>
                <w:szCs w:val="21"/>
              </w:rPr>
              <w:t>项</w:t>
            </w:r>
          </w:p>
        </w:tc>
      </w:tr>
      <w:tr w14:paraId="33B3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0B170D1B">
            <w:pPr>
              <w:spacing w:line="330" w:lineRule="exact"/>
              <w:jc w:val="center"/>
              <w:rPr>
                <w:rFonts w:hint="eastAsia" w:ascii="宋体" w:hAnsi="宋体"/>
                <w:bCs/>
                <w:sz w:val="18"/>
                <w:szCs w:val="18"/>
              </w:rPr>
            </w:pPr>
            <w:r>
              <w:rPr>
                <w:rFonts w:hint="eastAsia" w:ascii="宋体" w:hAnsi="宋体"/>
                <w:bCs/>
                <w:sz w:val="18"/>
                <w:szCs w:val="18"/>
                <w:lang w:val="en-US" w:eastAsia="zh-CN"/>
              </w:rPr>
              <w:t>6</w:t>
            </w:r>
          </w:p>
        </w:tc>
        <w:tc>
          <w:tcPr>
            <w:tcW w:w="1240" w:type="dxa"/>
            <w:shd w:val="clear" w:color="auto" w:fill="auto"/>
            <w:vAlign w:val="center"/>
          </w:tcPr>
          <w:p w14:paraId="519FAFAB">
            <w:pPr>
              <w:spacing w:line="330" w:lineRule="exact"/>
              <w:jc w:val="center"/>
              <w:rPr>
                <w:rFonts w:hint="eastAsia" w:ascii="宋体" w:hAnsi="宋体" w:cs="宋体"/>
                <w:sz w:val="18"/>
                <w:szCs w:val="18"/>
              </w:rPr>
            </w:pPr>
            <w:r>
              <w:rPr>
                <w:rFonts w:hint="eastAsia" w:ascii="宋体" w:hAnsi="宋体" w:cs="宋体"/>
                <w:sz w:val="18"/>
                <w:szCs w:val="18"/>
                <w:lang w:val="en-US" w:eastAsia="zh-CN"/>
              </w:rPr>
              <w:t>信息集成平台</w:t>
            </w:r>
            <w:r>
              <w:rPr>
                <w:rFonts w:hint="eastAsia" w:ascii="宋体" w:hAnsi="宋体" w:cs="宋体"/>
                <w:sz w:val="18"/>
                <w:szCs w:val="18"/>
              </w:rPr>
              <w:t>差距整改咨询服务</w:t>
            </w:r>
          </w:p>
        </w:tc>
        <w:tc>
          <w:tcPr>
            <w:tcW w:w="5381" w:type="dxa"/>
            <w:shd w:val="clear" w:color="auto" w:fill="auto"/>
            <w:vAlign w:val="top"/>
          </w:tcPr>
          <w:p w14:paraId="5E105A0B">
            <w:pPr>
              <w:spacing w:line="240" w:lineRule="auto"/>
              <w:rPr>
                <w:rFonts w:ascii="宋体" w:hAnsi="宋体" w:cs="宋体"/>
                <w:b/>
                <w:bCs/>
                <w:sz w:val="18"/>
                <w:szCs w:val="18"/>
              </w:rPr>
            </w:pPr>
            <w:r>
              <w:rPr>
                <w:rFonts w:hint="eastAsia" w:ascii="宋体" w:hAnsi="宋体" w:cs="宋体"/>
                <w:b/>
                <w:bCs/>
                <w:sz w:val="18"/>
                <w:szCs w:val="18"/>
              </w:rPr>
              <w:t>1、安全评估服务</w:t>
            </w:r>
          </w:p>
          <w:p w14:paraId="1690269C">
            <w:pPr>
              <w:spacing w:line="240" w:lineRule="auto"/>
              <w:ind w:firstLine="360" w:firstLineChars="200"/>
              <w:rPr>
                <w:rFonts w:ascii="宋体" w:hAnsi="宋体" w:cs="宋体"/>
                <w:sz w:val="18"/>
                <w:szCs w:val="18"/>
              </w:rPr>
            </w:pPr>
            <w:r>
              <w:rPr>
                <w:rFonts w:hint="eastAsia" w:ascii="宋体" w:hAnsi="宋体" w:cs="宋体"/>
                <w:sz w:val="18"/>
                <w:szCs w:val="18"/>
              </w:rPr>
              <w:t>包含系统详细调研、评估工作方案、识别关键信息资产、实施物理安全评估、实施网络安全评估、实施主机安全评估、实施应用安全评估、实施数据安全评估、实施管理机构评估、实施管理制度评估、实施管理人员评估、实施系统建设管理评估、实施系统运维管理评估、生成并确认评估报告。</w:t>
            </w:r>
          </w:p>
          <w:p w14:paraId="4414CF70">
            <w:pPr>
              <w:spacing w:line="240" w:lineRule="auto"/>
              <w:rPr>
                <w:rFonts w:ascii="宋体" w:hAnsi="宋体" w:cs="宋体"/>
                <w:b/>
                <w:bCs/>
                <w:sz w:val="18"/>
                <w:szCs w:val="18"/>
              </w:rPr>
            </w:pPr>
            <w:r>
              <w:rPr>
                <w:rFonts w:hint="eastAsia" w:ascii="宋体" w:hAnsi="宋体" w:cs="宋体"/>
                <w:b/>
                <w:bCs/>
                <w:sz w:val="18"/>
                <w:szCs w:val="18"/>
              </w:rPr>
              <w:t>2、差距分析服务</w:t>
            </w:r>
          </w:p>
          <w:p w14:paraId="35DC5571">
            <w:pPr>
              <w:spacing w:line="240" w:lineRule="auto"/>
              <w:ind w:firstLine="360" w:firstLineChars="200"/>
              <w:rPr>
                <w:rFonts w:ascii="宋体" w:hAnsi="宋体" w:cs="宋体"/>
                <w:sz w:val="18"/>
                <w:szCs w:val="18"/>
              </w:rPr>
            </w:pPr>
            <w:r>
              <w:rPr>
                <w:rFonts w:hint="eastAsia" w:ascii="宋体" w:hAnsi="宋体" w:cs="宋体"/>
                <w:sz w:val="18"/>
                <w:szCs w:val="18"/>
              </w:rPr>
              <w:t>包含依照系统准备差距分析表、安全管理差距分析（通过文档、访谈和测试等方式）、安全技术差距分析（通过文档、访谈等方式）、生成等级保护差距分析报告。</w:t>
            </w:r>
          </w:p>
          <w:p w14:paraId="06D1CB57">
            <w:pPr>
              <w:spacing w:line="240" w:lineRule="auto"/>
              <w:rPr>
                <w:rFonts w:ascii="宋体" w:hAnsi="宋体" w:cs="宋体"/>
                <w:b/>
                <w:bCs/>
                <w:sz w:val="18"/>
                <w:szCs w:val="18"/>
              </w:rPr>
            </w:pPr>
            <w:r>
              <w:rPr>
                <w:rFonts w:hint="eastAsia" w:ascii="宋体" w:hAnsi="宋体" w:cs="宋体"/>
                <w:b/>
                <w:bCs/>
                <w:sz w:val="18"/>
                <w:szCs w:val="18"/>
              </w:rPr>
              <w:t>3、安全规划服务</w:t>
            </w:r>
          </w:p>
          <w:p w14:paraId="75F4EB3A">
            <w:pPr>
              <w:spacing w:line="240" w:lineRule="auto"/>
              <w:ind w:firstLine="360" w:firstLineChars="200"/>
              <w:rPr>
                <w:rFonts w:ascii="宋体" w:hAnsi="宋体" w:cs="宋体"/>
                <w:sz w:val="18"/>
                <w:szCs w:val="18"/>
              </w:rPr>
            </w:pPr>
            <w:r>
              <w:rPr>
                <w:rFonts w:hint="eastAsia" w:ascii="宋体" w:hAnsi="宋体" w:cs="宋体"/>
                <w:sz w:val="18"/>
                <w:szCs w:val="18"/>
              </w:rPr>
              <w:t>包含安全需求分析 、安全建设与改建方案的制定、制作原信息系统产品加固方案、测评不符合及部分符合项整改建议、制作新的网络拓扑图、制作安全需求分析报告、编制并确认整体信息系统整改方案。</w:t>
            </w:r>
          </w:p>
          <w:p w14:paraId="3D250E4D">
            <w:pPr>
              <w:spacing w:line="240" w:lineRule="auto"/>
              <w:rPr>
                <w:rFonts w:ascii="宋体" w:hAnsi="宋体" w:cs="宋体"/>
                <w:b/>
                <w:bCs/>
                <w:sz w:val="18"/>
                <w:szCs w:val="18"/>
              </w:rPr>
            </w:pPr>
            <w:r>
              <w:rPr>
                <w:rFonts w:hint="eastAsia" w:ascii="宋体" w:hAnsi="宋体" w:cs="宋体"/>
                <w:b/>
                <w:bCs/>
                <w:sz w:val="18"/>
                <w:szCs w:val="18"/>
              </w:rPr>
              <w:t>4、整改咨询服务</w:t>
            </w:r>
          </w:p>
          <w:p w14:paraId="43FC6A5F">
            <w:pPr>
              <w:spacing w:line="240" w:lineRule="auto"/>
              <w:ind w:firstLine="360" w:firstLineChars="200"/>
              <w:rPr>
                <w:rFonts w:ascii="宋体" w:hAnsi="宋体" w:cs="宋体"/>
                <w:sz w:val="18"/>
                <w:szCs w:val="18"/>
              </w:rPr>
            </w:pPr>
            <w:r>
              <w:rPr>
                <w:rFonts w:hint="eastAsia" w:ascii="宋体" w:hAnsi="宋体" w:cs="宋体"/>
                <w:sz w:val="18"/>
                <w:szCs w:val="18"/>
              </w:rPr>
              <w:t>依据等级保护相关技术标准，协助采购方完成需测评信息系统的安全整改咨询服务，完善信息系统安全防护措施，以期使各信息系统达到等级保护基本符合的要求。</w:t>
            </w:r>
          </w:p>
          <w:p w14:paraId="397F2D51">
            <w:pPr>
              <w:spacing w:line="240" w:lineRule="auto"/>
              <w:rPr>
                <w:rFonts w:ascii="宋体" w:hAnsi="宋体" w:cs="宋体"/>
                <w:b/>
                <w:bCs/>
                <w:sz w:val="18"/>
                <w:szCs w:val="18"/>
              </w:rPr>
            </w:pPr>
            <w:r>
              <w:rPr>
                <w:rFonts w:hint="eastAsia" w:ascii="宋体" w:hAnsi="宋体" w:cs="宋体"/>
                <w:b/>
                <w:bCs/>
                <w:sz w:val="18"/>
                <w:szCs w:val="18"/>
              </w:rPr>
              <w:t>5、安全咨询服务</w:t>
            </w:r>
          </w:p>
          <w:p w14:paraId="44D6AB35">
            <w:pPr>
              <w:spacing w:line="240" w:lineRule="auto"/>
              <w:ind w:firstLine="360" w:firstLineChars="200"/>
              <w:rPr>
                <w:rFonts w:ascii="宋体" w:hAnsi="宋体" w:cs="宋体"/>
                <w:sz w:val="18"/>
                <w:szCs w:val="18"/>
              </w:rPr>
            </w:pPr>
            <w:r>
              <w:rPr>
                <w:rFonts w:hint="eastAsia" w:ascii="宋体" w:hAnsi="宋体" w:cs="宋体"/>
                <w:sz w:val="18"/>
                <w:szCs w:val="18"/>
              </w:rPr>
              <w:t>由安全服务商提供的电话、邮件、面谈等方式提供各类信息系统安全咨询和建议服务。（时间1年）</w:t>
            </w:r>
          </w:p>
          <w:p w14:paraId="39E2D880">
            <w:pPr>
              <w:spacing w:line="240" w:lineRule="auto"/>
              <w:rPr>
                <w:rFonts w:ascii="宋体" w:hAnsi="宋体" w:cs="宋体"/>
                <w:b/>
                <w:bCs/>
                <w:sz w:val="18"/>
                <w:szCs w:val="18"/>
              </w:rPr>
            </w:pPr>
            <w:r>
              <w:rPr>
                <w:rFonts w:hint="eastAsia" w:ascii="宋体" w:hAnsi="宋体" w:cs="宋体"/>
                <w:b/>
                <w:bCs/>
                <w:sz w:val="18"/>
                <w:szCs w:val="18"/>
              </w:rPr>
              <w:t>6、差距整改咨询服务人员资质</w:t>
            </w:r>
          </w:p>
          <w:p w14:paraId="64E2D968">
            <w:pPr>
              <w:spacing w:line="240" w:lineRule="auto"/>
              <w:ind w:firstLine="360" w:firstLineChars="200"/>
              <w:rPr>
                <w:rFonts w:ascii="宋体" w:hAnsi="宋体" w:cs="宋体"/>
                <w:sz w:val="18"/>
                <w:szCs w:val="18"/>
              </w:rPr>
            </w:pPr>
            <w:r>
              <w:rPr>
                <w:rFonts w:hint="eastAsia" w:ascii="宋体" w:hAnsi="宋体" w:cs="宋体"/>
                <w:sz w:val="18"/>
                <w:szCs w:val="18"/>
              </w:rPr>
              <w:t>提供整改咨询服务团队人员不少于5名工程师。</w:t>
            </w:r>
          </w:p>
          <w:p w14:paraId="49DACD13">
            <w:pPr>
              <w:spacing w:line="240" w:lineRule="auto"/>
              <w:ind w:firstLine="360" w:firstLineChars="200"/>
              <w:rPr>
                <w:rFonts w:hint="eastAsia" w:ascii="宋体" w:hAnsi="宋体" w:cs="宋体"/>
                <w:sz w:val="18"/>
                <w:szCs w:val="18"/>
              </w:rPr>
            </w:pPr>
            <w:r>
              <w:rPr>
                <w:rFonts w:hint="eastAsia" w:ascii="宋体" w:hAnsi="宋体" w:eastAsia="宋体" w:cs="宋体"/>
                <w:sz w:val="18"/>
                <w:szCs w:val="18"/>
              </w:rPr>
              <w:t>团队人员中至少2名</w:t>
            </w:r>
            <w:r>
              <w:rPr>
                <w:rFonts w:hint="eastAsia" w:ascii="宋体" w:hAnsi="宋体" w:eastAsia="宋体" w:cs="宋体"/>
                <w:sz w:val="18"/>
                <w:szCs w:val="18"/>
                <w:lang w:val="en-US" w:eastAsia="zh-CN"/>
              </w:rPr>
              <w:t>取得</w:t>
            </w:r>
            <w:r>
              <w:rPr>
                <w:rFonts w:hint="eastAsia" w:ascii="宋体" w:hAnsi="宋体" w:eastAsia="宋体" w:cs="宋体"/>
                <w:sz w:val="18"/>
                <w:szCs w:val="18"/>
                <w:lang w:eastAsia="zh-Hans"/>
              </w:rPr>
              <w:t>信息（网络）安全等级测评师（</w:t>
            </w:r>
            <w:r>
              <w:rPr>
                <w:rFonts w:hint="eastAsia" w:ascii="宋体" w:hAnsi="宋体" w:eastAsia="宋体" w:cs="宋体"/>
                <w:sz w:val="18"/>
                <w:szCs w:val="18"/>
                <w:lang w:val="en-US" w:eastAsia="zh-CN"/>
              </w:rPr>
              <w:t>高级</w:t>
            </w:r>
            <w:r>
              <w:rPr>
                <w:rFonts w:hint="eastAsia" w:ascii="宋体" w:hAnsi="宋体" w:eastAsia="宋体" w:cs="宋体"/>
                <w:sz w:val="18"/>
                <w:szCs w:val="18"/>
                <w:lang w:eastAsia="zh-Hans"/>
              </w:rPr>
              <w:t>）</w:t>
            </w:r>
            <w:r>
              <w:rPr>
                <w:rFonts w:hint="eastAsia" w:ascii="宋体" w:hAnsi="宋体" w:eastAsia="宋体" w:cs="宋体"/>
                <w:sz w:val="18"/>
                <w:szCs w:val="18"/>
              </w:rPr>
              <w:t>；至少</w:t>
            </w:r>
            <w:r>
              <w:rPr>
                <w:rFonts w:hint="eastAsia" w:ascii="宋体" w:hAnsi="宋体" w:eastAsia="宋体" w:cs="宋体"/>
                <w:sz w:val="18"/>
                <w:szCs w:val="18"/>
                <w:lang w:val="en-US" w:eastAsia="zh-CN"/>
              </w:rPr>
              <w:t>2</w:t>
            </w:r>
            <w:r>
              <w:rPr>
                <w:rFonts w:hint="eastAsia" w:ascii="宋体" w:hAnsi="宋体" w:eastAsia="宋体" w:cs="宋体"/>
                <w:sz w:val="18"/>
                <w:szCs w:val="18"/>
              </w:rPr>
              <w:t>名服务工程师</w:t>
            </w:r>
            <w:r>
              <w:rPr>
                <w:rFonts w:hint="eastAsia" w:ascii="宋体" w:hAnsi="宋体" w:eastAsia="宋体" w:cs="宋体"/>
                <w:sz w:val="18"/>
                <w:szCs w:val="18"/>
                <w:lang w:val="en-US" w:eastAsia="zh-CN"/>
              </w:rPr>
              <w:t>取</w:t>
            </w:r>
            <w:r>
              <w:rPr>
                <w:rFonts w:hint="eastAsia" w:ascii="宋体" w:hAnsi="宋体" w:eastAsia="宋体" w:cs="宋体"/>
                <w:sz w:val="18"/>
                <w:szCs w:val="18"/>
              </w:rPr>
              <w:t>得主流网络厂商的高级网络工程师证书，至</w:t>
            </w:r>
            <w:r>
              <w:rPr>
                <w:rFonts w:hint="eastAsia" w:ascii="宋体" w:hAnsi="宋体" w:cs="宋体"/>
                <w:sz w:val="18"/>
                <w:szCs w:val="18"/>
              </w:rPr>
              <w:t>少3名服务工程师</w:t>
            </w:r>
            <w:r>
              <w:rPr>
                <w:rFonts w:hint="eastAsia" w:ascii="宋体" w:hAnsi="宋体" w:cs="宋体"/>
                <w:sz w:val="18"/>
                <w:szCs w:val="18"/>
                <w:lang w:val="en-US" w:eastAsia="zh-CN"/>
              </w:rPr>
              <w:t>取</w:t>
            </w:r>
            <w:r>
              <w:rPr>
                <w:rFonts w:hint="eastAsia" w:ascii="宋体" w:hAnsi="宋体" w:cs="宋体"/>
                <w:sz w:val="18"/>
                <w:szCs w:val="18"/>
              </w:rPr>
              <w:t>得CISAW-信息安全保障人员认证证书（风险管理），投标时必须提供以上人员资质证书复印件并加盖投标人公章。</w:t>
            </w:r>
          </w:p>
        </w:tc>
        <w:tc>
          <w:tcPr>
            <w:tcW w:w="851" w:type="dxa"/>
            <w:shd w:val="clear" w:color="auto" w:fill="auto"/>
            <w:vAlign w:val="center"/>
          </w:tcPr>
          <w:p w14:paraId="20C1252D">
            <w:pPr>
              <w:spacing w:line="330" w:lineRule="exact"/>
              <w:jc w:val="center"/>
              <w:rPr>
                <w:rFonts w:hint="eastAsia" w:ascii="宋体" w:hAnsi="宋体" w:cs="宋体"/>
                <w:szCs w:val="21"/>
              </w:rPr>
            </w:pPr>
            <w:r>
              <w:rPr>
                <w:rFonts w:hint="eastAsia" w:ascii="宋体" w:hAnsi="宋体" w:cs="宋体"/>
                <w:color w:val="000000"/>
                <w:szCs w:val="21"/>
              </w:rPr>
              <w:t>1</w:t>
            </w:r>
          </w:p>
        </w:tc>
        <w:tc>
          <w:tcPr>
            <w:tcW w:w="850" w:type="dxa"/>
            <w:shd w:val="clear" w:color="auto" w:fill="auto"/>
            <w:vAlign w:val="center"/>
          </w:tcPr>
          <w:p w14:paraId="0CD8D48B">
            <w:pPr>
              <w:spacing w:line="330" w:lineRule="exact"/>
              <w:jc w:val="center"/>
              <w:rPr>
                <w:rFonts w:hint="eastAsia" w:ascii="宋体" w:hAnsi="宋体" w:cs="宋体"/>
                <w:szCs w:val="21"/>
              </w:rPr>
            </w:pPr>
            <w:r>
              <w:rPr>
                <w:rFonts w:hint="eastAsia" w:ascii="宋体" w:hAnsi="宋体" w:cs="宋体"/>
                <w:color w:val="000000"/>
                <w:szCs w:val="21"/>
              </w:rPr>
              <w:t>项</w:t>
            </w:r>
          </w:p>
        </w:tc>
      </w:tr>
      <w:tr w14:paraId="61EC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51665F3B">
            <w:pPr>
              <w:spacing w:line="330" w:lineRule="exact"/>
              <w:jc w:val="center"/>
              <w:rPr>
                <w:rFonts w:ascii="宋体" w:hAnsi="宋体"/>
                <w:bCs/>
                <w:sz w:val="18"/>
                <w:szCs w:val="18"/>
              </w:rPr>
            </w:pPr>
          </w:p>
          <w:p w14:paraId="2C585096">
            <w:pPr>
              <w:spacing w:line="330" w:lineRule="exact"/>
              <w:jc w:val="center"/>
              <w:rPr>
                <w:rFonts w:ascii="宋体" w:hAnsi="宋体"/>
                <w:bCs/>
                <w:sz w:val="18"/>
                <w:szCs w:val="18"/>
              </w:rPr>
            </w:pPr>
          </w:p>
          <w:p w14:paraId="204FB6E6">
            <w:pPr>
              <w:spacing w:line="330" w:lineRule="exact"/>
              <w:jc w:val="center"/>
              <w:rPr>
                <w:rFonts w:ascii="宋体" w:hAnsi="宋体"/>
                <w:bCs/>
                <w:sz w:val="18"/>
                <w:szCs w:val="18"/>
              </w:rPr>
            </w:pPr>
          </w:p>
          <w:p w14:paraId="4710FC18">
            <w:pPr>
              <w:spacing w:line="330" w:lineRule="exact"/>
              <w:jc w:val="center"/>
              <w:rPr>
                <w:rFonts w:ascii="宋体" w:hAnsi="宋体"/>
                <w:bCs/>
                <w:sz w:val="18"/>
                <w:szCs w:val="18"/>
              </w:rPr>
            </w:pPr>
          </w:p>
          <w:p w14:paraId="5D1CC8F3">
            <w:pPr>
              <w:spacing w:line="330" w:lineRule="exact"/>
              <w:jc w:val="center"/>
              <w:rPr>
                <w:rFonts w:ascii="宋体" w:hAnsi="宋体"/>
                <w:bCs/>
                <w:sz w:val="18"/>
                <w:szCs w:val="18"/>
              </w:rPr>
            </w:pPr>
          </w:p>
          <w:p w14:paraId="6B87A46F">
            <w:pPr>
              <w:spacing w:line="330" w:lineRule="exact"/>
              <w:jc w:val="center"/>
              <w:rPr>
                <w:rFonts w:ascii="宋体" w:hAnsi="宋体"/>
                <w:bCs/>
                <w:sz w:val="18"/>
                <w:szCs w:val="18"/>
              </w:rPr>
            </w:pPr>
          </w:p>
          <w:p w14:paraId="67447EF8">
            <w:pPr>
              <w:spacing w:line="330" w:lineRule="exact"/>
              <w:jc w:val="center"/>
              <w:rPr>
                <w:rFonts w:ascii="宋体" w:hAnsi="宋体"/>
                <w:bCs/>
                <w:sz w:val="18"/>
                <w:szCs w:val="18"/>
              </w:rPr>
            </w:pPr>
          </w:p>
          <w:p w14:paraId="49EA6D01">
            <w:pPr>
              <w:spacing w:line="330" w:lineRule="exact"/>
              <w:jc w:val="center"/>
              <w:rPr>
                <w:rFonts w:ascii="宋体" w:hAnsi="宋体"/>
                <w:bCs/>
                <w:sz w:val="18"/>
                <w:szCs w:val="18"/>
              </w:rPr>
            </w:pPr>
          </w:p>
          <w:p w14:paraId="0C9425ED">
            <w:pPr>
              <w:spacing w:line="330" w:lineRule="exact"/>
              <w:jc w:val="center"/>
              <w:rPr>
                <w:rFonts w:ascii="宋体" w:hAnsi="宋体"/>
                <w:bCs/>
                <w:sz w:val="18"/>
                <w:szCs w:val="18"/>
              </w:rPr>
            </w:pPr>
          </w:p>
          <w:p w14:paraId="27F6B0AB">
            <w:pPr>
              <w:spacing w:line="330" w:lineRule="exact"/>
              <w:jc w:val="center"/>
              <w:rPr>
                <w:rFonts w:ascii="宋体" w:hAnsi="宋体"/>
                <w:bCs/>
                <w:sz w:val="18"/>
                <w:szCs w:val="18"/>
              </w:rPr>
            </w:pPr>
          </w:p>
          <w:p w14:paraId="3CBC1020">
            <w:pPr>
              <w:spacing w:line="330" w:lineRule="exact"/>
              <w:jc w:val="center"/>
              <w:rPr>
                <w:rFonts w:ascii="宋体" w:hAnsi="宋体"/>
                <w:bCs/>
                <w:sz w:val="18"/>
                <w:szCs w:val="18"/>
              </w:rPr>
            </w:pPr>
          </w:p>
          <w:p w14:paraId="55D48035">
            <w:pPr>
              <w:spacing w:line="330" w:lineRule="exact"/>
              <w:jc w:val="center"/>
              <w:rPr>
                <w:rFonts w:ascii="宋体" w:hAnsi="宋体"/>
                <w:bCs/>
                <w:sz w:val="18"/>
                <w:szCs w:val="18"/>
              </w:rPr>
            </w:pPr>
          </w:p>
          <w:p w14:paraId="68E47CC9">
            <w:pPr>
              <w:spacing w:line="330" w:lineRule="exact"/>
              <w:jc w:val="center"/>
              <w:rPr>
                <w:rFonts w:ascii="宋体" w:hAnsi="宋体"/>
                <w:bCs/>
                <w:sz w:val="18"/>
                <w:szCs w:val="18"/>
              </w:rPr>
            </w:pPr>
          </w:p>
          <w:p w14:paraId="108207F3">
            <w:pPr>
              <w:spacing w:line="330" w:lineRule="exact"/>
              <w:jc w:val="center"/>
              <w:rPr>
                <w:rFonts w:ascii="宋体" w:hAnsi="宋体"/>
                <w:bCs/>
                <w:sz w:val="18"/>
                <w:szCs w:val="18"/>
              </w:rPr>
            </w:pPr>
          </w:p>
          <w:p w14:paraId="71042A9C">
            <w:pPr>
              <w:spacing w:line="330" w:lineRule="exact"/>
              <w:jc w:val="center"/>
              <w:rPr>
                <w:rFonts w:ascii="宋体" w:hAnsi="宋体"/>
                <w:bCs/>
                <w:sz w:val="18"/>
                <w:szCs w:val="18"/>
              </w:rPr>
            </w:pPr>
          </w:p>
          <w:p w14:paraId="3B5B7333">
            <w:pPr>
              <w:spacing w:line="330" w:lineRule="exact"/>
              <w:jc w:val="center"/>
              <w:rPr>
                <w:rFonts w:ascii="宋体" w:hAnsi="宋体"/>
                <w:bCs/>
                <w:sz w:val="18"/>
                <w:szCs w:val="18"/>
              </w:rPr>
            </w:pPr>
          </w:p>
          <w:p w14:paraId="29CA1939">
            <w:pPr>
              <w:spacing w:line="330" w:lineRule="exact"/>
              <w:jc w:val="center"/>
              <w:rPr>
                <w:rFonts w:ascii="宋体" w:hAnsi="宋体"/>
                <w:bCs/>
                <w:sz w:val="18"/>
                <w:szCs w:val="18"/>
              </w:rPr>
            </w:pPr>
          </w:p>
          <w:p w14:paraId="2BE4A822">
            <w:pPr>
              <w:spacing w:line="330" w:lineRule="exact"/>
              <w:jc w:val="center"/>
              <w:rPr>
                <w:rFonts w:ascii="宋体" w:hAnsi="宋体"/>
                <w:bCs/>
                <w:sz w:val="18"/>
                <w:szCs w:val="18"/>
              </w:rPr>
            </w:pPr>
          </w:p>
          <w:p w14:paraId="3CC6193C">
            <w:pPr>
              <w:spacing w:line="330" w:lineRule="exact"/>
              <w:jc w:val="center"/>
              <w:rPr>
                <w:rFonts w:ascii="宋体" w:hAnsi="宋体"/>
                <w:bCs/>
                <w:sz w:val="18"/>
                <w:szCs w:val="18"/>
              </w:rPr>
            </w:pPr>
          </w:p>
          <w:p w14:paraId="1FC5B09E">
            <w:pPr>
              <w:spacing w:line="330" w:lineRule="exact"/>
              <w:jc w:val="center"/>
              <w:rPr>
                <w:rFonts w:ascii="宋体" w:hAnsi="宋体"/>
                <w:bCs/>
                <w:sz w:val="18"/>
                <w:szCs w:val="18"/>
              </w:rPr>
            </w:pPr>
          </w:p>
          <w:p w14:paraId="025D8A51">
            <w:pPr>
              <w:spacing w:line="330" w:lineRule="exact"/>
              <w:jc w:val="center"/>
              <w:rPr>
                <w:rFonts w:ascii="宋体" w:hAnsi="宋体"/>
                <w:bCs/>
                <w:sz w:val="18"/>
                <w:szCs w:val="18"/>
              </w:rPr>
            </w:pPr>
          </w:p>
          <w:p w14:paraId="10D02B5D">
            <w:pPr>
              <w:spacing w:line="330" w:lineRule="exact"/>
              <w:jc w:val="center"/>
              <w:rPr>
                <w:rFonts w:hint="eastAsia" w:ascii="宋体" w:hAnsi="宋体" w:eastAsia="宋体"/>
                <w:bCs/>
                <w:sz w:val="18"/>
                <w:szCs w:val="18"/>
                <w:lang w:eastAsia="zh-CN"/>
              </w:rPr>
            </w:pPr>
            <w:r>
              <w:rPr>
                <w:rFonts w:hint="eastAsia" w:ascii="宋体" w:hAnsi="宋体"/>
                <w:bCs/>
                <w:sz w:val="18"/>
                <w:szCs w:val="18"/>
                <w:lang w:val="en-US" w:eastAsia="zh-CN"/>
              </w:rPr>
              <w:t>7</w:t>
            </w:r>
          </w:p>
        </w:tc>
        <w:tc>
          <w:tcPr>
            <w:tcW w:w="1240" w:type="dxa"/>
            <w:shd w:val="clear" w:color="auto" w:fill="auto"/>
            <w:vAlign w:val="center"/>
          </w:tcPr>
          <w:p w14:paraId="3B54BF64">
            <w:pPr>
              <w:spacing w:line="330" w:lineRule="exact"/>
              <w:jc w:val="center"/>
              <w:rPr>
                <w:rFonts w:ascii="宋体" w:hAnsi="宋体" w:cs="宋体"/>
                <w:sz w:val="18"/>
                <w:szCs w:val="18"/>
              </w:rPr>
            </w:pPr>
          </w:p>
          <w:p w14:paraId="0AEA52CE">
            <w:pPr>
              <w:spacing w:line="330" w:lineRule="exact"/>
              <w:jc w:val="center"/>
              <w:rPr>
                <w:rFonts w:ascii="宋体" w:hAnsi="宋体" w:cs="宋体"/>
                <w:sz w:val="18"/>
                <w:szCs w:val="18"/>
              </w:rPr>
            </w:pPr>
          </w:p>
          <w:p w14:paraId="3838E17D">
            <w:pPr>
              <w:spacing w:line="330" w:lineRule="exact"/>
              <w:jc w:val="center"/>
              <w:rPr>
                <w:rFonts w:ascii="宋体" w:hAnsi="宋体" w:cs="宋体"/>
                <w:sz w:val="18"/>
                <w:szCs w:val="18"/>
              </w:rPr>
            </w:pPr>
          </w:p>
          <w:p w14:paraId="26391134">
            <w:pPr>
              <w:spacing w:line="330" w:lineRule="exact"/>
              <w:jc w:val="center"/>
              <w:rPr>
                <w:rFonts w:ascii="宋体" w:hAnsi="宋体" w:cs="宋体"/>
                <w:sz w:val="18"/>
                <w:szCs w:val="18"/>
              </w:rPr>
            </w:pPr>
          </w:p>
          <w:p w14:paraId="33224505">
            <w:pPr>
              <w:spacing w:line="330" w:lineRule="exact"/>
              <w:jc w:val="center"/>
              <w:rPr>
                <w:rFonts w:ascii="宋体" w:hAnsi="宋体" w:cs="宋体"/>
                <w:sz w:val="18"/>
                <w:szCs w:val="18"/>
              </w:rPr>
            </w:pPr>
          </w:p>
          <w:p w14:paraId="7CBBC7E4">
            <w:pPr>
              <w:spacing w:line="330" w:lineRule="exact"/>
              <w:jc w:val="center"/>
              <w:rPr>
                <w:rFonts w:ascii="宋体" w:hAnsi="宋体" w:cs="宋体"/>
                <w:sz w:val="18"/>
                <w:szCs w:val="18"/>
              </w:rPr>
            </w:pPr>
          </w:p>
          <w:p w14:paraId="31DDDFEC">
            <w:pPr>
              <w:spacing w:line="330" w:lineRule="exact"/>
              <w:jc w:val="center"/>
              <w:rPr>
                <w:rFonts w:ascii="宋体" w:hAnsi="宋体" w:cs="宋体"/>
                <w:sz w:val="18"/>
                <w:szCs w:val="18"/>
              </w:rPr>
            </w:pPr>
          </w:p>
          <w:p w14:paraId="317D998F">
            <w:pPr>
              <w:spacing w:line="330" w:lineRule="exact"/>
              <w:jc w:val="center"/>
              <w:rPr>
                <w:rFonts w:ascii="宋体" w:hAnsi="宋体" w:cs="宋体"/>
                <w:sz w:val="18"/>
                <w:szCs w:val="18"/>
              </w:rPr>
            </w:pPr>
          </w:p>
          <w:p w14:paraId="77ACBD88">
            <w:pPr>
              <w:spacing w:line="330" w:lineRule="exact"/>
              <w:jc w:val="center"/>
              <w:rPr>
                <w:rFonts w:ascii="宋体" w:hAnsi="宋体" w:cs="宋体"/>
                <w:sz w:val="18"/>
                <w:szCs w:val="18"/>
              </w:rPr>
            </w:pPr>
          </w:p>
          <w:p w14:paraId="3D3E02FE">
            <w:pPr>
              <w:spacing w:line="330" w:lineRule="exact"/>
              <w:jc w:val="center"/>
              <w:rPr>
                <w:rFonts w:ascii="宋体" w:hAnsi="宋体" w:cs="宋体"/>
                <w:sz w:val="18"/>
                <w:szCs w:val="18"/>
              </w:rPr>
            </w:pPr>
          </w:p>
          <w:p w14:paraId="37841AF4">
            <w:pPr>
              <w:spacing w:line="330" w:lineRule="exact"/>
              <w:jc w:val="center"/>
              <w:rPr>
                <w:rFonts w:ascii="宋体" w:hAnsi="宋体" w:cs="宋体"/>
                <w:sz w:val="18"/>
                <w:szCs w:val="18"/>
              </w:rPr>
            </w:pPr>
          </w:p>
          <w:p w14:paraId="53958776">
            <w:pPr>
              <w:spacing w:line="330" w:lineRule="exact"/>
              <w:jc w:val="center"/>
              <w:rPr>
                <w:rFonts w:ascii="宋体" w:hAnsi="宋体" w:cs="宋体"/>
                <w:sz w:val="18"/>
                <w:szCs w:val="18"/>
              </w:rPr>
            </w:pPr>
          </w:p>
          <w:p w14:paraId="4A5BCB52">
            <w:pPr>
              <w:spacing w:line="330" w:lineRule="exact"/>
              <w:jc w:val="center"/>
              <w:rPr>
                <w:rFonts w:ascii="宋体" w:hAnsi="宋体" w:cs="宋体"/>
                <w:sz w:val="18"/>
                <w:szCs w:val="18"/>
              </w:rPr>
            </w:pPr>
          </w:p>
          <w:p w14:paraId="5C42E1BF">
            <w:pPr>
              <w:spacing w:line="330" w:lineRule="exact"/>
              <w:jc w:val="center"/>
              <w:rPr>
                <w:rFonts w:ascii="宋体" w:hAnsi="宋体" w:cs="宋体"/>
                <w:sz w:val="18"/>
                <w:szCs w:val="18"/>
              </w:rPr>
            </w:pPr>
          </w:p>
          <w:p w14:paraId="7200263B">
            <w:pPr>
              <w:spacing w:line="330" w:lineRule="exact"/>
              <w:jc w:val="center"/>
              <w:rPr>
                <w:rFonts w:ascii="宋体" w:hAnsi="宋体" w:cs="宋体"/>
                <w:sz w:val="18"/>
                <w:szCs w:val="18"/>
              </w:rPr>
            </w:pPr>
          </w:p>
          <w:p w14:paraId="7DFFC63D">
            <w:pPr>
              <w:spacing w:line="330" w:lineRule="exact"/>
              <w:jc w:val="center"/>
              <w:rPr>
                <w:rFonts w:ascii="宋体" w:hAnsi="宋体" w:cs="宋体"/>
                <w:sz w:val="18"/>
                <w:szCs w:val="18"/>
              </w:rPr>
            </w:pPr>
          </w:p>
          <w:p w14:paraId="02BAE57D">
            <w:pPr>
              <w:spacing w:line="330" w:lineRule="exact"/>
              <w:jc w:val="center"/>
              <w:rPr>
                <w:rFonts w:ascii="宋体" w:hAnsi="宋体" w:cs="宋体"/>
                <w:sz w:val="18"/>
                <w:szCs w:val="18"/>
              </w:rPr>
            </w:pPr>
          </w:p>
          <w:p w14:paraId="32FA3C52">
            <w:pPr>
              <w:spacing w:line="330" w:lineRule="exact"/>
              <w:jc w:val="center"/>
              <w:rPr>
                <w:rFonts w:ascii="宋体" w:hAnsi="宋体" w:cs="宋体"/>
                <w:sz w:val="18"/>
                <w:szCs w:val="18"/>
              </w:rPr>
            </w:pPr>
          </w:p>
          <w:p w14:paraId="4035383E">
            <w:pPr>
              <w:spacing w:line="330" w:lineRule="exact"/>
              <w:jc w:val="center"/>
              <w:rPr>
                <w:rFonts w:ascii="宋体" w:hAnsi="宋体" w:cs="宋体"/>
                <w:sz w:val="18"/>
                <w:szCs w:val="18"/>
              </w:rPr>
            </w:pPr>
          </w:p>
          <w:p w14:paraId="0FE986DB">
            <w:pPr>
              <w:spacing w:line="330" w:lineRule="exact"/>
              <w:jc w:val="center"/>
              <w:rPr>
                <w:rFonts w:ascii="宋体" w:hAnsi="宋体" w:cs="宋体"/>
                <w:sz w:val="18"/>
                <w:szCs w:val="18"/>
              </w:rPr>
            </w:pPr>
          </w:p>
          <w:p w14:paraId="20223E77">
            <w:pPr>
              <w:spacing w:line="330" w:lineRule="exact"/>
              <w:jc w:val="center"/>
              <w:rPr>
                <w:rFonts w:ascii="宋体" w:hAnsi="宋体" w:cs="宋体"/>
                <w:sz w:val="18"/>
                <w:szCs w:val="18"/>
              </w:rPr>
            </w:pPr>
            <w:r>
              <w:rPr>
                <w:rFonts w:hint="eastAsia" w:ascii="宋体" w:hAnsi="宋体" w:cs="宋体"/>
                <w:sz w:val="18"/>
                <w:szCs w:val="18"/>
              </w:rPr>
              <w:t>HIS系统商用密码评估</w:t>
            </w:r>
            <w:r>
              <w:rPr>
                <w:rFonts w:hint="eastAsia" w:ascii="宋体" w:hAnsi="宋体" w:cs="宋体"/>
                <w:sz w:val="18"/>
                <w:szCs w:val="18"/>
                <w:lang w:val="en-US" w:eastAsia="zh-CN"/>
              </w:rPr>
              <w:t>服务</w:t>
            </w:r>
            <w:r>
              <w:rPr>
                <w:rFonts w:hint="eastAsia" w:ascii="宋体" w:hAnsi="宋体" w:cs="宋体"/>
                <w:sz w:val="18"/>
                <w:szCs w:val="18"/>
              </w:rPr>
              <w:t>（三级）</w:t>
            </w:r>
          </w:p>
        </w:tc>
        <w:tc>
          <w:tcPr>
            <w:tcW w:w="5381" w:type="dxa"/>
            <w:shd w:val="clear" w:color="auto" w:fill="auto"/>
          </w:tcPr>
          <w:p w14:paraId="60338304">
            <w:pPr>
              <w:spacing w:line="240" w:lineRule="auto"/>
              <w:jc w:val="both"/>
              <w:rPr>
                <w:rFonts w:ascii="宋体" w:hAnsi="宋体" w:cs="宋体"/>
                <w:b/>
                <w:sz w:val="18"/>
                <w:szCs w:val="18"/>
              </w:rPr>
            </w:pPr>
            <w:r>
              <w:rPr>
                <w:rFonts w:hint="eastAsia" w:ascii="宋体" w:hAnsi="宋体" w:cs="宋体"/>
                <w:b/>
                <w:sz w:val="18"/>
                <w:szCs w:val="18"/>
              </w:rPr>
              <w:t>一、测评服务</w:t>
            </w:r>
          </w:p>
          <w:p w14:paraId="443F63D3">
            <w:pPr>
              <w:spacing w:line="240" w:lineRule="auto"/>
              <w:jc w:val="both"/>
              <w:rPr>
                <w:rFonts w:ascii="宋体" w:hAnsi="宋体" w:cs="宋体"/>
                <w:b/>
                <w:bCs/>
                <w:sz w:val="18"/>
                <w:szCs w:val="18"/>
              </w:rPr>
            </w:pPr>
            <w:r>
              <w:rPr>
                <w:rFonts w:hint="eastAsia" w:ascii="宋体" w:hAnsi="宋体" w:cs="宋体"/>
                <w:b/>
                <w:bCs/>
                <w:sz w:val="18"/>
                <w:szCs w:val="18"/>
              </w:rPr>
              <w:t>1、总的要求</w:t>
            </w:r>
          </w:p>
          <w:p w14:paraId="3EF83BFF">
            <w:pPr>
              <w:spacing w:line="240" w:lineRule="auto"/>
              <w:ind w:firstLine="360" w:firstLineChars="200"/>
              <w:rPr>
                <w:rFonts w:ascii="宋体" w:hAnsi="宋体" w:cs="宋体"/>
                <w:sz w:val="18"/>
                <w:szCs w:val="18"/>
              </w:rPr>
            </w:pPr>
            <w:r>
              <w:rPr>
                <w:rFonts w:hint="eastAsia" w:ascii="宋体" w:hAnsi="宋体" w:cs="宋体"/>
                <w:sz w:val="18"/>
                <w:szCs w:val="18"/>
              </w:rPr>
              <w:t>为贯彻落实《中华人民共和国密码法》、《商用密码管理条例》与《商用密码应用安全性评估管理办法》中对密码应用与安全性评估要求，拟对</w:t>
            </w:r>
            <w:r>
              <w:rPr>
                <w:rFonts w:hint="eastAsia" w:ascii="宋体" w:hAnsi="宋体" w:cs="宋体"/>
                <w:b/>
                <w:bCs/>
                <w:sz w:val="18"/>
                <w:szCs w:val="18"/>
              </w:rPr>
              <w:t>桂林市人民医院HIS系统（三级）开展密码安全性评估工作</w:t>
            </w:r>
            <w:r>
              <w:rPr>
                <w:rFonts w:hint="eastAsia" w:ascii="宋体" w:hAnsi="宋体" w:cs="宋体"/>
                <w:sz w:val="18"/>
                <w:szCs w:val="18"/>
              </w:rPr>
              <w:t>，评估</w:t>
            </w:r>
            <w:r>
              <w:rPr>
                <w:rFonts w:hint="eastAsia" w:ascii="宋体" w:hAnsi="宋体" w:cs="宋体"/>
                <w:b/>
                <w:bCs/>
                <w:sz w:val="18"/>
                <w:szCs w:val="18"/>
              </w:rPr>
              <w:t>桂林市人民医院HIS系统（三级）</w:t>
            </w:r>
            <w:r>
              <w:rPr>
                <w:rFonts w:hint="eastAsia" w:ascii="宋体" w:hAnsi="宋体" w:cs="宋体"/>
                <w:sz w:val="18"/>
                <w:szCs w:val="18"/>
              </w:rPr>
              <w:t>的密码应用是否合规、正确、有效，并通过测评发现其密码保障系统存在的安全隐患和风险，编制被测评系统的密码应用安全性评估报告，并提出有针对性的加强完善密码安全管理和防护建议。编制《商用密码应用与安全性评估整改建议书》、《商用密码应用与安全性评估报告》。</w:t>
            </w:r>
          </w:p>
          <w:p w14:paraId="2CC0922C">
            <w:pPr>
              <w:spacing w:line="240" w:lineRule="auto"/>
              <w:jc w:val="both"/>
              <w:rPr>
                <w:rFonts w:ascii="宋体" w:hAnsi="宋体" w:cs="宋体"/>
                <w:b/>
                <w:bCs/>
                <w:sz w:val="18"/>
                <w:szCs w:val="18"/>
              </w:rPr>
            </w:pPr>
            <w:r>
              <w:rPr>
                <w:rFonts w:hint="eastAsia" w:ascii="宋体" w:hAnsi="宋体" w:cs="宋体"/>
                <w:b/>
                <w:bCs/>
                <w:sz w:val="18"/>
                <w:szCs w:val="18"/>
              </w:rPr>
              <w:t>2、测评依据标准</w:t>
            </w:r>
          </w:p>
          <w:p w14:paraId="6A45F0A8">
            <w:pPr>
              <w:spacing w:line="240" w:lineRule="auto"/>
              <w:ind w:firstLine="360" w:firstLineChars="200"/>
              <w:rPr>
                <w:rFonts w:ascii="宋体" w:hAnsi="宋体" w:cs="宋体"/>
                <w:sz w:val="18"/>
                <w:szCs w:val="18"/>
              </w:rPr>
            </w:pPr>
            <w:r>
              <w:rPr>
                <w:rFonts w:hint="eastAsia" w:ascii="宋体" w:hAnsi="宋体" w:cs="宋体"/>
                <w:sz w:val="18"/>
                <w:szCs w:val="18"/>
              </w:rPr>
              <w:t>①GB/T 39786-2021《信息安全技术 信息系统密码应用基本要求》</w:t>
            </w:r>
          </w:p>
          <w:p w14:paraId="73C4CED4">
            <w:pPr>
              <w:spacing w:line="240" w:lineRule="auto"/>
              <w:ind w:firstLine="360" w:firstLineChars="200"/>
              <w:rPr>
                <w:rFonts w:ascii="宋体" w:hAnsi="宋体" w:cs="宋体"/>
                <w:sz w:val="18"/>
                <w:szCs w:val="18"/>
              </w:rPr>
            </w:pPr>
            <w:r>
              <w:rPr>
                <w:rFonts w:hint="eastAsia" w:ascii="宋体" w:hAnsi="宋体" w:cs="宋体"/>
                <w:sz w:val="18"/>
                <w:szCs w:val="18"/>
              </w:rPr>
              <w:t>②GM/T0115-2021《信息系统密码应用测评要求》</w:t>
            </w:r>
          </w:p>
          <w:p w14:paraId="008F71E9">
            <w:pPr>
              <w:spacing w:line="240" w:lineRule="auto"/>
              <w:ind w:firstLine="360" w:firstLineChars="200"/>
              <w:rPr>
                <w:rFonts w:ascii="宋体" w:hAnsi="宋体" w:cs="宋体"/>
                <w:sz w:val="18"/>
                <w:szCs w:val="18"/>
              </w:rPr>
            </w:pPr>
            <w:r>
              <w:rPr>
                <w:rFonts w:hint="eastAsia" w:ascii="宋体" w:hAnsi="宋体" w:cs="宋体"/>
                <w:sz w:val="18"/>
                <w:szCs w:val="18"/>
              </w:rPr>
              <w:t>③GM/T0116-2021《信息系统密码应用测评过程指南》</w:t>
            </w:r>
          </w:p>
          <w:p w14:paraId="4FEFB07D">
            <w:pPr>
              <w:spacing w:line="240" w:lineRule="auto"/>
              <w:ind w:firstLine="360" w:firstLineChars="200"/>
              <w:rPr>
                <w:rFonts w:ascii="宋体" w:hAnsi="宋体" w:cs="宋体"/>
                <w:sz w:val="18"/>
                <w:szCs w:val="18"/>
              </w:rPr>
            </w:pPr>
            <w:r>
              <w:rPr>
                <w:rFonts w:hint="eastAsia" w:ascii="宋体" w:hAnsi="宋体" w:cs="宋体"/>
                <w:sz w:val="18"/>
                <w:szCs w:val="18"/>
              </w:rPr>
              <w:t>④信息系统密码应用高风险判定指引（2021）</w:t>
            </w:r>
          </w:p>
          <w:p w14:paraId="0F843E2E">
            <w:pPr>
              <w:spacing w:line="240" w:lineRule="auto"/>
              <w:ind w:firstLine="360" w:firstLineChars="200"/>
              <w:rPr>
                <w:rFonts w:ascii="宋体" w:hAnsi="宋体" w:cs="宋体"/>
                <w:sz w:val="18"/>
                <w:szCs w:val="18"/>
              </w:rPr>
            </w:pPr>
            <w:r>
              <w:rPr>
                <w:rFonts w:hint="eastAsia" w:ascii="宋体" w:hAnsi="宋体" w:cs="宋体"/>
                <w:sz w:val="18"/>
                <w:szCs w:val="18"/>
              </w:rPr>
              <w:t>⑤商用密码应用安全性评估量化评估规则（2023版）</w:t>
            </w:r>
          </w:p>
          <w:p w14:paraId="4A600AE5">
            <w:pPr>
              <w:spacing w:line="240" w:lineRule="auto"/>
              <w:jc w:val="both"/>
              <w:rPr>
                <w:rFonts w:ascii="宋体" w:hAnsi="宋体" w:cs="宋体"/>
                <w:b/>
                <w:bCs/>
                <w:sz w:val="18"/>
                <w:szCs w:val="18"/>
              </w:rPr>
            </w:pPr>
            <w:r>
              <w:rPr>
                <w:rFonts w:hint="eastAsia" w:ascii="宋体" w:hAnsi="宋体" w:cs="宋体"/>
                <w:b/>
                <w:bCs/>
                <w:sz w:val="18"/>
                <w:szCs w:val="18"/>
              </w:rPr>
              <w:t>3、服务要求</w:t>
            </w:r>
          </w:p>
          <w:p w14:paraId="25509A2F">
            <w:pPr>
              <w:spacing w:line="240" w:lineRule="auto"/>
              <w:ind w:firstLine="360" w:firstLineChars="200"/>
              <w:rPr>
                <w:rFonts w:ascii="宋体" w:hAnsi="宋体" w:cs="宋体"/>
                <w:sz w:val="18"/>
                <w:szCs w:val="18"/>
              </w:rPr>
            </w:pPr>
            <w:r>
              <w:rPr>
                <w:rFonts w:hint="eastAsia" w:ascii="宋体" w:hAnsi="宋体" w:cs="宋体"/>
                <w:sz w:val="18"/>
                <w:szCs w:val="18"/>
              </w:rPr>
              <w:t>3.1.供应商应依据国家密码法规、密码应用相关技术标准，采用科学的测评方法、流程和工作规范开展商用密码应用安全性评估工作。供应商应具备商用密码应用安全性技术测评实施、管理测评实施、系统整体评估能力。供应商为本项目配备能够依据测评结果做出专业判断以及出具测评报告的能力的测评人员，测评人员必须为通过国家密码管理部门（或其授权的机构）组织的考核（即商用密码应用安全性评估人员测评能力考核证书），遵守国家有关法律法规，按照相关标准，为用户提供安全、客观、公正的评估服务，保证评估的质量和效果。</w:t>
            </w:r>
          </w:p>
          <w:p w14:paraId="0DC99085">
            <w:pPr>
              <w:spacing w:line="240" w:lineRule="auto"/>
              <w:ind w:firstLine="360" w:firstLineChars="200"/>
              <w:rPr>
                <w:rFonts w:ascii="宋体" w:hAnsi="宋体" w:cs="宋体"/>
                <w:sz w:val="18"/>
                <w:szCs w:val="18"/>
              </w:rPr>
            </w:pPr>
            <w:r>
              <w:rPr>
                <w:rFonts w:hint="eastAsia" w:ascii="宋体" w:hAnsi="宋体" w:cs="宋体"/>
                <w:sz w:val="18"/>
                <w:szCs w:val="18"/>
              </w:rPr>
              <w:t>3.2.供应商应具有完善的测评方案，有计划、按步骤地开展测评工作，且测评方案应专业性强，对系统现状及需求理解应准确，方案应科学合理，内容应完整、可靠性强，实施方法和技术措施应可操作性和有效性强，在签订密评合同后供应商应立即成立密评工作小组，并严格按照合同履行密评责任。</w:t>
            </w:r>
          </w:p>
          <w:p w14:paraId="0CA883EE">
            <w:pPr>
              <w:spacing w:line="240" w:lineRule="auto"/>
              <w:ind w:firstLine="360" w:firstLineChars="200"/>
              <w:rPr>
                <w:rFonts w:ascii="宋体" w:hAnsi="宋体" w:cs="宋体"/>
                <w:sz w:val="18"/>
                <w:szCs w:val="18"/>
              </w:rPr>
            </w:pPr>
            <w:r>
              <w:rPr>
                <w:rFonts w:hint="eastAsia" w:ascii="宋体" w:hAnsi="宋体" w:cs="宋体"/>
                <w:sz w:val="18"/>
                <w:szCs w:val="18"/>
              </w:rPr>
              <w:t>3.3.为保障密评过程中可能涉及的重要数据和敏感信息的安全，供应商应配有相关能力支撑的保密办公区，并具备安全保密管理制度与数据安全能力，采取的安全管理措施应得当，且能够很好保障本项目测评数据的安全，明确对采购人的系统、信息、数据有安全保密的义务，进场测评前必须签订保密协议。</w:t>
            </w:r>
          </w:p>
          <w:p w14:paraId="2FE928DA">
            <w:pPr>
              <w:spacing w:line="240" w:lineRule="auto"/>
              <w:ind w:firstLine="360" w:firstLineChars="200"/>
              <w:rPr>
                <w:rFonts w:ascii="宋体" w:hAnsi="宋体" w:cs="宋体"/>
                <w:sz w:val="18"/>
                <w:szCs w:val="18"/>
              </w:rPr>
            </w:pPr>
            <w:r>
              <w:rPr>
                <w:rFonts w:hint="eastAsia" w:ascii="宋体" w:hAnsi="宋体" w:cs="宋体"/>
                <w:sz w:val="18"/>
                <w:szCs w:val="18"/>
              </w:rPr>
              <w:t>3.4.供应商在现场测评工作中必须在不影响采购人信息系统正常运行的前提下进行。</w:t>
            </w:r>
          </w:p>
          <w:p w14:paraId="09F1C1F3">
            <w:pPr>
              <w:spacing w:line="240" w:lineRule="auto"/>
              <w:ind w:firstLine="360" w:firstLineChars="200"/>
              <w:rPr>
                <w:rFonts w:ascii="宋体" w:hAnsi="宋体" w:cs="宋体"/>
                <w:sz w:val="18"/>
                <w:szCs w:val="18"/>
              </w:rPr>
            </w:pPr>
            <w:r>
              <w:rPr>
                <w:rFonts w:hint="eastAsia" w:ascii="宋体" w:hAnsi="宋体" w:cs="宋体"/>
                <w:sz w:val="18"/>
                <w:szCs w:val="18"/>
              </w:rPr>
              <w:t>3.5.供应商应遵守相应的密评工作制度，包括会议制度、密评文件制度、密评记录制度、工作报告制度等，保证密评工作协调有序的进行。</w:t>
            </w:r>
          </w:p>
          <w:p w14:paraId="2A987919">
            <w:pPr>
              <w:spacing w:line="240" w:lineRule="auto"/>
              <w:ind w:firstLine="360" w:firstLineChars="200"/>
              <w:rPr>
                <w:rFonts w:ascii="宋体" w:hAnsi="宋体" w:cs="宋体"/>
                <w:sz w:val="18"/>
                <w:szCs w:val="18"/>
              </w:rPr>
            </w:pPr>
            <w:r>
              <w:rPr>
                <w:rFonts w:hint="eastAsia" w:ascii="宋体" w:hAnsi="宋体" w:cs="宋体"/>
                <w:sz w:val="18"/>
                <w:szCs w:val="18"/>
              </w:rPr>
              <w:t>3.6.供应商应根据被测系统的具体情况，按合同约定，配备满足密评工作需要的人员、设备和工具。为保障密评实施与合同约定服务周期内的服务响应，供应商应具备一定的测评工具开发能力以及在测评服务地进行系统环境模拟实验能力。</w:t>
            </w:r>
          </w:p>
          <w:p w14:paraId="179B8C0E">
            <w:pPr>
              <w:spacing w:line="240" w:lineRule="auto"/>
              <w:ind w:firstLine="360" w:firstLineChars="200"/>
              <w:rPr>
                <w:rFonts w:ascii="宋体" w:hAnsi="宋体" w:cs="宋体"/>
                <w:sz w:val="18"/>
                <w:szCs w:val="18"/>
              </w:rPr>
            </w:pPr>
            <w:r>
              <w:rPr>
                <w:rFonts w:hint="eastAsia" w:ascii="宋体" w:hAnsi="宋体" w:cs="宋体"/>
                <w:sz w:val="18"/>
                <w:szCs w:val="18"/>
              </w:rPr>
              <w:t>3.7.供应商</w:t>
            </w:r>
            <w:r>
              <w:rPr>
                <w:rFonts w:hint="eastAsia" w:ascii="宋体" w:hAnsi="宋体" w:cs="宋体"/>
                <w:sz w:val="18"/>
                <w:szCs w:val="18"/>
                <w:lang w:val="en-US" w:eastAsia="zh-CN"/>
              </w:rPr>
              <w:t>须</w:t>
            </w:r>
            <w:r>
              <w:rPr>
                <w:rFonts w:hint="eastAsia" w:ascii="宋体" w:hAnsi="宋体" w:cs="宋体"/>
                <w:sz w:val="18"/>
                <w:szCs w:val="18"/>
              </w:rPr>
              <w:t>具有快速应急响应服务团队，以保证在整个项目过程中不影响委托单位信息系统的正常运行。</w:t>
            </w:r>
          </w:p>
          <w:p w14:paraId="6B371A13">
            <w:pPr>
              <w:spacing w:line="240" w:lineRule="auto"/>
              <w:ind w:firstLine="360" w:firstLineChars="200"/>
              <w:rPr>
                <w:rFonts w:ascii="宋体" w:hAnsi="宋体" w:cs="宋体"/>
                <w:sz w:val="18"/>
                <w:szCs w:val="18"/>
              </w:rPr>
            </w:pPr>
            <w:r>
              <w:rPr>
                <w:rFonts w:hint="eastAsia" w:ascii="宋体" w:hAnsi="宋体" w:cs="宋体"/>
                <w:sz w:val="18"/>
                <w:szCs w:val="18"/>
              </w:rPr>
              <w:t>3.8.供应商</w:t>
            </w:r>
            <w:r>
              <w:rPr>
                <w:rFonts w:hint="eastAsia" w:ascii="宋体" w:hAnsi="宋体" w:cs="宋体"/>
                <w:sz w:val="18"/>
                <w:szCs w:val="18"/>
                <w:lang w:val="en-US" w:eastAsia="zh-CN"/>
              </w:rPr>
              <w:t>须具有</w:t>
            </w:r>
            <w:r>
              <w:rPr>
                <w:rFonts w:hint="eastAsia" w:ascii="宋体" w:hAnsi="宋体" w:cs="宋体"/>
                <w:sz w:val="18"/>
                <w:szCs w:val="18"/>
              </w:rPr>
              <w:t>质量控制的能力和质量管理体系，以保证测评工作的客观、公正、安全。供应商针对本项目测评过程中的质量管理方案内项目质量管理应完备，项目质量保障措施应科学、可行、完善，项目管理与风险应控制合理。</w:t>
            </w:r>
          </w:p>
          <w:p w14:paraId="2DF58B92">
            <w:pPr>
              <w:spacing w:line="240" w:lineRule="auto"/>
              <w:ind w:firstLine="360" w:firstLineChars="200"/>
              <w:rPr>
                <w:rFonts w:ascii="宋体" w:hAnsi="宋体" w:cs="宋体"/>
                <w:sz w:val="18"/>
                <w:szCs w:val="18"/>
              </w:rPr>
            </w:pPr>
            <w:r>
              <w:rPr>
                <w:rFonts w:hint="eastAsia" w:ascii="宋体" w:hAnsi="宋体" w:cs="宋体"/>
                <w:sz w:val="18"/>
                <w:szCs w:val="18"/>
              </w:rPr>
              <w:t>3.9.</w:t>
            </w:r>
            <w:bookmarkStart w:id="0" w:name="_Hlk105404081"/>
            <w:r>
              <w:rPr>
                <w:rFonts w:hint="eastAsia" w:ascii="宋体" w:hAnsi="宋体" w:cs="宋体"/>
                <w:sz w:val="18"/>
                <w:szCs w:val="18"/>
              </w:rPr>
              <w:t>供应商</w:t>
            </w:r>
            <w:r>
              <w:rPr>
                <w:rFonts w:hint="eastAsia" w:ascii="宋体" w:hAnsi="宋体" w:cs="宋体"/>
                <w:sz w:val="18"/>
                <w:szCs w:val="18"/>
                <w:lang w:val="en-US" w:eastAsia="zh-CN"/>
              </w:rPr>
              <w:t>须</w:t>
            </w:r>
            <w:r>
              <w:rPr>
                <w:rFonts w:hint="eastAsia" w:ascii="宋体" w:hAnsi="宋体" w:cs="宋体"/>
                <w:sz w:val="18"/>
                <w:szCs w:val="18"/>
              </w:rPr>
              <w:t>配有配备密评网络抓包、密码算法、协议分析工具、随机数检测工具以及常用密码设备，且应具有模拟以及验证被测评系统密码应用方案的能力。</w:t>
            </w:r>
          </w:p>
          <w:p w14:paraId="7A4C85BF">
            <w:pPr>
              <w:spacing w:line="240" w:lineRule="auto"/>
              <w:ind w:firstLine="360" w:firstLineChars="200"/>
              <w:rPr>
                <w:rFonts w:ascii="宋体" w:hAnsi="宋体" w:cs="宋体"/>
                <w:sz w:val="18"/>
                <w:szCs w:val="18"/>
              </w:rPr>
            </w:pPr>
            <w:r>
              <w:rPr>
                <w:rFonts w:hint="eastAsia" w:ascii="宋体" w:hAnsi="宋体" w:cs="宋体"/>
                <w:sz w:val="18"/>
                <w:szCs w:val="18"/>
              </w:rPr>
              <w:t>3.10.供应商完成商用密码应用安全性评估工作后，应协助用户在30日内将评估结果报国家密码管理部门备案。</w:t>
            </w:r>
          </w:p>
          <w:p w14:paraId="271421CA">
            <w:pPr>
              <w:spacing w:line="240" w:lineRule="auto"/>
              <w:ind w:firstLine="360" w:firstLineChars="200"/>
              <w:rPr>
                <w:rFonts w:ascii="宋体" w:hAnsi="宋体" w:cs="宋体"/>
                <w:sz w:val="18"/>
                <w:szCs w:val="18"/>
              </w:rPr>
            </w:pPr>
            <w:r>
              <w:rPr>
                <w:rFonts w:hint="eastAsia" w:ascii="宋体" w:hAnsi="宋体" w:cs="宋体"/>
                <w:sz w:val="18"/>
                <w:szCs w:val="18"/>
              </w:rPr>
              <w:t>3.12.供应商在验收时应提交密码安全测评工作的档案。</w:t>
            </w:r>
          </w:p>
          <w:bookmarkEnd w:id="0"/>
          <w:p w14:paraId="3C4F14B6">
            <w:pPr>
              <w:spacing w:line="240" w:lineRule="auto"/>
              <w:jc w:val="both"/>
              <w:rPr>
                <w:rFonts w:ascii="宋体" w:hAnsi="宋体" w:cs="宋体"/>
                <w:b/>
                <w:bCs/>
                <w:sz w:val="18"/>
                <w:szCs w:val="18"/>
              </w:rPr>
            </w:pPr>
            <w:r>
              <w:rPr>
                <w:rFonts w:hint="eastAsia" w:ascii="宋体" w:hAnsi="宋体" w:cs="宋体"/>
                <w:b/>
                <w:bCs/>
                <w:sz w:val="18"/>
                <w:szCs w:val="18"/>
              </w:rPr>
              <w:t>4、商用密码评估资质要求</w:t>
            </w:r>
          </w:p>
          <w:p w14:paraId="4B91D024">
            <w:pPr>
              <w:spacing w:line="240" w:lineRule="auto"/>
              <w:ind w:firstLine="360" w:firstLineChars="200"/>
              <w:rPr>
                <w:rFonts w:hint="eastAsia" w:ascii="宋体" w:hAnsi="宋体" w:cs="宋体"/>
                <w:sz w:val="18"/>
                <w:szCs w:val="18"/>
              </w:rPr>
            </w:pPr>
            <w:r>
              <w:rPr>
                <w:rFonts w:hint="eastAsia" w:ascii="宋体" w:hAnsi="宋体" w:cs="宋体"/>
                <w:sz w:val="18"/>
                <w:szCs w:val="18"/>
              </w:rPr>
              <w:t>4.1.</w:t>
            </w:r>
            <w:r>
              <w:rPr>
                <w:rFonts w:hint="eastAsia"/>
                <w:sz w:val="18"/>
                <w:szCs w:val="18"/>
              </w:rPr>
              <w:t xml:space="preserve"> </w:t>
            </w:r>
            <w:r>
              <w:rPr>
                <w:rFonts w:hint="eastAsia" w:ascii="宋体" w:hAnsi="宋体" w:cs="宋体"/>
                <w:sz w:val="18"/>
                <w:szCs w:val="18"/>
                <w:lang w:val="en-US" w:eastAsia="zh-CN"/>
              </w:rPr>
              <w:t>测评机构</w:t>
            </w:r>
            <w:r>
              <w:rPr>
                <w:rFonts w:hint="eastAsia" w:ascii="宋体" w:hAnsi="宋体" w:cs="宋体"/>
                <w:sz w:val="18"/>
                <w:szCs w:val="18"/>
              </w:rPr>
              <w:t>必须在国家密码管理局公告（第42号）的商用密码应用安全性评估试点机构目录中或提供国家密码管理局《国密局字[2021]183号通知》中审批通过的“可在本地区、本行业（领域）开展密码应用安全性评估业资质的密评机构名单”的相关证明材料。提供证书或证明复印件并加盖公章。</w:t>
            </w:r>
          </w:p>
          <w:p w14:paraId="7D95306A">
            <w:pPr>
              <w:spacing w:line="240" w:lineRule="auto"/>
              <w:ind w:firstLine="360" w:firstLineChars="200"/>
              <w:rPr>
                <w:rFonts w:ascii="宋体" w:hAnsi="宋体" w:cs="宋体"/>
                <w:sz w:val="18"/>
                <w:szCs w:val="18"/>
              </w:rPr>
            </w:pPr>
            <w:r>
              <w:rPr>
                <w:rFonts w:hint="eastAsia" w:ascii="宋体" w:hAnsi="宋体" w:cs="宋体"/>
                <w:sz w:val="18"/>
                <w:szCs w:val="18"/>
              </w:rPr>
              <w:t>4.2</w:t>
            </w:r>
            <w:r>
              <w:rPr>
                <w:rFonts w:hint="eastAsia" w:ascii="宋体" w:hAnsi="宋体" w:cs="宋体"/>
                <w:sz w:val="18"/>
                <w:szCs w:val="18"/>
                <w:lang w:val="en-US" w:eastAsia="zh-CN"/>
              </w:rPr>
              <w:t>.</w:t>
            </w:r>
            <w:r>
              <w:rPr>
                <w:rFonts w:hint="eastAsia" w:ascii="宋体" w:hAnsi="宋体" w:cs="宋体"/>
                <w:sz w:val="18"/>
                <w:szCs w:val="18"/>
              </w:rPr>
              <w:t>项目组成员应具备合格的商用密码应用安全性评估人员测评能力考核证书至少2人。全程协助招标方在网络和信息系统安全方面工作，在本项目进行期间，未经采购人同意，测评过程中不得离场，且中途不得更换人员，也不得将检测任务分包或转包。</w:t>
            </w:r>
          </w:p>
        </w:tc>
        <w:tc>
          <w:tcPr>
            <w:tcW w:w="851" w:type="dxa"/>
            <w:shd w:val="clear" w:color="auto" w:fill="auto"/>
            <w:vAlign w:val="center"/>
          </w:tcPr>
          <w:p w14:paraId="668DE24C">
            <w:pPr>
              <w:spacing w:line="330" w:lineRule="exact"/>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850" w:type="dxa"/>
            <w:shd w:val="clear" w:color="auto" w:fill="auto"/>
            <w:vAlign w:val="center"/>
          </w:tcPr>
          <w:p w14:paraId="4F1DB28F">
            <w:pPr>
              <w:spacing w:line="330" w:lineRule="exact"/>
              <w:jc w:val="center"/>
              <w:rPr>
                <w:rFonts w:hint="eastAsia" w:ascii="宋体" w:hAnsi="宋体" w:eastAsia="宋体" w:cs="宋体"/>
                <w:szCs w:val="21"/>
                <w:lang w:val="en-US" w:eastAsia="zh-CN"/>
              </w:rPr>
            </w:pPr>
            <w:r>
              <w:rPr>
                <w:rFonts w:hint="eastAsia" w:ascii="宋体" w:hAnsi="宋体" w:cs="宋体"/>
                <w:szCs w:val="21"/>
                <w:lang w:val="en-US" w:eastAsia="zh-CN"/>
              </w:rPr>
              <w:t>项</w:t>
            </w:r>
          </w:p>
        </w:tc>
      </w:tr>
      <w:tr w14:paraId="0890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77343B34">
            <w:pPr>
              <w:spacing w:line="330" w:lineRule="exact"/>
              <w:jc w:val="center"/>
              <w:rPr>
                <w:rFonts w:ascii="宋体" w:hAnsi="宋体"/>
                <w:bCs/>
                <w:sz w:val="18"/>
                <w:szCs w:val="18"/>
              </w:rPr>
            </w:pPr>
          </w:p>
          <w:p w14:paraId="16958B0B">
            <w:pPr>
              <w:spacing w:line="330" w:lineRule="exact"/>
              <w:jc w:val="center"/>
              <w:rPr>
                <w:rFonts w:ascii="宋体" w:hAnsi="宋体"/>
                <w:bCs/>
                <w:sz w:val="18"/>
                <w:szCs w:val="18"/>
              </w:rPr>
            </w:pPr>
          </w:p>
          <w:p w14:paraId="10B4C27B">
            <w:pPr>
              <w:spacing w:line="330" w:lineRule="exact"/>
              <w:jc w:val="center"/>
              <w:rPr>
                <w:rFonts w:ascii="宋体" w:hAnsi="宋体"/>
                <w:bCs/>
                <w:sz w:val="18"/>
                <w:szCs w:val="18"/>
              </w:rPr>
            </w:pPr>
          </w:p>
          <w:p w14:paraId="4A9D93C1">
            <w:pPr>
              <w:spacing w:line="330" w:lineRule="exact"/>
              <w:jc w:val="center"/>
              <w:rPr>
                <w:rFonts w:ascii="宋体" w:hAnsi="宋体"/>
                <w:bCs/>
                <w:sz w:val="18"/>
                <w:szCs w:val="18"/>
              </w:rPr>
            </w:pPr>
          </w:p>
          <w:p w14:paraId="7A37EC70">
            <w:pPr>
              <w:spacing w:line="330" w:lineRule="exact"/>
              <w:jc w:val="center"/>
              <w:rPr>
                <w:rFonts w:ascii="宋体" w:hAnsi="宋体"/>
                <w:bCs/>
                <w:sz w:val="18"/>
                <w:szCs w:val="18"/>
              </w:rPr>
            </w:pPr>
          </w:p>
          <w:p w14:paraId="24B9215F">
            <w:pPr>
              <w:spacing w:line="330" w:lineRule="exact"/>
              <w:jc w:val="center"/>
              <w:rPr>
                <w:rFonts w:ascii="宋体" w:hAnsi="宋体"/>
                <w:bCs/>
                <w:sz w:val="18"/>
                <w:szCs w:val="18"/>
              </w:rPr>
            </w:pPr>
          </w:p>
          <w:p w14:paraId="0D235322">
            <w:pPr>
              <w:spacing w:line="330" w:lineRule="exact"/>
              <w:jc w:val="center"/>
              <w:rPr>
                <w:rFonts w:ascii="宋体" w:hAnsi="宋体"/>
                <w:bCs/>
                <w:sz w:val="18"/>
                <w:szCs w:val="18"/>
              </w:rPr>
            </w:pPr>
          </w:p>
          <w:p w14:paraId="34AEC546">
            <w:pPr>
              <w:spacing w:line="330" w:lineRule="exact"/>
              <w:jc w:val="center"/>
              <w:rPr>
                <w:rFonts w:ascii="宋体" w:hAnsi="宋体"/>
                <w:bCs/>
                <w:sz w:val="18"/>
                <w:szCs w:val="18"/>
              </w:rPr>
            </w:pPr>
          </w:p>
          <w:p w14:paraId="032575A3">
            <w:pPr>
              <w:spacing w:line="330" w:lineRule="exact"/>
              <w:jc w:val="center"/>
              <w:rPr>
                <w:rFonts w:ascii="宋体" w:hAnsi="宋体"/>
                <w:bCs/>
                <w:sz w:val="18"/>
                <w:szCs w:val="18"/>
              </w:rPr>
            </w:pPr>
          </w:p>
          <w:p w14:paraId="549CC1DE">
            <w:pPr>
              <w:spacing w:line="330" w:lineRule="exact"/>
              <w:jc w:val="center"/>
              <w:rPr>
                <w:rFonts w:ascii="宋体" w:hAnsi="宋体"/>
                <w:bCs/>
                <w:sz w:val="18"/>
                <w:szCs w:val="18"/>
              </w:rPr>
            </w:pPr>
          </w:p>
          <w:p w14:paraId="07FE0A44">
            <w:pPr>
              <w:spacing w:line="330" w:lineRule="exact"/>
              <w:jc w:val="center"/>
              <w:rPr>
                <w:rFonts w:ascii="宋体" w:hAnsi="宋体"/>
                <w:bCs/>
                <w:sz w:val="18"/>
                <w:szCs w:val="18"/>
              </w:rPr>
            </w:pPr>
          </w:p>
          <w:p w14:paraId="42AA03EC">
            <w:pPr>
              <w:spacing w:line="330" w:lineRule="exact"/>
              <w:jc w:val="center"/>
              <w:rPr>
                <w:rFonts w:ascii="宋体" w:hAnsi="宋体"/>
                <w:bCs/>
                <w:sz w:val="18"/>
                <w:szCs w:val="18"/>
              </w:rPr>
            </w:pPr>
          </w:p>
          <w:p w14:paraId="5FD13409">
            <w:pPr>
              <w:spacing w:line="330" w:lineRule="exact"/>
              <w:jc w:val="center"/>
              <w:rPr>
                <w:rFonts w:ascii="宋体" w:hAnsi="宋体"/>
                <w:bCs/>
                <w:sz w:val="18"/>
                <w:szCs w:val="18"/>
              </w:rPr>
            </w:pPr>
          </w:p>
          <w:p w14:paraId="210F4EAE">
            <w:pPr>
              <w:spacing w:line="330" w:lineRule="exact"/>
              <w:jc w:val="center"/>
              <w:rPr>
                <w:rFonts w:ascii="宋体" w:hAnsi="宋体"/>
                <w:bCs/>
                <w:sz w:val="18"/>
                <w:szCs w:val="18"/>
              </w:rPr>
            </w:pPr>
          </w:p>
          <w:p w14:paraId="5FA895C7">
            <w:pPr>
              <w:spacing w:line="330" w:lineRule="exact"/>
              <w:jc w:val="center"/>
              <w:rPr>
                <w:rFonts w:ascii="宋体" w:hAnsi="宋体"/>
                <w:bCs/>
                <w:sz w:val="18"/>
                <w:szCs w:val="18"/>
              </w:rPr>
            </w:pPr>
          </w:p>
          <w:p w14:paraId="33832D66">
            <w:pPr>
              <w:spacing w:line="330" w:lineRule="exact"/>
              <w:jc w:val="center"/>
              <w:rPr>
                <w:rFonts w:ascii="宋体" w:hAnsi="宋体"/>
                <w:bCs/>
                <w:sz w:val="18"/>
                <w:szCs w:val="18"/>
              </w:rPr>
            </w:pPr>
          </w:p>
          <w:p w14:paraId="213893F2">
            <w:pPr>
              <w:spacing w:line="330" w:lineRule="exact"/>
              <w:jc w:val="center"/>
              <w:rPr>
                <w:rFonts w:ascii="宋体" w:hAnsi="宋体"/>
                <w:bCs/>
                <w:sz w:val="18"/>
                <w:szCs w:val="18"/>
              </w:rPr>
            </w:pPr>
          </w:p>
          <w:p w14:paraId="7DD3E944">
            <w:pPr>
              <w:spacing w:line="330" w:lineRule="exact"/>
              <w:jc w:val="center"/>
              <w:rPr>
                <w:rFonts w:ascii="宋体" w:hAnsi="宋体"/>
                <w:bCs/>
                <w:sz w:val="18"/>
                <w:szCs w:val="18"/>
              </w:rPr>
            </w:pPr>
          </w:p>
          <w:p w14:paraId="7C23CBBC">
            <w:pPr>
              <w:spacing w:line="330" w:lineRule="exact"/>
              <w:jc w:val="center"/>
              <w:rPr>
                <w:rFonts w:ascii="宋体" w:hAnsi="宋体"/>
                <w:bCs/>
                <w:sz w:val="18"/>
                <w:szCs w:val="18"/>
              </w:rPr>
            </w:pPr>
          </w:p>
          <w:p w14:paraId="2CD20A80">
            <w:pPr>
              <w:spacing w:line="330" w:lineRule="exact"/>
              <w:jc w:val="center"/>
              <w:rPr>
                <w:rFonts w:hint="eastAsia" w:ascii="宋体" w:hAnsi="宋体" w:eastAsia="宋体"/>
                <w:bCs/>
                <w:sz w:val="18"/>
                <w:szCs w:val="18"/>
                <w:lang w:eastAsia="zh-CN"/>
              </w:rPr>
            </w:pPr>
            <w:r>
              <w:rPr>
                <w:rFonts w:hint="eastAsia" w:ascii="宋体" w:hAnsi="宋体"/>
                <w:bCs/>
                <w:sz w:val="18"/>
                <w:szCs w:val="18"/>
                <w:lang w:val="en-US" w:eastAsia="zh-CN"/>
              </w:rPr>
              <w:t>8</w:t>
            </w:r>
          </w:p>
        </w:tc>
        <w:tc>
          <w:tcPr>
            <w:tcW w:w="1240" w:type="dxa"/>
            <w:shd w:val="clear" w:color="auto" w:fill="auto"/>
            <w:vAlign w:val="center"/>
          </w:tcPr>
          <w:p w14:paraId="2F90A400">
            <w:pPr>
              <w:spacing w:line="330" w:lineRule="exact"/>
              <w:jc w:val="both"/>
              <w:rPr>
                <w:rFonts w:ascii="宋体" w:hAnsi="宋体" w:cs="宋体"/>
                <w:sz w:val="18"/>
                <w:szCs w:val="18"/>
              </w:rPr>
            </w:pPr>
          </w:p>
          <w:p w14:paraId="4987400F">
            <w:pPr>
              <w:spacing w:line="330" w:lineRule="exact"/>
              <w:jc w:val="both"/>
              <w:rPr>
                <w:rFonts w:ascii="宋体" w:hAnsi="宋体" w:cs="宋体"/>
                <w:sz w:val="18"/>
                <w:szCs w:val="18"/>
              </w:rPr>
            </w:pPr>
          </w:p>
          <w:p w14:paraId="0A05EC2E">
            <w:pPr>
              <w:spacing w:line="330" w:lineRule="exact"/>
              <w:jc w:val="both"/>
              <w:rPr>
                <w:rFonts w:ascii="宋体" w:hAnsi="宋体" w:cs="宋体"/>
                <w:sz w:val="18"/>
                <w:szCs w:val="18"/>
              </w:rPr>
            </w:pPr>
          </w:p>
          <w:p w14:paraId="0EAE89E9">
            <w:pPr>
              <w:spacing w:line="330" w:lineRule="exact"/>
              <w:jc w:val="both"/>
              <w:rPr>
                <w:rFonts w:ascii="宋体" w:hAnsi="宋体" w:cs="宋体"/>
                <w:sz w:val="18"/>
                <w:szCs w:val="18"/>
              </w:rPr>
            </w:pPr>
          </w:p>
          <w:p w14:paraId="34397054">
            <w:pPr>
              <w:spacing w:line="330" w:lineRule="exact"/>
              <w:jc w:val="both"/>
              <w:rPr>
                <w:rFonts w:ascii="宋体" w:hAnsi="宋体" w:cs="宋体"/>
                <w:sz w:val="18"/>
                <w:szCs w:val="18"/>
              </w:rPr>
            </w:pPr>
          </w:p>
          <w:p w14:paraId="02C66F4A">
            <w:pPr>
              <w:spacing w:line="330" w:lineRule="exact"/>
              <w:jc w:val="both"/>
              <w:rPr>
                <w:rFonts w:ascii="宋体" w:hAnsi="宋体" w:cs="宋体"/>
                <w:sz w:val="18"/>
                <w:szCs w:val="18"/>
              </w:rPr>
            </w:pPr>
          </w:p>
          <w:p w14:paraId="52B6D5BC">
            <w:pPr>
              <w:spacing w:line="330" w:lineRule="exact"/>
              <w:jc w:val="both"/>
              <w:rPr>
                <w:rFonts w:ascii="宋体" w:hAnsi="宋体" w:cs="宋体"/>
                <w:sz w:val="18"/>
                <w:szCs w:val="18"/>
              </w:rPr>
            </w:pPr>
          </w:p>
          <w:p w14:paraId="0AF6174A">
            <w:pPr>
              <w:spacing w:line="330" w:lineRule="exact"/>
              <w:jc w:val="both"/>
              <w:rPr>
                <w:rFonts w:ascii="宋体" w:hAnsi="宋体" w:cs="宋体"/>
                <w:sz w:val="18"/>
                <w:szCs w:val="18"/>
              </w:rPr>
            </w:pPr>
          </w:p>
          <w:p w14:paraId="6A23CFB0">
            <w:pPr>
              <w:spacing w:line="330" w:lineRule="exact"/>
              <w:jc w:val="both"/>
              <w:rPr>
                <w:rFonts w:ascii="宋体" w:hAnsi="宋体" w:cs="宋体"/>
                <w:sz w:val="18"/>
                <w:szCs w:val="18"/>
              </w:rPr>
            </w:pPr>
          </w:p>
          <w:p w14:paraId="4DA7C78C">
            <w:pPr>
              <w:spacing w:line="330" w:lineRule="exact"/>
              <w:jc w:val="both"/>
              <w:rPr>
                <w:rFonts w:ascii="宋体" w:hAnsi="宋体" w:cs="宋体"/>
                <w:sz w:val="18"/>
                <w:szCs w:val="18"/>
              </w:rPr>
            </w:pPr>
          </w:p>
          <w:p w14:paraId="75B63D47">
            <w:pPr>
              <w:spacing w:line="330" w:lineRule="exact"/>
              <w:jc w:val="both"/>
              <w:rPr>
                <w:rFonts w:ascii="宋体" w:hAnsi="宋体" w:cs="宋体"/>
                <w:sz w:val="18"/>
                <w:szCs w:val="18"/>
              </w:rPr>
            </w:pPr>
          </w:p>
          <w:p w14:paraId="77A0B048">
            <w:pPr>
              <w:spacing w:line="330" w:lineRule="exact"/>
              <w:jc w:val="both"/>
              <w:rPr>
                <w:rFonts w:ascii="宋体" w:hAnsi="宋体" w:cs="宋体"/>
                <w:sz w:val="18"/>
                <w:szCs w:val="18"/>
              </w:rPr>
            </w:pPr>
          </w:p>
          <w:p w14:paraId="1E76F8B7">
            <w:pPr>
              <w:spacing w:line="330" w:lineRule="exact"/>
              <w:jc w:val="both"/>
              <w:rPr>
                <w:rFonts w:ascii="宋体" w:hAnsi="宋体" w:cs="宋体"/>
                <w:sz w:val="18"/>
                <w:szCs w:val="18"/>
              </w:rPr>
            </w:pPr>
          </w:p>
          <w:p w14:paraId="3BA7FFFA">
            <w:pPr>
              <w:spacing w:line="330" w:lineRule="exact"/>
              <w:jc w:val="both"/>
              <w:rPr>
                <w:rFonts w:ascii="宋体" w:hAnsi="宋体" w:cs="宋体"/>
                <w:sz w:val="18"/>
                <w:szCs w:val="18"/>
              </w:rPr>
            </w:pPr>
          </w:p>
          <w:p w14:paraId="4360580D">
            <w:pPr>
              <w:spacing w:line="330" w:lineRule="exact"/>
              <w:jc w:val="both"/>
              <w:rPr>
                <w:rFonts w:ascii="宋体" w:hAnsi="宋体" w:cs="宋体"/>
                <w:sz w:val="18"/>
                <w:szCs w:val="18"/>
              </w:rPr>
            </w:pPr>
          </w:p>
          <w:p w14:paraId="7CCCCBD3">
            <w:pPr>
              <w:spacing w:line="330" w:lineRule="exact"/>
              <w:jc w:val="both"/>
              <w:rPr>
                <w:rFonts w:ascii="宋体" w:hAnsi="宋体" w:cs="宋体"/>
                <w:sz w:val="18"/>
                <w:szCs w:val="18"/>
              </w:rPr>
            </w:pPr>
          </w:p>
          <w:p w14:paraId="5F2CA762">
            <w:pPr>
              <w:spacing w:line="330" w:lineRule="exact"/>
              <w:jc w:val="both"/>
              <w:rPr>
                <w:rFonts w:ascii="宋体" w:hAnsi="宋体" w:cs="宋体"/>
                <w:sz w:val="18"/>
                <w:szCs w:val="18"/>
              </w:rPr>
            </w:pPr>
          </w:p>
          <w:p w14:paraId="6B0D731A">
            <w:pPr>
              <w:spacing w:line="330" w:lineRule="exact"/>
              <w:jc w:val="both"/>
              <w:rPr>
                <w:rFonts w:ascii="宋体" w:hAnsi="宋体" w:cs="宋体"/>
                <w:sz w:val="18"/>
                <w:szCs w:val="18"/>
              </w:rPr>
            </w:pPr>
            <w:r>
              <w:rPr>
                <w:rFonts w:hint="eastAsia" w:ascii="宋体" w:hAnsi="宋体" w:cs="宋体"/>
                <w:sz w:val="18"/>
                <w:szCs w:val="18"/>
              </w:rPr>
              <w:t>互联网医院系统商用</w:t>
            </w:r>
            <w:r>
              <w:rPr>
                <w:rFonts w:hint="eastAsia" w:ascii="宋体" w:hAnsi="宋体" w:cs="宋体"/>
                <w:sz w:val="18"/>
                <w:szCs w:val="18"/>
                <w:lang w:val="en-US" w:eastAsia="zh-CN"/>
              </w:rPr>
              <w:t>密码</w:t>
            </w:r>
            <w:r>
              <w:rPr>
                <w:rFonts w:hint="eastAsia" w:ascii="宋体" w:hAnsi="宋体" w:cs="宋体"/>
                <w:sz w:val="18"/>
                <w:szCs w:val="18"/>
              </w:rPr>
              <w:t>评估</w:t>
            </w:r>
            <w:r>
              <w:rPr>
                <w:rFonts w:hint="eastAsia" w:ascii="宋体" w:hAnsi="宋体" w:cs="宋体"/>
                <w:sz w:val="18"/>
                <w:szCs w:val="18"/>
                <w:lang w:val="en-US" w:eastAsia="zh-CN"/>
              </w:rPr>
              <w:t>服务</w:t>
            </w:r>
            <w:r>
              <w:rPr>
                <w:rFonts w:hint="eastAsia" w:ascii="宋体" w:hAnsi="宋体" w:cs="宋体"/>
                <w:sz w:val="18"/>
                <w:szCs w:val="18"/>
              </w:rPr>
              <w:t>（三级）</w:t>
            </w:r>
          </w:p>
        </w:tc>
        <w:tc>
          <w:tcPr>
            <w:tcW w:w="5381" w:type="dxa"/>
            <w:shd w:val="clear" w:color="auto" w:fill="auto"/>
          </w:tcPr>
          <w:p w14:paraId="29F76151">
            <w:pPr>
              <w:spacing w:line="240" w:lineRule="auto"/>
              <w:jc w:val="both"/>
              <w:rPr>
                <w:rFonts w:ascii="宋体" w:hAnsi="宋体" w:cs="宋体"/>
                <w:b/>
                <w:sz w:val="18"/>
                <w:szCs w:val="18"/>
              </w:rPr>
            </w:pPr>
            <w:r>
              <w:rPr>
                <w:rFonts w:hint="eastAsia" w:ascii="宋体" w:hAnsi="宋体" w:cs="宋体"/>
                <w:b/>
                <w:sz w:val="18"/>
                <w:szCs w:val="18"/>
              </w:rPr>
              <w:t>一、测评服务</w:t>
            </w:r>
          </w:p>
          <w:p w14:paraId="1C88202A">
            <w:pPr>
              <w:spacing w:line="240" w:lineRule="auto"/>
              <w:jc w:val="both"/>
              <w:rPr>
                <w:rFonts w:ascii="宋体" w:hAnsi="宋体" w:cs="宋体"/>
                <w:b/>
                <w:bCs/>
                <w:sz w:val="18"/>
                <w:szCs w:val="18"/>
              </w:rPr>
            </w:pPr>
            <w:r>
              <w:rPr>
                <w:rFonts w:hint="eastAsia" w:ascii="宋体" w:hAnsi="宋体" w:cs="宋体"/>
                <w:b/>
                <w:bCs/>
                <w:sz w:val="18"/>
                <w:szCs w:val="18"/>
              </w:rPr>
              <w:t>1、总的要求</w:t>
            </w:r>
          </w:p>
          <w:p w14:paraId="24A34BDE">
            <w:pPr>
              <w:spacing w:line="240" w:lineRule="auto"/>
              <w:ind w:firstLine="360" w:firstLineChars="200"/>
              <w:rPr>
                <w:rFonts w:ascii="宋体" w:hAnsi="宋体" w:cs="宋体"/>
                <w:sz w:val="18"/>
                <w:szCs w:val="18"/>
              </w:rPr>
            </w:pPr>
            <w:r>
              <w:rPr>
                <w:rFonts w:hint="eastAsia" w:ascii="宋体" w:hAnsi="宋体" w:cs="宋体"/>
                <w:sz w:val="18"/>
                <w:szCs w:val="18"/>
              </w:rPr>
              <w:t>为贯彻落实《中华人民共和国密码法》、《商用密码管理条例》与《商用密码应用安全性评估管理办法》中对密码应用与安全性评估要求，拟对</w:t>
            </w:r>
            <w:r>
              <w:rPr>
                <w:rFonts w:hint="eastAsia" w:ascii="宋体" w:hAnsi="宋体" w:cs="宋体"/>
                <w:b/>
                <w:bCs/>
                <w:sz w:val="18"/>
                <w:szCs w:val="18"/>
              </w:rPr>
              <w:t>互联网医院系统商用密评评估（三级）</w:t>
            </w:r>
            <w:r>
              <w:rPr>
                <w:rFonts w:hint="eastAsia" w:ascii="宋体" w:hAnsi="宋体" w:cs="宋体"/>
                <w:sz w:val="18"/>
                <w:szCs w:val="18"/>
              </w:rPr>
              <w:t>开展密码安全性评估工作，评估</w:t>
            </w:r>
            <w:r>
              <w:rPr>
                <w:rFonts w:hint="eastAsia" w:ascii="宋体" w:hAnsi="宋体" w:cs="宋体"/>
                <w:b/>
                <w:bCs/>
                <w:sz w:val="18"/>
                <w:szCs w:val="18"/>
              </w:rPr>
              <w:t>互联网医院系统商用密评评估（三级）</w:t>
            </w:r>
            <w:r>
              <w:rPr>
                <w:rFonts w:hint="eastAsia" w:ascii="宋体" w:hAnsi="宋体" w:cs="宋体"/>
                <w:sz w:val="18"/>
                <w:szCs w:val="18"/>
              </w:rPr>
              <w:t>的密码应用是否合规、正确、有效，并通过测评发现其密码保障系统存在的安全隐患和风险，编制被测评系统的密码应用安全性评估报告，并提出有针对性的加强完善密码安全管理和防护建议。编制《商用密码应用与安全性评估整改建议书》、《商用密码应用与安全性评估报告》。</w:t>
            </w:r>
          </w:p>
          <w:p w14:paraId="400AE570">
            <w:pPr>
              <w:spacing w:line="240" w:lineRule="auto"/>
              <w:jc w:val="both"/>
              <w:rPr>
                <w:rFonts w:ascii="宋体" w:hAnsi="宋体" w:cs="宋体"/>
                <w:b/>
                <w:bCs/>
                <w:sz w:val="18"/>
                <w:szCs w:val="18"/>
              </w:rPr>
            </w:pPr>
            <w:r>
              <w:rPr>
                <w:rFonts w:hint="eastAsia" w:ascii="宋体" w:hAnsi="宋体" w:cs="宋体"/>
                <w:b/>
                <w:bCs/>
                <w:sz w:val="18"/>
                <w:szCs w:val="18"/>
              </w:rPr>
              <w:t>2、测评依据标准</w:t>
            </w:r>
          </w:p>
          <w:p w14:paraId="05F42EC9">
            <w:pPr>
              <w:spacing w:line="240" w:lineRule="auto"/>
              <w:ind w:firstLine="360" w:firstLineChars="200"/>
              <w:rPr>
                <w:rFonts w:ascii="宋体" w:hAnsi="宋体" w:cs="宋体"/>
                <w:sz w:val="18"/>
                <w:szCs w:val="18"/>
              </w:rPr>
            </w:pPr>
            <w:r>
              <w:rPr>
                <w:rFonts w:hint="eastAsia" w:ascii="宋体" w:hAnsi="宋体" w:cs="宋体"/>
                <w:sz w:val="18"/>
                <w:szCs w:val="18"/>
              </w:rPr>
              <w:t>①GB/T 39786-2021《信息安全技术 信息系统密码应用基本要求》</w:t>
            </w:r>
          </w:p>
          <w:p w14:paraId="5EDD21AD">
            <w:pPr>
              <w:spacing w:line="240" w:lineRule="auto"/>
              <w:ind w:firstLine="360" w:firstLineChars="200"/>
              <w:rPr>
                <w:rFonts w:ascii="宋体" w:hAnsi="宋体" w:cs="宋体"/>
                <w:sz w:val="18"/>
                <w:szCs w:val="18"/>
              </w:rPr>
            </w:pPr>
            <w:r>
              <w:rPr>
                <w:rFonts w:hint="eastAsia" w:ascii="宋体" w:hAnsi="宋体" w:cs="宋体"/>
                <w:sz w:val="18"/>
                <w:szCs w:val="18"/>
              </w:rPr>
              <w:t>②GM/T0115-2021《信息系统密码应用测评要求》</w:t>
            </w:r>
          </w:p>
          <w:p w14:paraId="6767DDDE">
            <w:pPr>
              <w:spacing w:line="240" w:lineRule="auto"/>
              <w:ind w:firstLine="360" w:firstLineChars="200"/>
              <w:rPr>
                <w:rFonts w:ascii="宋体" w:hAnsi="宋体" w:cs="宋体"/>
                <w:sz w:val="18"/>
                <w:szCs w:val="18"/>
              </w:rPr>
            </w:pPr>
            <w:r>
              <w:rPr>
                <w:rFonts w:hint="eastAsia" w:ascii="宋体" w:hAnsi="宋体" w:cs="宋体"/>
                <w:sz w:val="18"/>
                <w:szCs w:val="18"/>
              </w:rPr>
              <w:t>③GM/T0116-2021《信息系统密码应用测评过程指南》</w:t>
            </w:r>
          </w:p>
          <w:p w14:paraId="09D870E6">
            <w:pPr>
              <w:spacing w:line="240" w:lineRule="auto"/>
              <w:ind w:firstLine="360" w:firstLineChars="200"/>
              <w:rPr>
                <w:rFonts w:ascii="宋体" w:hAnsi="宋体" w:cs="宋体"/>
                <w:sz w:val="18"/>
                <w:szCs w:val="18"/>
              </w:rPr>
            </w:pPr>
            <w:r>
              <w:rPr>
                <w:rFonts w:hint="eastAsia" w:ascii="宋体" w:hAnsi="宋体" w:cs="宋体"/>
                <w:sz w:val="18"/>
                <w:szCs w:val="18"/>
              </w:rPr>
              <w:t>④信息系统密码应用高风险判定指引（2021）</w:t>
            </w:r>
          </w:p>
          <w:p w14:paraId="26ECA150">
            <w:pPr>
              <w:spacing w:line="240" w:lineRule="auto"/>
              <w:ind w:firstLine="360" w:firstLineChars="200"/>
              <w:rPr>
                <w:rFonts w:ascii="宋体" w:hAnsi="宋体" w:cs="宋体"/>
                <w:sz w:val="18"/>
                <w:szCs w:val="18"/>
              </w:rPr>
            </w:pPr>
            <w:r>
              <w:rPr>
                <w:rFonts w:hint="eastAsia" w:ascii="宋体" w:hAnsi="宋体" w:cs="宋体"/>
                <w:sz w:val="18"/>
                <w:szCs w:val="18"/>
              </w:rPr>
              <w:t>⑤商用密码应用安全性评估量化评估规则（2023版）</w:t>
            </w:r>
          </w:p>
          <w:p w14:paraId="40CE9A51">
            <w:pPr>
              <w:spacing w:line="240" w:lineRule="auto"/>
              <w:jc w:val="both"/>
              <w:rPr>
                <w:rFonts w:ascii="宋体" w:hAnsi="宋体" w:cs="宋体"/>
                <w:b/>
                <w:bCs/>
                <w:sz w:val="18"/>
                <w:szCs w:val="18"/>
              </w:rPr>
            </w:pPr>
            <w:r>
              <w:rPr>
                <w:rFonts w:hint="eastAsia" w:ascii="宋体" w:hAnsi="宋体" w:cs="宋体"/>
                <w:b/>
                <w:bCs/>
                <w:sz w:val="18"/>
                <w:szCs w:val="18"/>
              </w:rPr>
              <w:t>3、服务要求</w:t>
            </w:r>
          </w:p>
          <w:p w14:paraId="2AEC99B0">
            <w:pPr>
              <w:spacing w:line="240" w:lineRule="auto"/>
              <w:ind w:firstLine="360" w:firstLineChars="200"/>
              <w:rPr>
                <w:rFonts w:ascii="宋体" w:hAnsi="宋体" w:cs="宋体"/>
                <w:sz w:val="18"/>
                <w:szCs w:val="18"/>
              </w:rPr>
            </w:pPr>
            <w:r>
              <w:rPr>
                <w:rFonts w:hint="eastAsia" w:ascii="宋体" w:hAnsi="宋体" w:cs="宋体"/>
                <w:sz w:val="18"/>
                <w:szCs w:val="18"/>
              </w:rPr>
              <w:t>3.1.供应商应依据国家密码法规、密码应用相关技术标准，采用科学的测评方法、流程和工作规范开展商用密码应用安全性评估工作。供应商应具备商用密码应用安全性技术测评实施、管理测评实施、系统整体评估能力。供应商为本项目配备能够依据测评结果做出专业判断以及出具测评报告的能力的测评人员，测评人员必须为通过国家密码管理部门（或其授权的机构）组织的考核（即商用密码应用安全性评估人员测评能力考核证书），遵守国家有关法律法规，按照相关标准，为用户提供安全、客观、公正的评估服务，保证评估的质量和效果。</w:t>
            </w:r>
          </w:p>
          <w:p w14:paraId="3D815DC0">
            <w:pPr>
              <w:spacing w:line="240" w:lineRule="auto"/>
              <w:ind w:firstLine="360" w:firstLineChars="200"/>
              <w:rPr>
                <w:rFonts w:ascii="宋体" w:hAnsi="宋体" w:cs="宋体"/>
                <w:sz w:val="18"/>
                <w:szCs w:val="18"/>
              </w:rPr>
            </w:pPr>
            <w:r>
              <w:rPr>
                <w:rFonts w:hint="eastAsia" w:ascii="宋体" w:hAnsi="宋体" w:cs="宋体"/>
                <w:sz w:val="18"/>
                <w:szCs w:val="18"/>
              </w:rPr>
              <w:t>3.2.供应商</w:t>
            </w:r>
            <w:r>
              <w:rPr>
                <w:rFonts w:hint="eastAsia" w:ascii="宋体" w:hAnsi="宋体" w:cs="宋体"/>
                <w:sz w:val="18"/>
                <w:szCs w:val="18"/>
                <w:lang w:val="en-US" w:eastAsia="zh-CN"/>
              </w:rPr>
              <w:t>须提交</w:t>
            </w:r>
            <w:r>
              <w:rPr>
                <w:rFonts w:hint="eastAsia" w:ascii="宋体" w:hAnsi="宋体" w:cs="宋体"/>
                <w:sz w:val="18"/>
                <w:szCs w:val="18"/>
              </w:rPr>
              <w:t>测评方案，有计划、按步骤地开展测评工作，且测评方案应专业性强，对系统现状及需求理解应准确，方案应科学合理，内容应完整、可靠性强，实施方法和技术措施应可操作性和有效性强，在签订密评合同后供应商应立即成立密评工作小组，并严格按照合同履行密评责任。</w:t>
            </w:r>
          </w:p>
          <w:p w14:paraId="0F850E46">
            <w:pPr>
              <w:spacing w:line="240" w:lineRule="auto"/>
              <w:ind w:firstLine="360" w:firstLineChars="200"/>
              <w:rPr>
                <w:rFonts w:ascii="宋体" w:hAnsi="宋体" w:cs="宋体"/>
                <w:sz w:val="18"/>
                <w:szCs w:val="18"/>
              </w:rPr>
            </w:pPr>
            <w:r>
              <w:rPr>
                <w:rFonts w:hint="eastAsia" w:ascii="宋体" w:hAnsi="宋体" w:cs="宋体"/>
                <w:sz w:val="18"/>
                <w:szCs w:val="18"/>
              </w:rPr>
              <w:t>3.3.为保障密评过程中可能涉及的重要数据和敏感信息的安全，供应商应配有相关能力支撑的保密办公区，并具备安全保密管理制度与数据安全能力，采取的安全管理措施应得当，且能够很好保障本项目测评数据的安全，明确对采购人的系统、信息、数据有安全保密的义务，进场测评前必须签订保密协议。</w:t>
            </w:r>
          </w:p>
          <w:p w14:paraId="363714EF">
            <w:pPr>
              <w:spacing w:line="240" w:lineRule="auto"/>
              <w:ind w:firstLine="360" w:firstLineChars="200"/>
              <w:rPr>
                <w:rFonts w:ascii="宋体" w:hAnsi="宋体" w:cs="宋体"/>
                <w:sz w:val="18"/>
                <w:szCs w:val="18"/>
              </w:rPr>
            </w:pPr>
            <w:r>
              <w:rPr>
                <w:rFonts w:hint="eastAsia" w:ascii="宋体" w:hAnsi="宋体" w:cs="宋体"/>
                <w:sz w:val="18"/>
                <w:szCs w:val="18"/>
              </w:rPr>
              <w:t>3.4.供应商在现场测评工作中必须在不影响采购人信息系统正常运行的前提下进行。</w:t>
            </w:r>
          </w:p>
          <w:p w14:paraId="2D819A28">
            <w:pPr>
              <w:spacing w:line="240" w:lineRule="auto"/>
              <w:ind w:firstLine="360" w:firstLineChars="200"/>
              <w:rPr>
                <w:rFonts w:ascii="宋体" w:hAnsi="宋体" w:cs="宋体"/>
                <w:sz w:val="18"/>
                <w:szCs w:val="18"/>
              </w:rPr>
            </w:pPr>
            <w:r>
              <w:rPr>
                <w:rFonts w:hint="eastAsia" w:ascii="宋体" w:hAnsi="宋体" w:cs="宋体"/>
                <w:sz w:val="18"/>
                <w:szCs w:val="18"/>
              </w:rPr>
              <w:t>3.5.供应商应遵守相应的密评工作制度，包括会议制度、密评文件制度、密评记录制度、工作报告制度等，保证密评工作协调有序的进行。</w:t>
            </w:r>
          </w:p>
          <w:p w14:paraId="2166CB3E">
            <w:pPr>
              <w:spacing w:line="240" w:lineRule="auto"/>
              <w:ind w:firstLine="360" w:firstLineChars="200"/>
              <w:rPr>
                <w:rFonts w:ascii="宋体" w:hAnsi="宋体" w:cs="宋体"/>
                <w:sz w:val="18"/>
                <w:szCs w:val="18"/>
              </w:rPr>
            </w:pPr>
            <w:r>
              <w:rPr>
                <w:rFonts w:hint="eastAsia" w:ascii="宋体" w:hAnsi="宋体" w:cs="宋体"/>
                <w:sz w:val="18"/>
                <w:szCs w:val="18"/>
              </w:rPr>
              <w:t>3.6.供应商应根据被测系统的具体情况，按合同约定，配备满足密评工作需要的人员、设备和工具。为保障密评实施与合同约定服务周期内的服务响应，供应商应具备一定的测评工具开发能力以及在测评服务地进行系统环境模拟实验能力。</w:t>
            </w:r>
          </w:p>
          <w:p w14:paraId="6C87C5DD">
            <w:pPr>
              <w:spacing w:line="240" w:lineRule="auto"/>
              <w:ind w:firstLine="360" w:firstLineChars="200"/>
              <w:rPr>
                <w:rFonts w:ascii="宋体" w:hAnsi="宋体" w:cs="宋体"/>
                <w:sz w:val="18"/>
                <w:szCs w:val="18"/>
              </w:rPr>
            </w:pPr>
            <w:r>
              <w:rPr>
                <w:rFonts w:hint="eastAsia" w:ascii="宋体" w:hAnsi="宋体" w:cs="宋体"/>
                <w:sz w:val="18"/>
                <w:szCs w:val="18"/>
              </w:rPr>
              <w:t>3.7.供应商</w:t>
            </w:r>
            <w:r>
              <w:rPr>
                <w:rFonts w:hint="eastAsia" w:ascii="宋体" w:hAnsi="宋体" w:cs="宋体"/>
                <w:sz w:val="18"/>
                <w:szCs w:val="18"/>
                <w:lang w:val="en-US" w:eastAsia="zh-CN"/>
              </w:rPr>
              <w:t>须</w:t>
            </w:r>
            <w:r>
              <w:rPr>
                <w:rFonts w:hint="eastAsia" w:ascii="宋体" w:hAnsi="宋体" w:cs="宋体"/>
                <w:sz w:val="18"/>
                <w:szCs w:val="18"/>
              </w:rPr>
              <w:t>具有快速应急响应服务团队，以保证在整个项目过程中不影响委托单位信息系统的正常运行。</w:t>
            </w:r>
          </w:p>
          <w:p w14:paraId="2F838A26">
            <w:pPr>
              <w:spacing w:line="240" w:lineRule="auto"/>
              <w:ind w:firstLine="360" w:firstLineChars="200"/>
              <w:rPr>
                <w:rFonts w:ascii="宋体" w:hAnsi="宋体" w:cs="宋体"/>
                <w:sz w:val="18"/>
                <w:szCs w:val="18"/>
              </w:rPr>
            </w:pPr>
            <w:r>
              <w:rPr>
                <w:rFonts w:hint="eastAsia" w:ascii="宋体" w:hAnsi="宋体" w:cs="宋体"/>
                <w:sz w:val="18"/>
                <w:szCs w:val="18"/>
              </w:rPr>
              <w:t>3.8.供应商</w:t>
            </w:r>
            <w:r>
              <w:rPr>
                <w:rFonts w:hint="eastAsia" w:ascii="宋体" w:hAnsi="宋体" w:cs="宋体"/>
                <w:sz w:val="18"/>
                <w:szCs w:val="18"/>
                <w:lang w:val="en-US" w:eastAsia="zh-CN"/>
              </w:rPr>
              <w:t>须</w:t>
            </w:r>
            <w:r>
              <w:rPr>
                <w:rFonts w:hint="eastAsia" w:ascii="宋体" w:hAnsi="宋体" w:cs="宋体"/>
                <w:sz w:val="18"/>
                <w:szCs w:val="18"/>
              </w:rPr>
              <w:t>具有质量控制的能力和质量管理体系，以保证测评工作的客观、公正、安全。供应商针对本项目测评过程中的质量管理方案内项目质量管理应完备，项目质量保障措施应科学、可行、完善，项目管理与风险应控制合理。</w:t>
            </w:r>
          </w:p>
          <w:p w14:paraId="2D0DA0BA">
            <w:pPr>
              <w:spacing w:line="240" w:lineRule="auto"/>
              <w:ind w:firstLine="360" w:firstLineChars="200"/>
              <w:rPr>
                <w:rFonts w:ascii="宋体" w:hAnsi="宋体" w:cs="宋体"/>
                <w:sz w:val="18"/>
                <w:szCs w:val="18"/>
              </w:rPr>
            </w:pPr>
            <w:r>
              <w:rPr>
                <w:rFonts w:hint="eastAsia" w:ascii="宋体" w:hAnsi="宋体" w:cs="宋体"/>
                <w:sz w:val="18"/>
                <w:szCs w:val="18"/>
              </w:rPr>
              <w:t>3.9.供应商</w:t>
            </w:r>
            <w:r>
              <w:rPr>
                <w:rFonts w:hint="eastAsia" w:ascii="宋体" w:hAnsi="宋体" w:cs="宋体"/>
                <w:sz w:val="18"/>
                <w:szCs w:val="18"/>
                <w:lang w:val="en-US" w:eastAsia="zh-CN"/>
              </w:rPr>
              <w:t>须</w:t>
            </w:r>
            <w:r>
              <w:rPr>
                <w:rFonts w:hint="eastAsia" w:ascii="宋体" w:hAnsi="宋体" w:cs="宋体"/>
                <w:sz w:val="18"/>
                <w:szCs w:val="18"/>
              </w:rPr>
              <w:t>配备密评网络抓包、密码算法、协议分析工具、随机数检测工具以及常用密码设备，且应具有模拟以及验证被测评系统密码应用方案的能力。</w:t>
            </w:r>
          </w:p>
          <w:p w14:paraId="2573BBB5">
            <w:pPr>
              <w:spacing w:line="240" w:lineRule="auto"/>
              <w:ind w:firstLine="360" w:firstLineChars="200"/>
              <w:rPr>
                <w:rFonts w:ascii="宋体" w:hAnsi="宋体" w:cs="宋体"/>
                <w:sz w:val="18"/>
                <w:szCs w:val="18"/>
              </w:rPr>
            </w:pPr>
            <w:r>
              <w:rPr>
                <w:rFonts w:hint="eastAsia" w:ascii="宋体" w:hAnsi="宋体" w:cs="宋体"/>
                <w:sz w:val="18"/>
                <w:szCs w:val="18"/>
              </w:rPr>
              <w:t>3.10.供应商完成商用密码应用安全性评估工作后，应协助用户在30日内将评估结果报国家密码管理部门备案。</w:t>
            </w:r>
          </w:p>
          <w:p w14:paraId="60863D8C">
            <w:pPr>
              <w:spacing w:line="240" w:lineRule="auto"/>
              <w:ind w:firstLine="360" w:firstLineChars="200"/>
              <w:rPr>
                <w:rFonts w:ascii="宋体" w:hAnsi="宋体" w:cs="宋体"/>
                <w:sz w:val="18"/>
                <w:szCs w:val="18"/>
              </w:rPr>
            </w:pPr>
            <w:r>
              <w:rPr>
                <w:rFonts w:hint="eastAsia" w:ascii="宋体" w:hAnsi="宋体" w:cs="宋体"/>
                <w:sz w:val="18"/>
                <w:szCs w:val="18"/>
              </w:rPr>
              <w:t>3.11.供应商在验收时应提交密码安全测评工作的档案。</w:t>
            </w:r>
          </w:p>
          <w:p w14:paraId="7B9BBFCA">
            <w:pPr>
              <w:spacing w:line="240" w:lineRule="auto"/>
              <w:jc w:val="both"/>
              <w:rPr>
                <w:rFonts w:ascii="宋体" w:hAnsi="宋体" w:cs="宋体"/>
                <w:b/>
                <w:bCs/>
                <w:sz w:val="18"/>
                <w:szCs w:val="18"/>
              </w:rPr>
            </w:pPr>
            <w:r>
              <w:rPr>
                <w:rFonts w:hint="eastAsia" w:ascii="宋体" w:hAnsi="宋体" w:cs="宋体"/>
                <w:b/>
                <w:bCs/>
                <w:sz w:val="18"/>
                <w:szCs w:val="18"/>
              </w:rPr>
              <w:t>4、商用密码评估资质要求</w:t>
            </w:r>
          </w:p>
          <w:p w14:paraId="3CF6D9CD">
            <w:pPr>
              <w:spacing w:line="240" w:lineRule="auto"/>
              <w:ind w:firstLine="360" w:firstLineChars="200"/>
              <w:rPr>
                <w:rFonts w:hint="eastAsia" w:ascii="宋体" w:hAnsi="宋体" w:cs="宋体"/>
                <w:sz w:val="18"/>
                <w:szCs w:val="18"/>
              </w:rPr>
            </w:pPr>
            <w:r>
              <w:rPr>
                <w:rFonts w:hint="eastAsia" w:ascii="宋体" w:hAnsi="宋体" w:cs="宋体"/>
                <w:sz w:val="18"/>
                <w:szCs w:val="18"/>
              </w:rPr>
              <w:t xml:space="preserve">4.1. </w:t>
            </w:r>
            <w:r>
              <w:rPr>
                <w:rFonts w:hint="eastAsia" w:ascii="宋体" w:hAnsi="宋体" w:cs="宋体"/>
                <w:sz w:val="18"/>
                <w:szCs w:val="18"/>
                <w:lang w:val="en-US" w:eastAsia="zh-CN"/>
              </w:rPr>
              <w:t>测评机构</w:t>
            </w:r>
            <w:r>
              <w:rPr>
                <w:rFonts w:hint="eastAsia" w:ascii="宋体" w:hAnsi="宋体" w:cs="宋体"/>
                <w:sz w:val="18"/>
                <w:szCs w:val="18"/>
              </w:rPr>
              <w:t>必须在国家密码管理局公告（第42号）的商用密码应用安全性评估试点机构目录中或提供国家密码管理局《国密局字[2021]183号通知》中审批通过的“可在本地区、本行业（领域）开展密码应用安全性评估业资质的密评机构名单”的相关证明材料。提供证书或证明复印件并加盖公章。</w:t>
            </w:r>
          </w:p>
          <w:p w14:paraId="0BAD9793">
            <w:pPr>
              <w:spacing w:line="240" w:lineRule="auto"/>
              <w:ind w:firstLine="360" w:firstLineChars="200"/>
              <w:rPr>
                <w:rFonts w:ascii="宋体" w:hAnsi="宋体"/>
                <w:sz w:val="18"/>
                <w:szCs w:val="18"/>
              </w:rPr>
            </w:pPr>
            <w:r>
              <w:rPr>
                <w:rFonts w:hint="eastAsia" w:ascii="宋体" w:hAnsi="宋体" w:cs="宋体"/>
                <w:sz w:val="18"/>
                <w:szCs w:val="18"/>
              </w:rPr>
              <w:t>4.2项目组成员应具备合格的商用密码应用安全性评估人员测评能力考核证书至少2人。全程协助招标方在网络和信息系统安全方面工作，在本项目进行期间，未经采购人同意，测评过程中不得离场，且中途不得更换人员，也不得将检测任务分包或转包。</w:t>
            </w:r>
          </w:p>
        </w:tc>
        <w:tc>
          <w:tcPr>
            <w:tcW w:w="851" w:type="dxa"/>
            <w:shd w:val="clear" w:color="auto" w:fill="auto"/>
            <w:vAlign w:val="center"/>
          </w:tcPr>
          <w:p w14:paraId="33B5E34A">
            <w:pPr>
              <w:spacing w:line="330" w:lineRule="exact"/>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850" w:type="dxa"/>
            <w:shd w:val="clear" w:color="auto" w:fill="auto"/>
            <w:vAlign w:val="center"/>
          </w:tcPr>
          <w:p w14:paraId="40902F12">
            <w:pPr>
              <w:spacing w:line="330" w:lineRule="exact"/>
              <w:jc w:val="center"/>
              <w:rPr>
                <w:rFonts w:hint="eastAsia" w:ascii="宋体" w:hAnsi="宋体" w:eastAsia="宋体" w:cs="宋体"/>
                <w:szCs w:val="21"/>
                <w:lang w:val="en-US" w:eastAsia="zh-CN"/>
              </w:rPr>
            </w:pPr>
            <w:r>
              <w:rPr>
                <w:rFonts w:hint="eastAsia" w:ascii="宋体" w:hAnsi="宋体" w:cs="宋体"/>
                <w:szCs w:val="21"/>
                <w:lang w:val="en-US" w:eastAsia="zh-CN"/>
              </w:rPr>
              <w:t>项</w:t>
            </w:r>
          </w:p>
        </w:tc>
      </w:tr>
      <w:tr w14:paraId="57FB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4DB8B952">
            <w:pPr>
              <w:spacing w:line="330" w:lineRule="exact"/>
              <w:jc w:val="center"/>
              <w:rPr>
                <w:rFonts w:ascii="宋体" w:hAnsi="宋体"/>
                <w:bCs/>
                <w:sz w:val="18"/>
                <w:szCs w:val="18"/>
              </w:rPr>
            </w:pPr>
          </w:p>
          <w:p w14:paraId="0A327468">
            <w:pPr>
              <w:spacing w:line="330" w:lineRule="exact"/>
              <w:jc w:val="center"/>
              <w:rPr>
                <w:rFonts w:ascii="宋体" w:hAnsi="宋体"/>
                <w:bCs/>
                <w:sz w:val="18"/>
                <w:szCs w:val="18"/>
              </w:rPr>
            </w:pPr>
          </w:p>
          <w:p w14:paraId="36DAB719">
            <w:pPr>
              <w:spacing w:line="330" w:lineRule="exact"/>
              <w:jc w:val="center"/>
              <w:rPr>
                <w:rFonts w:ascii="宋体" w:hAnsi="宋体"/>
                <w:bCs/>
                <w:sz w:val="18"/>
                <w:szCs w:val="18"/>
              </w:rPr>
            </w:pPr>
          </w:p>
          <w:p w14:paraId="4E47A3D6">
            <w:pPr>
              <w:spacing w:line="330" w:lineRule="exact"/>
              <w:jc w:val="center"/>
              <w:rPr>
                <w:rFonts w:ascii="宋体" w:hAnsi="宋体"/>
                <w:bCs/>
                <w:sz w:val="18"/>
                <w:szCs w:val="18"/>
              </w:rPr>
            </w:pPr>
          </w:p>
          <w:p w14:paraId="2EA58F18">
            <w:pPr>
              <w:spacing w:line="330" w:lineRule="exact"/>
              <w:jc w:val="center"/>
              <w:rPr>
                <w:rFonts w:ascii="宋体" w:hAnsi="宋体"/>
                <w:bCs/>
                <w:sz w:val="18"/>
                <w:szCs w:val="18"/>
              </w:rPr>
            </w:pPr>
          </w:p>
          <w:p w14:paraId="4219DC05">
            <w:pPr>
              <w:spacing w:line="330" w:lineRule="exact"/>
              <w:jc w:val="center"/>
              <w:rPr>
                <w:rFonts w:ascii="宋体" w:hAnsi="宋体"/>
                <w:bCs/>
                <w:sz w:val="18"/>
                <w:szCs w:val="18"/>
              </w:rPr>
            </w:pPr>
          </w:p>
          <w:p w14:paraId="54C68154">
            <w:pPr>
              <w:spacing w:line="330" w:lineRule="exact"/>
              <w:jc w:val="center"/>
              <w:rPr>
                <w:rFonts w:ascii="宋体" w:hAnsi="宋体"/>
                <w:bCs/>
                <w:sz w:val="18"/>
                <w:szCs w:val="18"/>
              </w:rPr>
            </w:pPr>
          </w:p>
          <w:p w14:paraId="00833AF5">
            <w:pPr>
              <w:spacing w:line="330" w:lineRule="exact"/>
              <w:jc w:val="center"/>
              <w:rPr>
                <w:rFonts w:ascii="宋体" w:hAnsi="宋体"/>
                <w:bCs/>
                <w:sz w:val="18"/>
                <w:szCs w:val="18"/>
              </w:rPr>
            </w:pPr>
          </w:p>
          <w:p w14:paraId="3B27E7FA">
            <w:pPr>
              <w:spacing w:line="330" w:lineRule="exact"/>
              <w:jc w:val="center"/>
              <w:rPr>
                <w:rFonts w:ascii="宋体" w:hAnsi="宋体"/>
                <w:bCs/>
                <w:sz w:val="18"/>
                <w:szCs w:val="18"/>
              </w:rPr>
            </w:pPr>
          </w:p>
          <w:p w14:paraId="39F42674">
            <w:pPr>
              <w:spacing w:line="330" w:lineRule="exact"/>
              <w:jc w:val="center"/>
              <w:rPr>
                <w:rFonts w:ascii="宋体" w:hAnsi="宋体"/>
                <w:bCs/>
                <w:sz w:val="18"/>
                <w:szCs w:val="18"/>
              </w:rPr>
            </w:pPr>
          </w:p>
          <w:p w14:paraId="7025FA9B">
            <w:pPr>
              <w:spacing w:line="330" w:lineRule="exact"/>
              <w:jc w:val="center"/>
              <w:rPr>
                <w:rFonts w:ascii="宋体" w:hAnsi="宋体"/>
                <w:bCs/>
                <w:sz w:val="18"/>
                <w:szCs w:val="18"/>
              </w:rPr>
            </w:pPr>
          </w:p>
          <w:p w14:paraId="1D3A47B3">
            <w:pPr>
              <w:spacing w:line="330" w:lineRule="exact"/>
              <w:jc w:val="center"/>
              <w:rPr>
                <w:rFonts w:ascii="宋体" w:hAnsi="宋体"/>
                <w:bCs/>
                <w:sz w:val="18"/>
                <w:szCs w:val="18"/>
              </w:rPr>
            </w:pPr>
          </w:p>
          <w:p w14:paraId="7DD67293">
            <w:pPr>
              <w:spacing w:line="330" w:lineRule="exact"/>
              <w:jc w:val="center"/>
              <w:rPr>
                <w:rFonts w:ascii="宋体" w:hAnsi="宋体"/>
                <w:bCs/>
                <w:sz w:val="18"/>
                <w:szCs w:val="18"/>
              </w:rPr>
            </w:pPr>
          </w:p>
          <w:p w14:paraId="3B325CD6">
            <w:pPr>
              <w:spacing w:line="330" w:lineRule="exact"/>
              <w:jc w:val="center"/>
              <w:rPr>
                <w:rFonts w:ascii="宋体" w:hAnsi="宋体"/>
                <w:bCs/>
                <w:sz w:val="18"/>
                <w:szCs w:val="18"/>
              </w:rPr>
            </w:pPr>
          </w:p>
          <w:p w14:paraId="227AFD18">
            <w:pPr>
              <w:spacing w:line="330" w:lineRule="exact"/>
              <w:jc w:val="center"/>
              <w:rPr>
                <w:rFonts w:ascii="宋体" w:hAnsi="宋体"/>
                <w:bCs/>
                <w:sz w:val="18"/>
                <w:szCs w:val="18"/>
              </w:rPr>
            </w:pPr>
          </w:p>
          <w:p w14:paraId="6EE9ACF3">
            <w:pPr>
              <w:spacing w:line="330" w:lineRule="exact"/>
              <w:jc w:val="center"/>
              <w:rPr>
                <w:rFonts w:ascii="宋体" w:hAnsi="宋体"/>
                <w:bCs/>
                <w:sz w:val="18"/>
                <w:szCs w:val="18"/>
              </w:rPr>
            </w:pPr>
          </w:p>
          <w:p w14:paraId="00DEF830">
            <w:pPr>
              <w:spacing w:line="330" w:lineRule="exact"/>
              <w:jc w:val="center"/>
              <w:rPr>
                <w:rFonts w:ascii="宋体" w:hAnsi="宋体"/>
                <w:bCs/>
                <w:sz w:val="18"/>
                <w:szCs w:val="18"/>
              </w:rPr>
            </w:pPr>
          </w:p>
          <w:p w14:paraId="255655F8">
            <w:pPr>
              <w:spacing w:line="330" w:lineRule="exact"/>
              <w:jc w:val="center"/>
              <w:rPr>
                <w:rFonts w:ascii="宋体" w:hAnsi="宋体"/>
                <w:bCs/>
                <w:sz w:val="18"/>
                <w:szCs w:val="18"/>
              </w:rPr>
            </w:pPr>
          </w:p>
          <w:p w14:paraId="25FEBF1D">
            <w:pPr>
              <w:spacing w:line="330" w:lineRule="exact"/>
              <w:jc w:val="center"/>
              <w:rPr>
                <w:rFonts w:ascii="宋体" w:hAnsi="宋体"/>
                <w:bCs/>
                <w:sz w:val="18"/>
                <w:szCs w:val="18"/>
              </w:rPr>
            </w:pPr>
          </w:p>
          <w:p w14:paraId="53AE6DFF">
            <w:pPr>
              <w:spacing w:line="330" w:lineRule="exact"/>
              <w:jc w:val="center"/>
              <w:rPr>
                <w:rFonts w:hint="eastAsia" w:ascii="宋体" w:hAnsi="宋体" w:eastAsia="宋体"/>
                <w:bCs/>
                <w:sz w:val="18"/>
                <w:szCs w:val="18"/>
                <w:lang w:val="en-US" w:eastAsia="zh-CN"/>
              </w:rPr>
            </w:pPr>
            <w:r>
              <w:rPr>
                <w:rFonts w:hint="eastAsia" w:ascii="宋体" w:hAnsi="宋体"/>
                <w:bCs/>
                <w:sz w:val="18"/>
                <w:szCs w:val="18"/>
                <w:lang w:val="en-US" w:eastAsia="zh-CN"/>
              </w:rPr>
              <w:t>9</w:t>
            </w:r>
          </w:p>
        </w:tc>
        <w:tc>
          <w:tcPr>
            <w:tcW w:w="1240" w:type="dxa"/>
            <w:shd w:val="clear" w:color="auto" w:fill="auto"/>
            <w:vAlign w:val="center"/>
          </w:tcPr>
          <w:p w14:paraId="321BA5B4">
            <w:pPr>
              <w:spacing w:line="330" w:lineRule="exact"/>
              <w:jc w:val="both"/>
              <w:rPr>
                <w:rFonts w:ascii="宋体" w:hAnsi="宋体" w:cs="宋体"/>
                <w:sz w:val="18"/>
                <w:szCs w:val="18"/>
              </w:rPr>
            </w:pPr>
          </w:p>
          <w:p w14:paraId="14D14043">
            <w:pPr>
              <w:spacing w:line="330" w:lineRule="exact"/>
              <w:jc w:val="both"/>
              <w:rPr>
                <w:rFonts w:ascii="宋体" w:hAnsi="宋体" w:cs="宋体"/>
                <w:sz w:val="18"/>
                <w:szCs w:val="18"/>
              </w:rPr>
            </w:pPr>
          </w:p>
          <w:p w14:paraId="27F1B85A">
            <w:pPr>
              <w:spacing w:line="330" w:lineRule="exact"/>
              <w:jc w:val="both"/>
              <w:rPr>
                <w:rFonts w:ascii="宋体" w:hAnsi="宋体" w:cs="宋体"/>
                <w:sz w:val="18"/>
                <w:szCs w:val="18"/>
              </w:rPr>
            </w:pPr>
          </w:p>
          <w:p w14:paraId="7442B822">
            <w:pPr>
              <w:spacing w:line="330" w:lineRule="exact"/>
              <w:jc w:val="both"/>
              <w:rPr>
                <w:rFonts w:ascii="宋体" w:hAnsi="宋体" w:cs="宋体"/>
                <w:sz w:val="18"/>
                <w:szCs w:val="18"/>
              </w:rPr>
            </w:pPr>
          </w:p>
          <w:p w14:paraId="584A5102">
            <w:pPr>
              <w:spacing w:line="330" w:lineRule="exact"/>
              <w:jc w:val="both"/>
              <w:rPr>
                <w:rFonts w:ascii="宋体" w:hAnsi="宋体" w:cs="宋体"/>
                <w:sz w:val="18"/>
                <w:szCs w:val="18"/>
              </w:rPr>
            </w:pPr>
          </w:p>
          <w:p w14:paraId="69B459F5">
            <w:pPr>
              <w:spacing w:line="330" w:lineRule="exact"/>
              <w:jc w:val="both"/>
              <w:rPr>
                <w:rFonts w:ascii="宋体" w:hAnsi="宋体" w:cs="宋体"/>
                <w:sz w:val="18"/>
                <w:szCs w:val="18"/>
              </w:rPr>
            </w:pPr>
          </w:p>
          <w:p w14:paraId="1E563355">
            <w:pPr>
              <w:spacing w:line="330" w:lineRule="exact"/>
              <w:jc w:val="both"/>
              <w:rPr>
                <w:rFonts w:ascii="宋体" w:hAnsi="宋体" w:cs="宋体"/>
                <w:sz w:val="18"/>
                <w:szCs w:val="18"/>
              </w:rPr>
            </w:pPr>
          </w:p>
          <w:p w14:paraId="03E11299">
            <w:pPr>
              <w:spacing w:line="330" w:lineRule="exact"/>
              <w:jc w:val="both"/>
              <w:rPr>
                <w:rFonts w:ascii="宋体" w:hAnsi="宋体" w:cs="宋体"/>
                <w:sz w:val="18"/>
                <w:szCs w:val="18"/>
              </w:rPr>
            </w:pPr>
          </w:p>
          <w:p w14:paraId="0D51372A">
            <w:pPr>
              <w:spacing w:line="330" w:lineRule="exact"/>
              <w:jc w:val="both"/>
              <w:rPr>
                <w:rFonts w:ascii="宋体" w:hAnsi="宋体" w:cs="宋体"/>
                <w:sz w:val="18"/>
                <w:szCs w:val="18"/>
              </w:rPr>
            </w:pPr>
          </w:p>
          <w:p w14:paraId="141BE7D8">
            <w:pPr>
              <w:spacing w:line="330" w:lineRule="exact"/>
              <w:jc w:val="both"/>
              <w:rPr>
                <w:rFonts w:ascii="宋体" w:hAnsi="宋体" w:cs="宋体"/>
                <w:sz w:val="18"/>
                <w:szCs w:val="18"/>
              </w:rPr>
            </w:pPr>
          </w:p>
          <w:p w14:paraId="2D0FDB4D">
            <w:pPr>
              <w:spacing w:line="330" w:lineRule="exact"/>
              <w:jc w:val="both"/>
              <w:rPr>
                <w:rFonts w:ascii="宋体" w:hAnsi="宋体" w:cs="宋体"/>
                <w:sz w:val="18"/>
                <w:szCs w:val="18"/>
              </w:rPr>
            </w:pPr>
          </w:p>
          <w:p w14:paraId="5E064AFE">
            <w:pPr>
              <w:spacing w:line="330" w:lineRule="exact"/>
              <w:jc w:val="both"/>
              <w:rPr>
                <w:rFonts w:ascii="宋体" w:hAnsi="宋体" w:cs="宋体"/>
                <w:sz w:val="18"/>
                <w:szCs w:val="18"/>
              </w:rPr>
            </w:pPr>
          </w:p>
          <w:p w14:paraId="11FDD044">
            <w:pPr>
              <w:spacing w:line="330" w:lineRule="exact"/>
              <w:jc w:val="both"/>
              <w:rPr>
                <w:rFonts w:ascii="宋体" w:hAnsi="宋体" w:cs="宋体"/>
                <w:sz w:val="18"/>
                <w:szCs w:val="18"/>
              </w:rPr>
            </w:pPr>
          </w:p>
          <w:p w14:paraId="04217527">
            <w:pPr>
              <w:spacing w:line="330" w:lineRule="exact"/>
              <w:jc w:val="both"/>
              <w:rPr>
                <w:rFonts w:ascii="宋体" w:hAnsi="宋体" w:cs="宋体"/>
                <w:sz w:val="18"/>
                <w:szCs w:val="18"/>
              </w:rPr>
            </w:pPr>
          </w:p>
          <w:p w14:paraId="13A5E428">
            <w:pPr>
              <w:spacing w:line="330" w:lineRule="exact"/>
              <w:jc w:val="both"/>
              <w:rPr>
                <w:rFonts w:ascii="宋体" w:hAnsi="宋体" w:cs="宋体"/>
                <w:sz w:val="18"/>
                <w:szCs w:val="18"/>
              </w:rPr>
            </w:pPr>
          </w:p>
          <w:p w14:paraId="1A43F40A">
            <w:pPr>
              <w:spacing w:line="330" w:lineRule="exact"/>
              <w:jc w:val="both"/>
              <w:rPr>
                <w:rFonts w:ascii="宋体" w:hAnsi="宋体" w:cs="宋体"/>
                <w:sz w:val="18"/>
                <w:szCs w:val="18"/>
              </w:rPr>
            </w:pPr>
          </w:p>
          <w:p w14:paraId="264FB86C">
            <w:pPr>
              <w:spacing w:line="330" w:lineRule="exact"/>
              <w:jc w:val="both"/>
              <w:rPr>
                <w:rFonts w:ascii="宋体" w:hAnsi="宋体" w:cs="宋体"/>
                <w:sz w:val="18"/>
                <w:szCs w:val="18"/>
              </w:rPr>
            </w:pPr>
          </w:p>
          <w:p w14:paraId="3210F0FD">
            <w:pPr>
              <w:spacing w:line="330" w:lineRule="exact"/>
              <w:jc w:val="both"/>
              <w:rPr>
                <w:rFonts w:hint="eastAsia" w:ascii="宋体" w:hAnsi="宋体" w:cs="宋体"/>
                <w:sz w:val="18"/>
                <w:szCs w:val="18"/>
                <w:lang w:val="en-US" w:eastAsia="zh-CN"/>
              </w:rPr>
            </w:pPr>
            <w:r>
              <w:rPr>
                <w:rFonts w:hint="eastAsia" w:ascii="宋体" w:hAnsi="宋体" w:cs="宋体"/>
                <w:sz w:val="18"/>
                <w:szCs w:val="18"/>
                <w:lang w:val="en-US" w:eastAsia="zh-CN"/>
              </w:rPr>
              <w:t>信息集成平台</w:t>
            </w:r>
            <w:r>
              <w:rPr>
                <w:rFonts w:hint="eastAsia" w:ascii="宋体" w:hAnsi="宋体" w:cs="宋体"/>
                <w:sz w:val="18"/>
                <w:szCs w:val="18"/>
              </w:rPr>
              <w:t>商用</w:t>
            </w:r>
            <w:r>
              <w:rPr>
                <w:rFonts w:hint="eastAsia" w:ascii="宋体" w:hAnsi="宋体" w:cs="宋体"/>
                <w:sz w:val="18"/>
                <w:szCs w:val="18"/>
                <w:lang w:val="en-US" w:eastAsia="zh-CN"/>
              </w:rPr>
              <w:t>密码</w:t>
            </w:r>
            <w:r>
              <w:rPr>
                <w:rFonts w:hint="eastAsia" w:ascii="宋体" w:hAnsi="宋体" w:cs="宋体"/>
                <w:sz w:val="18"/>
                <w:szCs w:val="18"/>
              </w:rPr>
              <w:t>评估</w:t>
            </w:r>
            <w:r>
              <w:rPr>
                <w:rFonts w:hint="eastAsia" w:ascii="宋体" w:hAnsi="宋体" w:cs="宋体"/>
                <w:sz w:val="18"/>
                <w:szCs w:val="18"/>
                <w:lang w:val="en-US" w:eastAsia="zh-CN"/>
              </w:rPr>
              <w:t>服务</w:t>
            </w:r>
            <w:r>
              <w:rPr>
                <w:rFonts w:hint="eastAsia" w:ascii="宋体" w:hAnsi="宋体" w:cs="宋体"/>
                <w:sz w:val="18"/>
                <w:szCs w:val="18"/>
              </w:rPr>
              <w:t>（三级）</w:t>
            </w:r>
          </w:p>
        </w:tc>
        <w:tc>
          <w:tcPr>
            <w:tcW w:w="5381" w:type="dxa"/>
            <w:shd w:val="clear" w:color="auto" w:fill="auto"/>
            <w:vAlign w:val="top"/>
          </w:tcPr>
          <w:p w14:paraId="2C208908">
            <w:pPr>
              <w:spacing w:line="240" w:lineRule="auto"/>
              <w:jc w:val="both"/>
              <w:rPr>
                <w:rFonts w:ascii="宋体" w:hAnsi="宋体" w:cs="宋体"/>
                <w:b/>
                <w:sz w:val="18"/>
                <w:szCs w:val="18"/>
              </w:rPr>
            </w:pPr>
            <w:r>
              <w:rPr>
                <w:rFonts w:hint="eastAsia" w:ascii="宋体" w:hAnsi="宋体" w:cs="宋体"/>
                <w:b/>
                <w:sz w:val="18"/>
                <w:szCs w:val="18"/>
              </w:rPr>
              <w:t>一、测评服务</w:t>
            </w:r>
          </w:p>
          <w:p w14:paraId="37F9E283">
            <w:pPr>
              <w:spacing w:line="240" w:lineRule="auto"/>
              <w:jc w:val="both"/>
              <w:rPr>
                <w:rFonts w:ascii="宋体" w:hAnsi="宋体" w:cs="宋体"/>
                <w:b/>
                <w:bCs/>
                <w:sz w:val="18"/>
                <w:szCs w:val="18"/>
              </w:rPr>
            </w:pPr>
            <w:r>
              <w:rPr>
                <w:rFonts w:hint="eastAsia" w:ascii="宋体" w:hAnsi="宋体" w:cs="宋体"/>
                <w:b/>
                <w:bCs/>
                <w:sz w:val="18"/>
                <w:szCs w:val="18"/>
              </w:rPr>
              <w:t>1、总的要求</w:t>
            </w:r>
          </w:p>
          <w:p w14:paraId="7035A520">
            <w:pPr>
              <w:spacing w:line="240" w:lineRule="auto"/>
              <w:ind w:firstLine="360" w:firstLineChars="200"/>
              <w:rPr>
                <w:rFonts w:ascii="宋体" w:hAnsi="宋体" w:cs="宋体"/>
                <w:sz w:val="18"/>
                <w:szCs w:val="18"/>
              </w:rPr>
            </w:pPr>
            <w:r>
              <w:rPr>
                <w:rFonts w:hint="eastAsia" w:ascii="宋体" w:hAnsi="宋体" w:cs="宋体"/>
                <w:sz w:val="18"/>
                <w:szCs w:val="18"/>
              </w:rPr>
              <w:t>为贯彻落实《中华人民共和国密码法》、《商用密码管理条例》与《商用密码应用安全性评估管理办法》中对密码应用与安全性评估要求，拟对</w:t>
            </w:r>
            <w:r>
              <w:rPr>
                <w:rFonts w:hint="eastAsia" w:ascii="宋体" w:hAnsi="宋体" w:cs="宋体"/>
                <w:b/>
                <w:bCs/>
                <w:sz w:val="18"/>
                <w:szCs w:val="18"/>
                <w:lang w:val="en-US" w:eastAsia="zh-CN"/>
              </w:rPr>
              <w:t>信息集成平台系统</w:t>
            </w:r>
            <w:r>
              <w:rPr>
                <w:rFonts w:hint="eastAsia" w:ascii="宋体" w:hAnsi="宋体" w:cs="宋体"/>
                <w:b/>
                <w:bCs/>
                <w:sz w:val="18"/>
                <w:szCs w:val="18"/>
              </w:rPr>
              <w:t>商用密评评估（三级）</w:t>
            </w:r>
            <w:r>
              <w:rPr>
                <w:rFonts w:hint="eastAsia" w:ascii="宋体" w:hAnsi="宋体" w:cs="宋体"/>
                <w:sz w:val="18"/>
                <w:szCs w:val="18"/>
              </w:rPr>
              <w:t>开展密码安全性评估工作，评估</w:t>
            </w:r>
            <w:r>
              <w:rPr>
                <w:rFonts w:hint="eastAsia" w:ascii="宋体" w:hAnsi="宋体" w:cs="宋体"/>
                <w:b/>
                <w:bCs/>
                <w:sz w:val="18"/>
                <w:szCs w:val="18"/>
                <w:lang w:val="en-US" w:eastAsia="zh-CN"/>
              </w:rPr>
              <w:t>信息集成平台系统</w:t>
            </w:r>
            <w:r>
              <w:rPr>
                <w:rFonts w:hint="eastAsia" w:ascii="宋体" w:hAnsi="宋体" w:cs="宋体"/>
                <w:b/>
                <w:bCs/>
                <w:sz w:val="18"/>
                <w:szCs w:val="18"/>
              </w:rPr>
              <w:t>商用密评评估（三级）</w:t>
            </w:r>
            <w:r>
              <w:rPr>
                <w:rFonts w:hint="eastAsia" w:ascii="宋体" w:hAnsi="宋体" w:cs="宋体"/>
                <w:sz w:val="18"/>
                <w:szCs w:val="18"/>
              </w:rPr>
              <w:t>的密码应用是否合规、正确、有效，并通过测评发现其密码保障系统存在的安全隐患和风险，编制被测评系统的密码应用安全性评估报告，并提出有针对性的加强完善密码安全管理和防护建议。编制《商用密码应用与安全性评估整改建议书》、《商用密码应用与安全性评估报告》。</w:t>
            </w:r>
          </w:p>
          <w:p w14:paraId="211B6AE8">
            <w:pPr>
              <w:spacing w:line="240" w:lineRule="auto"/>
              <w:jc w:val="both"/>
              <w:rPr>
                <w:rFonts w:ascii="宋体" w:hAnsi="宋体" w:cs="宋体"/>
                <w:b/>
                <w:bCs/>
                <w:sz w:val="18"/>
                <w:szCs w:val="18"/>
              </w:rPr>
            </w:pPr>
            <w:r>
              <w:rPr>
                <w:rFonts w:hint="eastAsia" w:ascii="宋体" w:hAnsi="宋体" w:cs="宋体"/>
                <w:b/>
                <w:bCs/>
                <w:sz w:val="18"/>
                <w:szCs w:val="18"/>
              </w:rPr>
              <w:t>2、测评依据标准</w:t>
            </w:r>
          </w:p>
          <w:p w14:paraId="06B077CB">
            <w:pPr>
              <w:spacing w:line="240" w:lineRule="auto"/>
              <w:ind w:firstLine="360" w:firstLineChars="200"/>
              <w:rPr>
                <w:rFonts w:ascii="宋体" w:hAnsi="宋体" w:cs="宋体"/>
                <w:sz w:val="18"/>
                <w:szCs w:val="18"/>
              </w:rPr>
            </w:pPr>
            <w:r>
              <w:rPr>
                <w:rFonts w:hint="eastAsia" w:ascii="宋体" w:hAnsi="宋体" w:cs="宋体"/>
                <w:sz w:val="18"/>
                <w:szCs w:val="18"/>
              </w:rPr>
              <w:t>①GB/T 39786-2021《信息安全技术 信息系统密码应用基本要求》</w:t>
            </w:r>
          </w:p>
          <w:p w14:paraId="5EBA810E">
            <w:pPr>
              <w:spacing w:line="240" w:lineRule="auto"/>
              <w:ind w:firstLine="360" w:firstLineChars="200"/>
              <w:rPr>
                <w:rFonts w:ascii="宋体" w:hAnsi="宋体" w:cs="宋体"/>
                <w:sz w:val="18"/>
                <w:szCs w:val="18"/>
              </w:rPr>
            </w:pPr>
            <w:r>
              <w:rPr>
                <w:rFonts w:hint="eastAsia" w:ascii="宋体" w:hAnsi="宋体" w:cs="宋体"/>
                <w:sz w:val="18"/>
                <w:szCs w:val="18"/>
              </w:rPr>
              <w:t>②GM/T0115-2021《信息系统密码应用测评要求》</w:t>
            </w:r>
          </w:p>
          <w:p w14:paraId="0C1894D2">
            <w:pPr>
              <w:spacing w:line="240" w:lineRule="auto"/>
              <w:ind w:firstLine="360" w:firstLineChars="200"/>
              <w:rPr>
                <w:rFonts w:ascii="宋体" w:hAnsi="宋体" w:cs="宋体"/>
                <w:sz w:val="18"/>
                <w:szCs w:val="18"/>
              </w:rPr>
            </w:pPr>
            <w:r>
              <w:rPr>
                <w:rFonts w:hint="eastAsia" w:ascii="宋体" w:hAnsi="宋体" w:cs="宋体"/>
                <w:sz w:val="18"/>
                <w:szCs w:val="18"/>
              </w:rPr>
              <w:t>③GM/T0116-2021《信息系统密码应用测评过程指南》</w:t>
            </w:r>
          </w:p>
          <w:p w14:paraId="52F1C835">
            <w:pPr>
              <w:spacing w:line="240" w:lineRule="auto"/>
              <w:ind w:firstLine="360" w:firstLineChars="200"/>
              <w:rPr>
                <w:rFonts w:ascii="宋体" w:hAnsi="宋体" w:cs="宋体"/>
                <w:sz w:val="18"/>
                <w:szCs w:val="18"/>
              </w:rPr>
            </w:pPr>
            <w:r>
              <w:rPr>
                <w:rFonts w:hint="eastAsia" w:ascii="宋体" w:hAnsi="宋体" w:cs="宋体"/>
                <w:sz w:val="18"/>
                <w:szCs w:val="18"/>
              </w:rPr>
              <w:t>④信息系统密码应用高风险判定指引（2021）</w:t>
            </w:r>
          </w:p>
          <w:p w14:paraId="346A38BF">
            <w:pPr>
              <w:spacing w:line="240" w:lineRule="auto"/>
              <w:ind w:firstLine="360" w:firstLineChars="200"/>
              <w:rPr>
                <w:rFonts w:ascii="宋体" w:hAnsi="宋体" w:cs="宋体"/>
                <w:sz w:val="18"/>
                <w:szCs w:val="18"/>
              </w:rPr>
            </w:pPr>
            <w:r>
              <w:rPr>
                <w:rFonts w:hint="eastAsia" w:ascii="宋体" w:hAnsi="宋体" w:cs="宋体"/>
                <w:sz w:val="18"/>
                <w:szCs w:val="18"/>
              </w:rPr>
              <w:t>⑤商用密码应用安全性评估量化评估规则（2023版）</w:t>
            </w:r>
          </w:p>
          <w:p w14:paraId="62049411">
            <w:pPr>
              <w:spacing w:line="240" w:lineRule="auto"/>
              <w:jc w:val="both"/>
              <w:rPr>
                <w:rFonts w:ascii="宋体" w:hAnsi="宋体" w:cs="宋体"/>
                <w:b/>
                <w:bCs/>
                <w:sz w:val="18"/>
                <w:szCs w:val="18"/>
              </w:rPr>
            </w:pPr>
            <w:r>
              <w:rPr>
                <w:rFonts w:hint="eastAsia" w:ascii="宋体" w:hAnsi="宋体" w:cs="宋体"/>
                <w:b/>
                <w:bCs/>
                <w:sz w:val="18"/>
                <w:szCs w:val="18"/>
              </w:rPr>
              <w:t>3、服务要求</w:t>
            </w:r>
          </w:p>
          <w:p w14:paraId="050B30C6">
            <w:pPr>
              <w:spacing w:line="240" w:lineRule="auto"/>
              <w:ind w:firstLine="360" w:firstLineChars="200"/>
              <w:rPr>
                <w:rFonts w:ascii="宋体" w:hAnsi="宋体" w:cs="宋体"/>
                <w:sz w:val="18"/>
                <w:szCs w:val="18"/>
              </w:rPr>
            </w:pPr>
            <w:r>
              <w:rPr>
                <w:rFonts w:hint="eastAsia" w:ascii="宋体" w:hAnsi="宋体" w:cs="宋体"/>
                <w:sz w:val="18"/>
                <w:szCs w:val="18"/>
              </w:rPr>
              <w:t>3.1.供应商应依据国家密码法规、密码应用相关技术标准，采用科学的测评方法、流程和工作规范开展商用密码应用安全性评估工作。供应商应具备商用密码应用安全性技术测评实施、管理测评实施、系统整体评估能力。供应商为本项目配备能够依据测评结果做出专业判断以及出具测评报告的能力的测评人员，测评人员必须为通过国家密码管理部门（或其授权的机构）组织的考核（即商用密码应用安全性评估人员测评能力考核证书），遵守国家有关法律法规，按照相关标准，为用户提供安全、客观、公正的评估服务，保证评估的质量和效果。</w:t>
            </w:r>
          </w:p>
          <w:p w14:paraId="1FE41CE6">
            <w:pPr>
              <w:spacing w:line="240" w:lineRule="auto"/>
              <w:ind w:firstLine="360" w:firstLineChars="200"/>
              <w:rPr>
                <w:rFonts w:ascii="宋体" w:hAnsi="宋体" w:cs="宋体"/>
                <w:sz w:val="18"/>
                <w:szCs w:val="18"/>
              </w:rPr>
            </w:pPr>
            <w:r>
              <w:rPr>
                <w:rFonts w:hint="eastAsia" w:ascii="宋体" w:hAnsi="宋体" w:cs="宋体"/>
                <w:sz w:val="18"/>
                <w:szCs w:val="18"/>
              </w:rPr>
              <w:t>3.2.供应商</w:t>
            </w:r>
            <w:r>
              <w:rPr>
                <w:rFonts w:hint="eastAsia" w:ascii="宋体" w:hAnsi="宋体" w:cs="宋体"/>
                <w:sz w:val="18"/>
                <w:szCs w:val="18"/>
                <w:lang w:val="en-US" w:eastAsia="zh-CN"/>
              </w:rPr>
              <w:t>须提供</w:t>
            </w:r>
            <w:r>
              <w:rPr>
                <w:rFonts w:hint="eastAsia" w:ascii="宋体" w:hAnsi="宋体" w:cs="宋体"/>
                <w:sz w:val="18"/>
                <w:szCs w:val="18"/>
              </w:rPr>
              <w:t>测评方案，有计划、按步骤地开展测评工作，且测评方案应专业性强，对系统现状及需求理解应准确，方案应科学合理，内容应完整、可靠性强，实施方法和技术措施应可操作性和有效性强，在签订密评合同后供应商应立即成立密评工作小组，并严格按照合同履行密评责任。</w:t>
            </w:r>
          </w:p>
          <w:p w14:paraId="334E4638">
            <w:pPr>
              <w:spacing w:line="240" w:lineRule="auto"/>
              <w:ind w:firstLine="360" w:firstLineChars="200"/>
              <w:rPr>
                <w:rFonts w:ascii="宋体" w:hAnsi="宋体" w:cs="宋体"/>
                <w:sz w:val="18"/>
                <w:szCs w:val="18"/>
              </w:rPr>
            </w:pPr>
            <w:r>
              <w:rPr>
                <w:rFonts w:hint="eastAsia" w:ascii="宋体" w:hAnsi="宋体" w:cs="宋体"/>
                <w:sz w:val="18"/>
                <w:szCs w:val="18"/>
              </w:rPr>
              <w:t>3.3.为保障密评过程中可能涉及的重要数据和敏感信息的安全，供应商应配有相关能力支撑的保密办公区，并具备安全保密管理制度与数据安全能力，采取的安全管理措施应得当，且能够很好保障本项目测评数据的安全，明确对采购人的系统、信息、数据有安全保密的义务，进场测评前必须签订保密协议。</w:t>
            </w:r>
          </w:p>
          <w:p w14:paraId="719F8084">
            <w:pPr>
              <w:spacing w:line="240" w:lineRule="auto"/>
              <w:ind w:firstLine="360" w:firstLineChars="200"/>
              <w:rPr>
                <w:rFonts w:ascii="宋体" w:hAnsi="宋体" w:cs="宋体"/>
                <w:sz w:val="18"/>
                <w:szCs w:val="18"/>
              </w:rPr>
            </w:pPr>
            <w:r>
              <w:rPr>
                <w:rFonts w:hint="eastAsia" w:ascii="宋体" w:hAnsi="宋体" w:cs="宋体"/>
                <w:sz w:val="18"/>
                <w:szCs w:val="18"/>
              </w:rPr>
              <w:t>3.4.供应商在现场测评工作中必须在不影响采购人信息系统正常运行的前提下进行。</w:t>
            </w:r>
          </w:p>
          <w:p w14:paraId="16B7CF7E">
            <w:pPr>
              <w:spacing w:line="240" w:lineRule="auto"/>
              <w:ind w:firstLine="360" w:firstLineChars="200"/>
              <w:rPr>
                <w:rFonts w:ascii="宋体" w:hAnsi="宋体" w:cs="宋体"/>
                <w:sz w:val="18"/>
                <w:szCs w:val="18"/>
              </w:rPr>
            </w:pPr>
            <w:r>
              <w:rPr>
                <w:rFonts w:hint="eastAsia" w:ascii="宋体" w:hAnsi="宋体" w:cs="宋体"/>
                <w:sz w:val="18"/>
                <w:szCs w:val="18"/>
              </w:rPr>
              <w:t>3.5.供应商应遵守相应的密评工作制度，包括会议制度、密评文件制度、密评记录制度、工作报告制度等，保证密评工作协调有序的进行。</w:t>
            </w:r>
          </w:p>
          <w:p w14:paraId="2FBFD809">
            <w:pPr>
              <w:spacing w:line="240" w:lineRule="auto"/>
              <w:ind w:firstLine="360" w:firstLineChars="200"/>
              <w:rPr>
                <w:rFonts w:ascii="宋体" w:hAnsi="宋体" w:cs="宋体"/>
                <w:sz w:val="18"/>
                <w:szCs w:val="18"/>
              </w:rPr>
            </w:pPr>
            <w:r>
              <w:rPr>
                <w:rFonts w:hint="eastAsia" w:ascii="宋体" w:hAnsi="宋体" w:cs="宋体"/>
                <w:sz w:val="18"/>
                <w:szCs w:val="18"/>
              </w:rPr>
              <w:t>3.6.供应商应根据被测系统的具体情况，按合同约定，配备满足密评工作需要的人员、设备和工具。为保障密评实施与合同约定服务周期内的服务响应，供应商应具备一定的测评工具开发能力以及在测评服务地进行系统环境模拟实验能力。</w:t>
            </w:r>
          </w:p>
          <w:p w14:paraId="0E283C28">
            <w:pPr>
              <w:spacing w:line="240" w:lineRule="auto"/>
              <w:ind w:firstLine="360" w:firstLineChars="200"/>
              <w:rPr>
                <w:rFonts w:ascii="宋体" w:hAnsi="宋体" w:cs="宋体"/>
                <w:sz w:val="18"/>
                <w:szCs w:val="18"/>
              </w:rPr>
            </w:pPr>
            <w:r>
              <w:rPr>
                <w:rFonts w:hint="eastAsia" w:ascii="宋体" w:hAnsi="宋体" w:cs="宋体"/>
                <w:sz w:val="18"/>
                <w:szCs w:val="18"/>
              </w:rPr>
              <w:t>3.7.供应商</w:t>
            </w:r>
            <w:r>
              <w:rPr>
                <w:rFonts w:hint="eastAsia" w:ascii="宋体" w:hAnsi="宋体" w:cs="宋体"/>
                <w:sz w:val="18"/>
                <w:szCs w:val="18"/>
                <w:lang w:val="en-US" w:eastAsia="zh-CN"/>
              </w:rPr>
              <w:t>须</w:t>
            </w:r>
            <w:r>
              <w:rPr>
                <w:rFonts w:hint="eastAsia" w:ascii="宋体" w:hAnsi="宋体" w:cs="宋体"/>
                <w:sz w:val="18"/>
                <w:szCs w:val="18"/>
              </w:rPr>
              <w:t>具有快速应急响应服务团队，以保证在整个项目过程中不影响委托单位信息系统的正常运行。</w:t>
            </w:r>
          </w:p>
          <w:p w14:paraId="1BACE3BE">
            <w:pPr>
              <w:spacing w:line="240" w:lineRule="auto"/>
              <w:ind w:firstLine="360" w:firstLineChars="200"/>
              <w:rPr>
                <w:rFonts w:ascii="宋体" w:hAnsi="宋体" w:cs="宋体"/>
                <w:sz w:val="18"/>
                <w:szCs w:val="18"/>
              </w:rPr>
            </w:pPr>
            <w:r>
              <w:rPr>
                <w:rFonts w:hint="eastAsia" w:ascii="宋体" w:hAnsi="宋体" w:cs="宋体"/>
                <w:sz w:val="18"/>
                <w:szCs w:val="18"/>
              </w:rPr>
              <w:t>3.8.供应商</w:t>
            </w:r>
            <w:r>
              <w:rPr>
                <w:rFonts w:hint="eastAsia" w:ascii="宋体" w:hAnsi="宋体" w:cs="宋体"/>
                <w:sz w:val="18"/>
                <w:szCs w:val="18"/>
                <w:lang w:val="en-US" w:eastAsia="zh-CN"/>
              </w:rPr>
              <w:t>须</w:t>
            </w:r>
            <w:r>
              <w:rPr>
                <w:rFonts w:hint="eastAsia" w:ascii="宋体" w:hAnsi="宋体" w:cs="宋体"/>
                <w:sz w:val="18"/>
                <w:szCs w:val="18"/>
              </w:rPr>
              <w:t>具有质量控制的能力和质量管理体系，以保证测评工作的客观、公正、安全。供应商针对本项目测评过程中的质量管理方案内项目质量管理应完备，项目质量保障措施应科学、可行、完善，项目管理与风险应控制合理。</w:t>
            </w:r>
          </w:p>
          <w:p w14:paraId="688F5B64">
            <w:pPr>
              <w:spacing w:line="240" w:lineRule="auto"/>
              <w:ind w:firstLine="360" w:firstLineChars="200"/>
              <w:rPr>
                <w:rFonts w:ascii="宋体" w:hAnsi="宋体" w:cs="宋体"/>
                <w:sz w:val="18"/>
                <w:szCs w:val="18"/>
              </w:rPr>
            </w:pPr>
            <w:r>
              <w:rPr>
                <w:rFonts w:hint="eastAsia" w:ascii="宋体" w:hAnsi="宋体" w:cs="宋体"/>
                <w:sz w:val="18"/>
                <w:szCs w:val="18"/>
              </w:rPr>
              <w:t>3.9.供应商</w:t>
            </w:r>
            <w:r>
              <w:rPr>
                <w:rFonts w:hint="eastAsia" w:ascii="宋体" w:hAnsi="宋体" w:cs="宋体"/>
                <w:sz w:val="18"/>
                <w:szCs w:val="18"/>
                <w:lang w:val="en-US" w:eastAsia="zh-CN"/>
              </w:rPr>
              <w:t>须</w:t>
            </w:r>
            <w:r>
              <w:rPr>
                <w:rFonts w:hint="eastAsia" w:ascii="宋体" w:hAnsi="宋体" w:cs="宋体"/>
                <w:sz w:val="18"/>
                <w:szCs w:val="18"/>
              </w:rPr>
              <w:t>配备密评网络抓包、密码算法、协议分析工具、随机数检测工具以及常用密码设备，且应具有模拟以及验证被测评系统密码应用方案的能力。</w:t>
            </w:r>
          </w:p>
          <w:p w14:paraId="400DC02A">
            <w:pPr>
              <w:spacing w:line="240" w:lineRule="auto"/>
              <w:ind w:firstLine="360" w:firstLineChars="200"/>
              <w:rPr>
                <w:rFonts w:ascii="宋体" w:hAnsi="宋体" w:cs="宋体"/>
                <w:sz w:val="18"/>
                <w:szCs w:val="18"/>
              </w:rPr>
            </w:pPr>
            <w:r>
              <w:rPr>
                <w:rFonts w:hint="eastAsia" w:ascii="宋体" w:hAnsi="宋体" w:cs="宋体"/>
                <w:sz w:val="18"/>
                <w:szCs w:val="18"/>
              </w:rPr>
              <w:t>3.10.供应商完成商用密码应用安全性评估工作后，应协助用户在30日内将评估结果报国家密码管理部门备案。</w:t>
            </w:r>
          </w:p>
          <w:p w14:paraId="59D06121">
            <w:pPr>
              <w:spacing w:line="240" w:lineRule="auto"/>
              <w:ind w:firstLine="360" w:firstLineChars="200"/>
              <w:rPr>
                <w:rFonts w:ascii="宋体" w:hAnsi="宋体" w:cs="宋体"/>
                <w:sz w:val="18"/>
                <w:szCs w:val="18"/>
              </w:rPr>
            </w:pPr>
            <w:r>
              <w:rPr>
                <w:rFonts w:hint="eastAsia" w:ascii="宋体" w:hAnsi="宋体" w:cs="宋体"/>
                <w:sz w:val="18"/>
                <w:szCs w:val="18"/>
              </w:rPr>
              <w:t>3.11.供应商在验收时应提交密码安全测评工作的档案。</w:t>
            </w:r>
          </w:p>
          <w:p w14:paraId="157BF220">
            <w:pPr>
              <w:spacing w:line="240" w:lineRule="auto"/>
              <w:jc w:val="both"/>
              <w:rPr>
                <w:rFonts w:ascii="宋体" w:hAnsi="宋体" w:cs="宋体"/>
                <w:b/>
                <w:bCs/>
                <w:sz w:val="18"/>
                <w:szCs w:val="18"/>
              </w:rPr>
            </w:pPr>
            <w:r>
              <w:rPr>
                <w:rFonts w:hint="eastAsia" w:ascii="宋体" w:hAnsi="宋体" w:cs="宋体"/>
                <w:b/>
                <w:bCs/>
                <w:sz w:val="18"/>
                <w:szCs w:val="18"/>
              </w:rPr>
              <w:t>4、商用密码评估资质要求</w:t>
            </w:r>
          </w:p>
          <w:p w14:paraId="1488789F">
            <w:pPr>
              <w:spacing w:line="240" w:lineRule="auto"/>
              <w:ind w:firstLine="360" w:firstLineChars="200"/>
              <w:rPr>
                <w:rFonts w:hint="eastAsia" w:ascii="宋体" w:hAnsi="宋体" w:cs="宋体"/>
                <w:sz w:val="18"/>
                <w:szCs w:val="18"/>
              </w:rPr>
            </w:pPr>
            <w:r>
              <w:rPr>
                <w:rFonts w:hint="eastAsia" w:ascii="宋体" w:hAnsi="宋体" w:cs="宋体"/>
                <w:sz w:val="18"/>
                <w:szCs w:val="18"/>
              </w:rPr>
              <w:t xml:space="preserve">4.1. </w:t>
            </w:r>
            <w:r>
              <w:rPr>
                <w:rFonts w:hint="eastAsia" w:ascii="宋体" w:hAnsi="宋体" w:cs="宋体"/>
                <w:sz w:val="18"/>
                <w:szCs w:val="18"/>
                <w:lang w:val="en-US" w:eastAsia="zh-CN"/>
              </w:rPr>
              <w:t>测评机构</w:t>
            </w:r>
            <w:r>
              <w:rPr>
                <w:rFonts w:hint="eastAsia" w:ascii="宋体" w:hAnsi="宋体" w:cs="宋体"/>
                <w:sz w:val="18"/>
                <w:szCs w:val="18"/>
              </w:rPr>
              <w:t>必须在国家密码管理局公告（第42号）的商用密码应用安全性评估试点机构目录中或提供国家密码管理局《国密局字[2021]183号通知》中审批通过的“可在本地区、本行业（领域）开展密码应用安全性评估业资质的密评机构名单”的相关证明材料。提供证书或证明复印件并加盖公章。</w:t>
            </w:r>
          </w:p>
          <w:p w14:paraId="78821A7A">
            <w:pPr>
              <w:spacing w:line="240" w:lineRule="auto"/>
              <w:ind w:firstLine="360" w:firstLineChars="200"/>
              <w:rPr>
                <w:rFonts w:hint="eastAsia" w:ascii="宋体" w:hAnsi="宋体" w:cs="宋体"/>
                <w:sz w:val="18"/>
                <w:szCs w:val="18"/>
              </w:rPr>
            </w:pPr>
            <w:r>
              <w:rPr>
                <w:rFonts w:hint="eastAsia" w:ascii="宋体" w:hAnsi="宋体" w:cs="宋体"/>
                <w:sz w:val="18"/>
                <w:szCs w:val="18"/>
              </w:rPr>
              <w:t>4.2项目组成员应具备合格的商用密码应用安全性评估人员测评能力考核证书至少2人。全程协助招标方在网络和信息系统安全方面工作，在本项目进行期间，未经采购人同意，测评过程中不得离场，且中途不得更换人员，也不得将检测任务分包或转包。</w:t>
            </w:r>
          </w:p>
        </w:tc>
        <w:tc>
          <w:tcPr>
            <w:tcW w:w="851" w:type="dxa"/>
            <w:shd w:val="clear" w:color="auto" w:fill="auto"/>
            <w:vAlign w:val="center"/>
          </w:tcPr>
          <w:p w14:paraId="65695A2A">
            <w:pPr>
              <w:spacing w:line="330" w:lineRule="exact"/>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850" w:type="dxa"/>
            <w:shd w:val="clear" w:color="auto" w:fill="auto"/>
            <w:vAlign w:val="center"/>
          </w:tcPr>
          <w:p w14:paraId="62C54A05">
            <w:pPr>
              <w:spacing w:line="330" w:lineRule="exact"/>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项</w:t>
            </w:r>
          </w:p>
        </w:tc>
      </w:tr>
    </w:tbl>
    <w:p w14:paraId="1A90946D">
      <w:pPr>
        <w:numPr>
          <w:ilvl w:val="0"/>
          <w:numId w:val="0"/>
        </w:numPr>
        <w:spacing w:line="360" w:lineRule="exact"/>
        <w:ind w:firstLine="0" w:firstLineChars="0"/>
        <w:rPr>
          <w:rFonts w:hint="eastAsia" w:ascii="宋体" w:hAnsi="宋体" w:eastAsia="宋体" w:cs="Times New Roman"/>
          <w:b/>
          <w:kern w:val="2"/>
          <w:sz w:val="24"/>
          <w:szCs w:val="24"/>
          <w:lang w:val="en-US" w:eastAsia="zh-CN" w:bidi="ar-SA"/>
        </w:rPr>
      </w:pPr>
    </w:p>
    <w:p w14:paraId="55E7B032">
      <w:pPr>
        <w:numPr>
          <w:ilvl w:val="0"/>
          <w:numId w:val="0"/>
        </w:numPr>
        <w:spacing w:line="360" w:lineRule="exact"/>
        <w:ind w:firstLine="0" w:firstLineChars="0"/>
        <w:rPr>
          <w:rFonts w:hint="eastAsia" w:ascii="宋体" w:hAnsi="宋体"/>
          <w:b/>
          <w:sz w:val="24"/>
        </w:rPr>
      </w:pPr>
      <w:r>
        <w:rPr>
          <w:rFonts w:hint="eastAsia" w:ascii="宋体" w:hAnsi="宋体" w:eastAsia="宋体" w:cs="Times New Roman"/>
          <w:b/>
          <w:kern w:val="2"/>
          <w:sz w:val="24"/>
          <w:szCs w:val="24"/>
          <w:lang w:val="en-US" w:eastAsia="zh-CN" w:bidi="ar-SA"/>
        </w:rPr>
        <w:t>（二）</w:t>
      </w:r>
      <w:r>
        <w:rPr>
          <w:rFonts w:hint="eastAsia" w:ascii="宋体" w:hAnsi="宋体"/>
          <w:b/>
          <w:sz w:val="24"/>
        </w:rPr>
        <w:t>商务要求</w:t>
      </w:r>
    </w:p>
    <w:tbl>
      <w:tblPr>
        <w:tblStyle w:val="10"/>
        <w:tblpPr w:leftFromText="180" w:rightFromText="180" w:vertAnchor="text" w:horzAnchor="page" w:tblpX="1293" w:tblpY="352"/>
        <w:tblOverlap w:val="never"/>
        <w:tblW w:w="9580" w:type="dxa"/>
        <w:jc w:val="center"/>
        <w:tblLayout w:type="autofit"/>
        <w:tblCellMar>
          <w:top w:w="0" w:type="dxa"/>
          <w:left w:w="108" w:type="dxa"/>
          <w:bottom w:w="0" w:type="dxa"/>
          <w:right w:w="108" w:type="dxa"/>
        </w:tblCellMar>
      </w:tblPr>
      <w:tblGrid>
        <w:gridCol w:w="2372"/>
        <w:gridCol w:w="7208"/>
      </w:tblGrid>
      <w:tr w14:paraId="15AA3E54">
        <w:tblPrEx>
          <w:tblCellMar>
            <w:top w:w="0" w:type="dxa"/>
            <w:left w:w="108" w:type="dxa"/>
            <w:bottom w:w="0" w:type="dxa"/>
            <w:right w:w="108" w:type="dxa"/>
          </w:tblCellMar>
        </w:tblPrEx>
        <w:trPr>
          <w:trHeight w:val="90" w:hRule="atLeast"/>
          <w:jc w:val="center"/>
        </w:trPr>
        <w:tc>
          <w:tcPr>
            <w:tcW w:w="2372" w:type="dxa"/>
            <w:tcBorders>
              <w:top w:val="single" w:color="auto" w:sz="4" w:space="0"/>
              <w:left w:val="single" w:color="auto" w:sz="4" w:space="0"/>
              <w:bottom w:val="single" w:color="auto" w:sz="4" w:space="0"/>
              <w:right w:val="single" w:color="auto" w:sz="4" w:space="0"/>
            </w:tcBorders>
            <w:vAlign w:val="center"/>
          </w:tcPr>
          <w:p w14:paraId="43947FA3">
            <w:pPr>
              <w:adjustRightInd w:val="0"/>
              <w:snapToGrid w:val="0"/>
              <w:spacing w:line="300" w:lineRule="exact"/>
              <w:jc w:val="center"/>
              <w:rPr>
                <w:rFonts w:hint="eastAsia" w:ascii="宋体" w:hAnsi="宋体" w:eastAsia="宋体" w:cs="宋体"/>
                <w:b w:val="0"/>
                <w:bCs/>
                <w:spacing w:val="-2"/>
                <w:sz w:val="21"/>
                <w:szCs w:val="21"/>
              </w:rPr>
            </w:pPr>
            <w:r>
              <w:rPr>
                <w:rFonts w:hint="eastAsia" w:ascii="宋体" w:hAnsi="宋体" w:eastAsia="宋体" w:cs="宋体"/>
                <w:b/>
                <w:bCs/>
                <w:sz w:val="21"/>
                <w:szCs w:val="21"/>
              </w:rPr>
              <w:t>供应商资质</w:t>
            </w:r>
          </w:p>
        </w:tc>
        <w:tc>
          <w:tcPr>
            <w:tcW w:w="7208" w:type="dxa"/>
            <w:tcBorders>
              <w:top w:val="single" w:color="auto" w:sz="4" w:space="0"/>
              <w:left w:val="single" w:color="auto" w:sz="4" w:space="0"/>
              <w:bottom w:val="single" w:color="auto" w:sz="4" w:space="0"/>
              <w:right w:val="single" w:color="auto" w:sz="4" w:space="0"/>
            </w:tcBorders>
            <w:vAlign w:val="center"/>
          </w:tcPr>
          <w:p w14:paraId="2B2B0AA9">
            <w:pPr>
              <w:widowControl/>
              <w:spacing w:line="400" w:lineRule="exact"/>
              <w:jc w:val="left"/>
              <w:rPr>
                <w:rFonts w:hint="eastAsia" w:ascii="宋体" w:hAnsi="宋体"/>
                <w:sz w:val="18"/>
                <w:szCs w:val="18"/>
              </w:rPr>
            </w:pPr>
            <w:r>
              <w:rPr>
                <w:rFonts w:hint="eastAsia" w:ascii="宋体" w:hAnsi="宋体"/>
                <w:sz w:val="18"/>
                <w:szCs w:val="18"/>
              </w:rPr>
              <w:t>1.国内注册【依法在市场监督管理部门(或行政审批部门)登记注册】的，具备合法资格的供应商。</w:t>
            </w:r>
          </w:p>
          <w:p w14:paraId="2EFB231D">
            <w:pPr>
              <w:widowControl/>
              <w:spacing w:line="400" w:lineRule="exact"/>
              <w:jc w:val="left"/>
              <w:rPr>
                <w:rFonts w:hint="eastAsia" w:ascii="宋体" w:hAnsi="宋体" w:eastAsia="宋体"/>
                <w:sz w:val="18"/>
                <w:szCs w:val="18"/>
                <w:lang w:val="en-US" w:eastAsia="zh-CN"/>
              </w:rPr>
            </w:pPr>
            <w:r>
              <w:rPr>
                <w:rFonts w:hint="eastAsia" w:ascii="宋体" w:hAnsi="宋体"/>
                <w:sz w:val="18"/>
                <w:szCs w:val="18"/>
              </w:rPr>
              <w:t>2.本项目不接受在“信用中国”网站(www.creditchina.gov.cn)、中国政府采购网(www.ccgp.gov.cn)被列入失信被执行人、重大税收违法失信主体、严重违法失信行为记录名单的供应商参与报</w:t>
            </w:r>
            <w:r>
              <w:rPr>
                <w:rFonts w:hint="eastAsia" w:ascii="宋体" w:hAnsi="宋体"/>
                <w:sz w:val="18"/>
                <w:szCs w:val="18"/>
                <w:lang w:val="en-US" w:eastAsia="zh-CN"/>
              </w:rPr>
              <w:t>价。</w:t>
            </w:r>
          </w:p>
          <w:p w14:paraId="3FC316BE">
            <w:pPr>
              <w:widowControl/>
              <w:spacing w:line="400" w:lineRule="exact"/>
              <w:jc w:val="left"/>
              <w:rPr>
                <w:rFonts w:hint="eastAsia" w:ascii="宋体" w:hAnsi="宋体"/>
                <w:sz w:val="18"/>
                <w:szCs w:val="18"/>
              </w:rPr>
            </w:pPr>
            <w:r>
              <w:rPr>
                <w:rFonts w:hint="eastAsia" w:ascii="宋体" w:hAnsi="宋体"/>
                <w:sz w:val="18"/>
                <w:szCs w:val="18"/>
              </w:rPr>
              <w:t>3.参加投标采购活动前三年内，在经营活动中没有重大违法记录:如因违法经营受到刑事处罚或者责令停产停业、吊销许可证或者执照、较大数额罚款等行政处罚，或者存在财政部门认定的其他重大违法记录，以及在财政部门禁止参加政府采购活动期限以内的供应商不得参加本项目的投标。</w:t>
            </w:r>
          </w:p>
          <w:p w14:paraId="6161A9CD">
            <w:pPr>
              <w:widowControl/>
              <w:spacing w:line="400" w:lineRule="exact"/>
              <w:jc w:val="left"/>
              <w:rPr>
                <w:rFonts w:hint="eastAsia"/>
                <w:lang w:val="en-US" w:eastAsia="zh-CN"/>
              </w:rPr>
            </w:pPr>
            <w:r>
              <w:rPr>
                <w:rFonts w:hint="eastAsia" w:ascii="宋体" w:hAnsi="宋体"/>
                <w:sz w:val="18"/>
                <w:szCs w:val="18"/>
              </w:rPr>
              <w:t>4.本项目</w:t>
            </w:r>
            <w:r>
              <w:rPr>
                <w:rFonts w:hint="eastAsia" w:ascii="宋体" w:hAnsi="宋体"/>
                <w:sz w:val="18"/>
                <w:szCs w:val="18"/>
                <w:lang w:val="en-US" w:eastAsia="zh-CN"/>
              </w:rPr>
              <w:t>不</w:t>
            </w:r>
            <w:r>
              <w:rPr>
                <w:rFonts w:hint="eastAsia" w:ascii="宋体" w:hAnsi="宋体"/>
                <w:sz w:val="18"/>
                <w:szCs w:val="18"/>
              </w:rPr>
              <w:t>接受联合体参与报价。</w:t>
            </w:r>
          </w:p>
        </w:tc>
      </w:tr>
      <w:tr w14:paraId="0B6C988A">
        <w:tblPrEx>
          <w:tblCellMar>
            <w:top w:w="0" w:type="dxa"/>
            <w:left w:w="108" w:type="dxa"/>
            <w:bottom w:w="0" w:type="dxa"/>
            <w:right w:w="108" w:type="dxa"/>
          </w:tblCellMar>
        </w:tblPrEx>
        <w:trPr>
          <w:trHeight w:val="402"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4D5FEE6C">
            <w:pPr>
              <w:adjustRightInd w:val="0"/>
              <w:snapToGrid w:val="0"/>
              <w:spacing w:line="300" w:lineRule="exact"/>
              <w:jc w:val="center"/>
              <w:rPr>
                <w:rFonts w:hint="eastAsia" w:ascii="宋体" w:hAnsi="宋体" w:eastAsia="宋体" w:cs="宋体"/>
                <w:b w:val="0"/>
                <w:bCs/>
                <w:spacing w:val="-2"/>
                <w:kern w:val="2"/>
                <w:sz w:val="21"/>
                <w:szCs w:val="21"/>
                <w:lang w:val="en-US" w:eastAsia="zh-CN" w:bidi="ar-SA"/>
              </w:rPr>
            </w:pPr>
            <w:r>
              <w:rPr>
                <w:rFonts w:hint="eastAsia" w:ascii="宋体" w:hAnsi="宋体" w:eastAsia="宋体" w:cs="宋体"/>
                <w:b/>
                <w:bCs/>
                <w:sz w:val="21"/>
                <w:szCs w:val="21"/>
              </w:rPr>
              <w:t>售后服务要求</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049ACC5E">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1.按国家有关产品“三包”规定执行“三包”，提供≥1年安全咨询服务。</w:t>
            </w:r>
          </w:p>
          <w:p w14:paraId="7B7557A6">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2.免费送货上门、提供免费技术培训（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p w14:paraId="33FA3E0E">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3.本项目相关人员须依据资质要求内容提供相关证明材料。</w:t>
            </w:r>
          </w:p>
        </w:tc>
      </w:tr>
      <w:tr w14:paraId="61400CA1">
        <w:tblPrEx>
          <w:tblCellMar>
            <w:top w:w="0" w:type="dxa"/>
            <w:left w:w="108" w:type="dxa"/>
            <w:bottom w:w="0" w:type="dxa"/>
            <w:right w:w="108" w:type="dxa"/>
          </w:tblCellMar>
        </w:tblPrEx>
        <w:trPr>
          <w:trHeight w:val="9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2F49A8F1">
            <w:pPr>
              <w:adjustRightInd w:val="0"/>
              <w:snapToGrid w:val="0"/>
              <w:spacing w:line="300" w:lineRule="exact"/>
              <w:jc w:val="center"/>
              <w:rPr>
                <w:rFonts w:hint="eastAsia" w:ascii="宋体" w:hAnsi="宋体" w:eastAsia="宋体" w:cs="宋体"/>
                <w:b w:val="0"/>
                <w:bCs/>
                <w:color w:val="auto"/>
                <w:spacing w:val="-2"/>
                <w:kern w:val="2"/>
                <w:sz w:val="21"/>
                <w:szCs w:val="21"/>
                <w:lang w:val="en-US" w:eastAsia="zh-CN" w:bidi="ar-SA"/>
              </w:rPr>
            </w:pPr>
            <w:r>
              <w:rPr>
                <w:rFonts w:hint="eastAsia" w:ascii="宋体" w:hAnsi="宋体" w:eastAsia="宋体" w:cs="宋体"/>
                <w:b/>
                <w:bCs/>
                <w:sz w:val="21"/>
                <w:szCs w:val="21"/>
              </w:rPr>
              <w:t>交付期及地点</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01F5612F">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1.交付期：自签订合同之日起60个工作日内验收合格并交付采购人使用。</w:t>
            </w:r>
          </w:p>
          <w:p w14:paraId="4D85F021">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2.交付地点：招标人指定地点。</w:t>
            </w:r>
          </w:p>
        </w:tc>
      </w:tr>
      <w:tr w14:paraId="1D794ED1">
        <w:tblPrEx>
          <w:tblCellMar>
            <w:top w:w="0" w:type="dxa"/>
            <w:left w:w="108" w:type="dxa"/>
            <w:bottom w:w="0" w:type="dxa"/>
            <w:right w:w="108" w:type="dxa"/>
          </w:tblCellMar>
        </w:tblPrEx>
        <w:trPr>
          <w:trHeight w:val="9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60BC24F5">
            <w:pPr>
              <w:adjustRightInd w:val="0"/>
              <w:snapToGrid w:val="0"/>
              <w:spacing w:line="300" w:lineRule="exact"/>
              <w:jc w:val="center"/>
              <w:rPr>
                <w:rFonts w:hint="eastAsia" w:ascii="宋体" w:hAnsi="宋体" w:eastAsia="宋体" w:cs="宋体"/>
                <w:b w:val="0"/>
                <w:bCs/>
                <w:color w:val="auto"/>
                <w:spacing w:val="-2"/>
                <w:kern w:val="2"/>
                <w:sz w:val="21"/>
                <w:szCs w:val="21"/>
                <w:lang w:val="en-US" w:eastAsia="zh-CN" w:bidi="ar-SA"/>
              </w:rPr>
            </w:pPr>
            <w:r>
              <w:rPr>
                <w:rFonts w:hint="eastAsia" w:ascii="宋体" w:hAnsi="宋体" w:eastAsia="宋体" w:cs="宋体"/>
                <w:b/>
                <w:bCs/>
                <w:sz w:val="21"/>
                <w:szCs w:val="21"/>
              </w:rPr>
              <w:t>付款方式</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05475FAE">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付款方式：合同签订后，自双方验收合格（中标人向甲采购人出具测评报告）且收到中标人开具的正规等额、有效发票之日起30个工作日后支付合同价款的95%，合同价款的5%作为履约保证金，质保期满30个工作日后付清（无息）。</w:t>
            </w:r>
          </w:p>
        </w:tc>
      </w:tr>
      <w:tr w14:paraId="391CEDB6">
        <w:tblPrEx>
          <w:tblCellMar>
            <w:top w:w="0" w:type="dxa"/>
            <w:left w:w="108" w:type="dxa"/>
            <w:bottom w:w="0" w:type="dxa"/>
            <w:right w:w="108" w:type="dxa"/>
          </w:tblCellMar>
        </w:tblPrEx>
        <w:trPr>
          <w:trHeight w:val="126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36CDF28C">
            <w:pPr>
              <w:adjustRightInd w:val="0"/>
              <w:snapToGrid w:val="0"/>
              <w:spacing w:line="300" w:lineRule="exact"/>
              <w:jc w:val="center"/>
              <w:rPr>
                <w:rFonts w:hint="eastAsia" w:ascii="宋体" w:hAnsi="宋体" w:eastAsia="宋体" w:cs="宋体"/>
                <w:b w:val="0"/>
                <w:bCs/>
                <w:color w:val="auto"/>
                <w:spacing w:val="-2"/>
                <w:kern w:val="2"/>
                <w:sz w:val="21"/>
                <w:szCs w:val="21"/>
                <w:lang w:val="en-US" w:eastAsia="zh-CN" w:bidi="ar-SA"/>
              </w:rPr>
            </w:pPr>
            <w:r>
              <w:rPr>
                <w:rFonts w:hint="eastAsia" w:ascii="宋体" w:hAnsi="宋体" w:eastAsia="宋体" w:cs="宋体"/>
                <w:b/>
                <w:bCs/>
                <w:sz w:val="21"/>
                <w:szCs w:val="21"/>
              </w:rPr>
              <w:t>验收标准</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06F11294">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1.投标人提供的产品必须符合国家强制执行的相关质量标准要求以及产品制造厂家合格产品的出厂质量标准。</w:t>
            </w:r>
          </w:p>
          <w:p w14:paraId="605F8F4A">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2.产品到货交付后，采购人将根据招标文件要求及投标文件承诺逐条对应进行核验，必要时，采购人有权邀请国家质量监督检验部门或国家认可的检测机构参与共同验收。如产品不满足招标文件要求、投标文件承诺或国家强制执行的相关质量标准要求以及产品制造厂家合格产品的出厂质量标准，采购人有权不予验收，由此造成采购人的经济损失由中标人承担全部赔偿责任，验收时所产生的一切费用由中标人承担。</w:t>
            </w:r>
          </w:p>
          <w:p w14:paraId="3D1AB569">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3.项目完成系统建设内容，经稳定运行一周以上可提出验收，中标人按医院信息化项目管理制度要求提供有关材料，由采购人组织现场验收。</w:t>
            </w:r>
          </w:p>
          <w:p w14:paraId="6BC171D7">
            <w:pPr>
              <w:widowControl/>
              <w:spacing w:line="400" w:lineRule="exact"/>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4.验收其他要求按合同条款执行。</w:t>
            </w:r>
          </w:p>
        </w:tc>
      </w:tr>
      <w:tr w14:paraId="259FFBCB">
        <w:tblPrEx>
          <w:tblCellMar>
            <w:top w:w="0" w:type="dxa"/>
            <w:left w:w="108" w:type="dxa"/>
            <w:bottom w:w="0" w:type="dxa"/>
            <w:right w:w="108" w:type="dxa"/>
          </w:tblCellMar>
        </w:tblPrEx>
        <w:trPr>
          <w:trHeight w:val="126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1601B476">
            <w:pPr>
              <w:adjustRightInd w:val="0"/>
              <w:snapToGrid w:val="0"/>
              <w:spacing w:line="300" w:lineRule="exact"/>
              <w:jc w:val="center"/>
              <w:rPr>
                <w:rFonts w:hint="eastAsia" w:ascii="宋体" w:hAnsi="宋体" w:eastAsia="宋体" w:cs="宋体"/>
                <w:b w:val="0"/>
                <w:bCs/>
                <w:spacing w:val="-2"/>
                <w:kern w:val="2"/>
                <w:sz w:val="21"/>
                <w:szCs w:val="21"/>
                <w:highlight w:val="none"/>
                <w:lang w:val="zh-CN" w:eastAsia="zh-CN" w:bidi="ar-SA"/>
              </w:rPr>
            </w:pPr>
            <w:r>
              <w:rPr>
                <w:rFonts w:hint="eastAsia" w:ascii="宋体" w:hAnsi="宋体" w:eastAsia="宋体" w:cs="宋体"/>
                <w:b/>
                <w:bCs/>
                <w:sz w:val="21"/>
                <w:szCs w:val="21"/>
                <w:lang w:val="zh-CN"/>
              </w:rPr>
              <w:t>其他要求</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5D439B0C">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本项目所提供的软件必须具有合法的版权或使用权，如在本项目范围内使用过程中出现版权或使用权纠纷，应由供应商负责。</w:t>
            </w:r>
          </w:p>
          <w:p w14:paraId="05BB923B">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本项目不接受联合投标，不接受分包或转包。</w:t>
            </w:r>
          </w:p>
          <w:p w14:paraId="4F88C8FE">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3.</w:t>
            </w:r>
            <w:r>
              <w:rPr>
                <w:rFonts w:hint="eastAsia" w:ascii="宋体" w:hAnsi="宋体" w:eastAsia="宋体" w:cs="Times New Roman"/>
                <w:sz w:val="18"/>
                <w:szCs w:val="18"/>
              </w:rPr>
              <w:t>以上</w:t>
            </w:r>
            <w:r>
              <w:rPr>
                <w:rFonts w:hint="eastAsia" w:ascii="宋体" w:hAnsi="宋体" w:eastAsia="宋体" w:cs="Times New Roman"/>
                <w:sz w:val="18"/>
                <w:szCs w:val="18"/>
                <w:lang w:eastAsia="zh-CN"/>
              </w:rPr>
              <w:t>“</w:t>
            </w:r>
            <w:r>
              <w:rPr>
                <w:rFonts w:hint="eastAsia" w:ascii="宋体" w:hAnsi="宋体" w:eastAsia="宋体" w:cs="Times New Roman"/>
                <w:sz w:val="18"/>
                <w:szCs w:val="18"/>
                <w:lang w:val="en-US" w:eastAsia="zh-CN"/>
              </w:rPr>
              <w:t>采购需求”（含技术要求和商务要求）条款</w:t>
            </w:r>
            <w:r>
              <w:rPr>
                <w:rFonts w:hint="eastAsia" w:ascii="宋体" w:hAnsi="宋体" w:eastAsia="宋体" w:cs="Times New Roman"/>
                <w:sz w:val="18"/>
                <w:szCs w:val="18"/>
              </w:rPr>
              <w:t>为必须满足的实质性要求，如有1项负偏离的，投标无效。</w:t>
            </w:r>
          </w:p>
        </w:tc>
      </w:tr>
      <w:tr w14:paraId="4491C3A3">
        <w:tblPrEx>
          <w:tblCellMar>
            <w:top w:w="0" w:type="dxa"/>
            <w:left w:w="108" w:type="dxa"/>
            <w:bottom w:w="0" w:type="dxa"/>
            <w:right w:w="108" w:type="dxa"/>
          </w:tblCellMar>
        </w:tblPrEx>
        <w:trPr>
          <w:trHeight w:val="9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7D289981">
            <w:pPr>
              <w:adjustRightInd w:val="0"/>
              <w:snapToGrid w:val="0"/>
              <w:spacing w:line="300" w:lineRule="exact"/>
              <w:jc w:val="center"/>
              <w:rPr>
                <w:rFonts w:hint="eastAsia" w:ascii="宋体" w:hAnsi="宋体" w:eastAsia="宋体" w:cs="宋体"/>
                <w:b/>
                <w:bCs/>
                <w:sz w:val="21"/>
                <w:szCs w:val="21"/>
                <w:lang w:val="zh-CN"/>
              </w:rPr>
            </w:pPr>
            <w:r>
              <w:rPr>
                <w:rFonts w:hint="eastAsia" w:ascii="宋体" w:hAnsi="宋体" w:eastAsia="宋体" w:cs="宋体"/>
                <w:b/>
                <w:bCs/>
                <w:sz w:val="21"/>
                <w:szCs w:val="21"/>
                <w:lang w:val="en-US" w:eastAsia="zh-CN"/>
              </w:rPr>
              <w:t>最高限价</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1FCEC318">
            <w:pPr>
              <w:widowControl/>
              <w:spacing w:line="400" w:lineRule="exact"/>
              <w:jc w:val="left"/>
              <w:rPr>
                <w:rFonts w:hint="eastAsia" w:ascii="宋体" w:hAnsi="宋体" w:eastAsia="宋体" w:cs="Times New Roman"/>
                <w:sz w:val="18"/>
                <w:szCs w:val="18"/>
                <w:lang w:val="en-US" w:eastAsia="zh-CN"/>
              </w:rPr>
            </w:pPr>
            <w:r>
              <w:rPr>
                <w:rFonts w:hint="eastAsia" w:ascii="宋体" w:hAnsi="宋体"/>
                <w:sz w:val="18"/>
                <w:szCs w:val="18"/>
              </w:rPr>
              <w:t>本项目预算金额为人民币</w:t>
            </w:r>
            <w:r>
              <w:rPr>
                <w:rFonts w:hint="eastAsia" w:ascii="宋体" w:hAnsi="宋体"/>
                <w:color w:val="FF0000"/>
                <w:sz w:val="18"/>
                <w:szCs w:val="18"/>
                <w:lang w:val="en-US" w:eastAsia="zh-CN"/>
              </w:rPr>
              <w:t>壹拾伍万元整（¥150000.00）</w:t>
            </w:r>
            <w:r>
              <w:rPr>
                <w:rFonts w:hint="eastAsia" w:ascii="宋体" w:hAnsi="宋体"/>
                <w:sz w:val="18"/>
                <w:szCs w:val="18"/>
              </w:rPr>
              <w:t>，</w:t>
            </w:r>
            <w:r>
              <w:rPr>
                <w:rFonts w:hint="eastAsia" w:ascii="宋体" w:hAnsi="宋体"/>
                <w:sz w:val="18"/>
                <w:szCs w:val="18"/>
                <w:lang w:val="en-US" w:eastAsia="zh-CN"/>
              </w:rPr>
              <w:t>投标人</w:t>
            </w:r>
            <w:r>
              <w:rPr>
                <w:rFonts w:hint="eastAsia" w:ascii="宋体" w:hAnsi="宋体"/>
                <w:sz w:val="18"/>
                <w:szCs w:val="18"/>
              </w:rPr>
              <w:t>报价超出参考预算金额的，按无效处理。</w:t>
            </w:r>
          </w:p>
        </w:tc>
      </w:tr>
    </w:tbl>
    <w:p w14:paraId="2060D54B"/>
    <w:p w14:paraId="219FE979">
      <w:pPr>
        <w:numPr>
          <w:ilvl w:val="0"/>
          <w:numId w:val="0"/>
        </w:numPr>
        <w:jc w:val="left"/>
        <w:rPr>
          <w:rFonts w:hint="eastAsia" w:ascii="宋体" w:hAnsi="宋体" w:cs="宋体"/>
          <w:b/>
          <w:bCs w:val="0"/>
          <w:sz w:val="24"/>
          <w:szCs w:val="24"/>
          <w:lang w:val="en-US" w:eastAsia="zh-CN"/>
        </w:rPr>
      </w:pPr>
    </w:p>
    <w:p w14:paraId="4AE74951">
      <w:pPr>
        <w:pStyle w:val="3"/>
        <w:numPr>
          <w:ilvl w:val="0"/>
          <w:numId w:val="0"/>
        </w:numPr>
        <w:rPr>
          <w:rFonts w:hint="eastAsia"/>
        </w:rPr>
      </w:pPr>
    </w:p>
    <w:p w14:paraId="393ADB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C31170"/>
    <w:multiLevelType w:val="singleLevel"/>
    <w:tmpl w:val="A2C31170"/>
    <w:lvl w:ilvl="0" w:tentative="0">
      <w:start w:val="1"/>
      <w:numFmt w:val="bullet"/>
      <w:lvlText w:val=""/>
      <w:lvlJc w:val="left"/>
      <w:pPr>
        <w:ind w:left="420" w:hanging="420"/>
      </w:pPr>
      <w:rPr>
        <w:rFonts w:hint="default" w:ascii="Wingdings" w:hAnsi="Wingdings"/>
      </w:rPr>
    </w:lvl>
  </w:abstractNum>
  <w:abstractNum w:abstractNumId="1">
    <w:nsid w:val="DF64DCF9"/>
    <w:multiLevelType w:val="singleLevel"/>
    <w:tmpl w:val="DF64DCF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17ACD"/>
    <w:rsid w:val="0DBC574E"/>
    <w:rsid w:val="12670401"/>
    <w:rsid w:val="17375756"/>
    <w:rsid w:val="184616E2"/>
    <w:rsid w:val="1E1332F5"/>
    <w:rsid w:val="1E8A5DE4"/>
    <w:rsid w:val="22A8270D"/>
    <w:rsid w:val="25D315FC"/>
    <w:rsid w:val="2E693783"/>
    <w:rsid w:val="305203E9"/>
    <w:rsid w:val="30F73365"/>
    <w:rsid w:val="345B12C4"/>
    <w:rsid w:val="3BAF1030"/>
    <w:rsid w:val="3F9E3E2A"/>
    <w:rsid w:val="411B504A"/>
    <w:rsid w:val="44E0071B"/>
    <w:rsid w:val="4AEA4621"/>
    <w:rsid w:val="4B045373"/>
    <w:rsid w:val="4B783F5F"/>
    <w:rsid w:val="4B835B73"/>
    <w:rsid w:val="4D7A195F"/>
    <w:rsid w:val="503B1779"/>
    <w:rsid w:val="51FB42E8"/>
    <w:rsid w:val="52CE1B5C"/>
    <w:rsid w:val="547D21CC"/>
    <w:rsid w:val="5C886ED1"/>
    <w:rsid w:val="5DD451FE"/>
    <w:rsid w:val="6A855EE4"/>
    <w:rsid w:val="6D133DBF"/>
    <w:rsid w:val="70DB07BF"/>
    <w:rsid w:val="740F3067"/>
    <w:rsid w:val="76412F66"/>
    <w:rsid w:val="77B5724E"/>
    <w:rsid w:val="784A4D50"/>
    <w:rsid w:val="79BF7F82"/>
    <w:rsid w:val="7A58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13"/>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rFonts w:ascii="Times New Roman" w:hAnsi="Times New Roman"/>
    </w:rPr>
  </w:style>
  <w:style w:type="paragraph" w:styleId="6">
    <w:name w:val="Body Text"/>
    <w:basedOn w:val="1"/>
    <w:unhideWhenUsed/>
    <w:qFormat/>
    <w:uiPriority w:val="0"/>
    <w:pPr>
      <w:spacing w:after="120"/>
    </w:pPr>
  </w:style>
  <w:style w:type="paragraph" w:styleId="7">
    <w:name w:val="Body Text Indent"/>
    <w:basedOn w:val="1"/>
    <w:semiHidden/>
    <w:unhideWhenUsed/>
    <w:qFormat/>
    <w:uiPriority w:val="99"/>
    <w:pPr>
      <w:spacing w:after="120"/>
      <w:ind w:left="420" w:leftChars="200"/>
    </w:pPr>
  </w:style>
  <w:style w:type="paragraph" w:styleId="8">
    <w:name w:val="toc 1"/>
    <w:basedOn w:val="1"/>
    <w:next w:val="1"/>
    <w:qFormat/>
    <w:uiPriority w:val="39"/>
  </w:style>
  <w:style w:type="paragraph" w:styleId="9">
    <w:name w:val="Body Text First Indent 2"/>
    <w:basedOn w:val="7"/>
    <w:next w:val="1"/>
    <w:qFormat/>
    <w:uiPriority w:val="0"/>
    <w:pPr>
      <w:widowControl w:val="0"/>
      <w:spacing w:after="0"/>
      <w:ind w:left="0" w:leftChars="0"/>
      <w:jc w:val="both"/>
    </w:pPr>
    <w:rPr>
      <w:rFonts w:ascii="宋体" w:hAnsi="Courier New"/>
      <w:spacing w:val="-4"/>
      <w:kern w:val="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Char"/>
    <w:link w:val="4"/>
    <w:qFormat/>
    <w:uiPriority w:val="99"/>
    <w:rPr>
      <w:rFonts w:ascii="Calibri" w:hAnsi="Calibri" w:eastAsia="宋体" w:cs="Times New Roman"/>
      <w:kern w:val="2"/>
      <w:sz w:val="28"/>
      <w:szCs w:val="22"/>
      <w:lang w:val="en-US" w:eastAsia="zh-CN" w:bidi="ar-SA"/>
    </w:rPr>
  </w:style>
  <w:style w:type="paragraph" w:styleId="1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9744</Words>
  <Characters>10360</Characters>
  <Lines>0</Lines>
  <Paragraphs>0</Paragraphs>
  <TotalTime>0</TotalTime>
  <ScaleCrop>false</ScaleCrop>
  <LinksUpToDate>false</LinksUpToDate>
  <CharactersWithSpaces>10414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2026-05-22T01:38:38Z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8472BC96C72E45F28682D57443B5DF72_13</vt:lpwstr>
  </property>
  <property fmtid="{D5CDD505-2E9C-101B-9397-08002B2CF9AE}" pid="4" name="KSOTemplateDocerSaveRecord">
    <vt:lpwstr>eyJoZGlkIjoiODJhZjYxNmNlMWQyYTI4MDdkNDQzYWM1MDViY2VlZTMiLCJ1c2VySWQiOiI0MzYyNDA5MDIifQ==</vt:lpwstr>
  </property>
</Properties>
</file>