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F8547">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Times New Roman" w:hAnsi="Times New Roman" w:eastAsia="宋体" w:cs="Times New Roman"/>
          <w:color w:val="auto"/>
          <w:sz w:val="30"/>
          <w:szCs w:val="30"/>
          <w:lang w:val="en-US" w:eastAsia="zh-CN"/>
        </w:rPr>
        <w:t>采购内控体系建设及风险评估服务</w:t>
      </w:r>
      <w:r>
        <w:rPr>
          <w:rFonts w:hint="eastAsia" w:ascii="宋体" w:hAnsi="宋体" w:eastAsia="宋体" w:cs="宋体"/>
          <w:b/>
          <w:bCs w:val="0"/>
          <w:sz w:val="30"/>
          <w:szCs w:val="30"/>
          <w:lang w:val="en-US" w:eastAsia="zh-CN"/>
        </w:rPr>
        <w:t>采购</w:t>
      </w:r>
    </w:p>
    <w:p w14:paraId="0798EB5B">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功能需求</w:t>
      </w:r>
    </w:p>
    <w:p w14:paraId="2AB78736">
      <w:pPr>
        <w:jc w:val="left"/>
        <w:rPr>
          <w:rFonts w:hint="eastAsia" w:ascii="宋体" w:hAnsi="宋体" w:cs="宋体"/>
          <w:b/>
          <w:bCs w:val="0"/>
          <w:sz w:val="24"/>
          <w:szCs w:val="24"/>
          <w:lang w:val="en-US" w:eastAsia="zh-CN"/>
        </w:rPr>
      </w:pPr>
    </w:p>
    <w:p w14:paraId="1AB5E10F">
      <w:pPr>
        <w:numPr>
          <w:ilvl w:val="0"/>
          <w:numId w:val="1"/>
        </w:numPr>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技术要求</w:t>
      </w:r>
    </w:p>
    <w:tbl>
      <w:tblPr>
        <w:tblStyle w:val="11"/>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812"/>
        <w:gridCol w:w="6375"/>
        <w:gridCol w:w="585"/>
        <w:gridCol w:w="550"/>
      </w:tblGrid>
      <w:tr w14:paraId="6B12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4D9B81E3">
            <w:pPr>
              <w:spacing w:line="330" w:lineRule="exact"/>
              <w:jc w:val="center"/>
              <w:rPr>
                <w:rFonts w:ascii="宋体" w:hAnsi="宋体" w:cs="宋体"/>
                <w:bCs/>
                <w:szCs w:val="21"/>
              </w:rPr>
            </w:pPr>
            <w:r>
              <w:rPr>
                <w:rFonts w:hint="eastAsia" w:ascii="宋体" w:hAnsi="宋体" w:cs="宋体"/>
                <w:bCs/>
                <w:szCs w:val="21"/>
              </w:rPr>
              <w:t>项号</w:t>
            </w:r>
          </w:p>
        </w:tc>
        <w:tc>
          <w:tcPr>
            <w:tcW w:w="812" w:type="dxa"/>
            <w:shd w:val="clear" w:color="auto" w:fill="auto"/>
            <w:vAlign w:val="center"/>
          </w:tcPr>
          <w:p w14:paraId="425DC656">
            <w:pPr>
              <w:spacing w:line="330" w:lineRule="exact"/>
              <w:jc w:val="center"/>
              <w:rPr>
                <w:rFonts w:ascii="宋体" w:hAnsi="宋体" w:cs="宋体"/>
                <w:bCs/>
                <w:szCs w:val="21"/>
              </w:rPr>
            </w:pPr>
            <w:r>
              <w:rPr>
                <w:rFonts w:hint="eastAsia" w:ascii="宋体" w:hAnsi="宋体" w:cs="宋体"/>
                <w:bCs/>
                <w:szCs w:val="21"/>
              </w:rPr>
              <w:t>服务名称</w:t>
            </w:r>
          </w:p>
        </w:tc>
        <w:tc>
          <w:tcPr>
            <w:tcW w:w="6375" w:type="dxa"/>
            <w:shd w:val="clear" w:color="auto" w:fill="auto"/>
            <w:vAlign w:val="center"/>
          </w:tcPr>
          <w:p w14:paraId="7CD96756">
            <w:pPr>
              <w:spacing w:line="330" w:lineRule="exact"/>
              <w:jc w:val="center"/>
              <w:rPr>
                <w:rFonts w:ascii="宋体" w:hAnsi="宋体" w:cs="宋体"/>
                <w:bCs/>
                <w:szCs w:val="21"/>
              </w:rPr>
            </w:pPr>
            <w:r>
              <w:rPr>
                <w:rFonts w:hint="eastAsia" w:ascii="宋体" w:hAnsi="宋体"/>
                <w:bCs/>
                <w:szCs w:val="21"/>
                <w:lang w:val="en-US" w:eastAsia="zh-CN"/>
              </w:rPr>
              <w:t>服务</w:t>
            </w:r>
            <w:r>
              <w:rPr>
                <w:rFonts w:hint="eastAsia" w:ascii="宋体" w:hAnsi="宋体"/>
                <w:bCs/>
                <w:szCs w:val="21"/>
              </w:rPr>
              <w:t>要求</w:t>
            </w:r>
          </w:p>
        </w:tc>
        <w:tc>
          <w:tcPr>
            <w:tcW w:w="585" w:type="dxa"/>
            <w:shd w:val="clear" w:color="auto" w:fill="auto"/>
            <w:vAlign w:val="center"/>
          </w:tcPr>
          <w:p w14:paraId="5FD02AB4">
            <w:pPr>
              <w:spacing w:line="330" w:lineRule="exact"/>
              <w:jc w:val="center"/>
              <w:rPr>
                <w:rFonts w:ascii="宋体" w:hAnsi="宋体" w:cs="宋体"/>
                <w:bCs/>
                <w:szCs w:val="21"/>
              </w:rPr>
            </w:pPr>
            <w:r>
              <w:rPr>
                <w:rFonts w:hint="eastAsia" w:ascii="宋体" w:hAnsi="宋体" w:cs="宋体"/>
                <w:bCs/>
                <w:szCs w:val="21"/>
              </w:rPr>
              <w:t>数量</w:t>
            </w:r>
          </w:p>
        </w:tc>
        <w:tc>
          <w:tcPr>
            <w:tcW w:w="550" w:type="dxa"/>
            <w:shd w:val="clear" w:color="auto" w:fill="auto"/>
            <w:vAlign w:val="center"/>
          </w:tcPr>
          <w:p w14:paraId="0EE4EABA">
            <w:pPr>
              <w:spacing w:line="330" w:lineRule="exact"/>
              <w:jc w:val="center"/>
              <w:rPr>
                <w:rFonts w:ascii="宋体" w:hAnsi="宋体" w:cs="宋体"/>
                <w:bCs/>
                <w:szCs w:val="21"/>
              </w:rPr>
            </w:pPr>
            <w:r>
              <w:rPr>
                <w:rFonts w:hint="eastAsia" w:ascii="宋体" w:hAnsi="宋体" w:cs="宋体"/>
                <w:bCs/>
                <w:szCs w:val="21"/>
              </w:rPr>
              <w:t>单位</w:t>
            </w:r>
          </w:p>
        </w:tc>
      </w:tr>
      <w:tr w14:paraId="3FD12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jc w:val="center"/>
        </w:trPr>
        <w:tc>
          <w:tcPr>
            <w:tcW w:w="745" w:type="dxa"/>
            <w:shd w:val="clear" w:color="auto" w:fill="auto"/>
            <w:vAlign w:val="center"/>
          </w:tcPr>
          <w:p w14:paraId="7FEAB53B">
            <w:pPr>
              <w:spacing w:line="330" w:lineRule="exact"/>
              <w:jc w:val="center"/>
              <w:rPr>
                <w:rFonts w:ascii="宋体" w:hAnsi="宋体"/>
                <w:bCs/>
                <w:sz w:val="18"/>
                <w:szCs w:val="18"/>
              </w:rPr>
            </w:pPr>
            <w:r>
              <w:rPr>
                <w:rFonts w:hint="eastAsia" w:ascii="宋体" w:hAnsi="宋体"/>
                <w:bCs/>
                <w:sz w:val="18"/>
                <w:szCs w:val="18"/>
              </w:rPr>
              <w:t>1</w:t>
            </w:r>
          </w:p>
        </w:tc>
        <w:tc>
          <w:tcPr>
            <w:tcW w:w="812" w:type="dxa"/>
            <w:shd w:val="clear" w:color="auto" w:fill="auto"/>
            <w:vAlign w:val="center"/>
          </w:tcPr>
          <w:p w14:paraId="4ABDCC4F">
            <w:pPr>
              <w:spacing w:line="330" w:lineRule="exact"/>
              <w:jc w:val="left"/>
              <w:rPr>
                <w:rFonts w:hint="eastAsia" w:ascii="宋体" w:hAnsi="宋体" w:eastAsia="宋体" w:cs="宋体"/>
                <w:bCs/>
                <w:sz w:val="18"/>
                <w:szCs w:val="18"/>
              </w:rPr>
            </w:pPr>
            <w:r>
              <w:rPr>
                <w:rFonts w:hint="eastAsia" w:ascii="宋体" w:hAnsi="宋体" w:eastAsia="宋体" w:cs="宋体"/>
                <w:b/>
                <w:bCs/>
                <w:sz w:val="18"/>
                <w:szCs w:val="18"/>
                <w:highlight w:val="none"/>
              </w:rPr>
              <w:t>制度诊断与合规性审查</w:t>
            </w:r>
          </w:p>
        </w:tc>
        <w:tc>
          <w:tcPr>
            <w:tcW w:w="6375" w:type="dxa"/>
            <w:shd w:val="clear" w:color="auto" w:fill="auto"/>
          </w:tcPr>
          <w:p w14:paraId="448CFF57">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1.现行制度全面梳理：对医院现行的《采购管理制度》《合同管理办法》《评审专家管理办法》《代理机构管理办法》等核心制度进行全口径梳理。</w:t>
            </w:r>
          </w:p>
          <w:p w14:paraId="758EB3F1">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2.合规性对标检查：依据《政府采购法》、《公立医院内部控制管理办法》及广西区卫健委最新采购规范，开展“废、改、立”合规性审查。</w:t>
            </w:r>
          </w:p>
          <w:p w14:paraId="126C733B">
            <w:pPr>
              <w:widowControl/>
              <w:shd w:val="clear" w:color="auto" w:fill="FFFFFF"/>
              <w:spacing w:line="600" w:lineRule="exact"/>
              <w:jc w:val="left"/>
              <w:rPr>
                <w:rFonts w:hint="eastAsia" w:ascii="宋体" w:hAnsi="宋体" w:eastAsia="宋体" w:cs="宋体"/>
                <w:sz w:val="18"/>
                <w:szCs w:val="18"/>
              </w:rPr>
            </w:pPr>
            <w:r>
              <w:rPr>
                <w:rFonts w:hint="eastAsia" w:ascii="宋体" w:hAnsi="宋体" w:eastAsia="宋体" w:cs="宋体"/>
                <w:sz w:val="18"/>
                <w:szCs w:val="18"/>
                <w:highlight w:val="none"/>
                <w:lang w:val="en-US" w:eastAsia="zh-CN"/>
              </w:rPr>
              <w:t>3.薄弱环节识别：深入诊断现有制度在执行层面的漏洞（如审批权限模糊、验收标准缺失等），识别内控薄弱环节，出具《制度诊断与合规性审查报告》。</w:t>
            </w:r>
          </w:p>
        </w:tc>
        <w:tc>
          <w:tcPr>
            <w:tcW w:w="585" w:type="dxa"/>
            <w:shd w:val="clear" w:color="auto" w:fill="auto"/>
            <w:vAlign w:val="center"/>
          </w:tcPr>
          <w:p w14:paraId="1B12DB07">
            <w:pPr>
              <w:spacing w:line="330" w:lineRule="exact"/>
              <w:jc w:val="center"/>
              <w:rPr>
                <w:rFonts w:ascii="宋体" w:hAnsi="宋体"/>
                <w:bCs/>
                <w:szCs w:val="21"/>
              </w:rPr>
            </w:pPr>
            <w:r>
              <w:rPr>
                <w:rFonts w:hint="eastAsia" w:ascii="宋体" w:hAnsi="宋体" w:cs="宋体"/>
                <w:szCs w:val="21"/>
              </w:rPr>
              <w:t>1</w:t>
            </w:r>
          </w:p>
        </w:tc>
        <w:tc>
          <w:tcPr>
            <w:tcW w:w="550" w:type="dxa"/>
            <w:shd w:val="clear" w:color="auto" w:fill="auto"/>
            <w:vAlign w:val="center"/>
          </w:tcPr>
          <w:p w14:paraId="4B86E200">
            <w:pPr>
              <w:spacing w:line="330" w:lineRule="exact"/>
              <w:jc w:val="center"/>
              <w:rPr>
                <w:rFonts w:ascii="宋体" w:hAnsi="宋体"/>
                <w:bCs/>
                <w:szCs w:val="21"/>
              </w:rPr>
            </w:pPr>
            <w:r>
              <w:rPr>
                <w:rFonts w:hint="eastAsia" w:ascii="宋体" w:hAnsi="宋体" w:cs="宋体"/>
                <w:szCs w:val="21"/>
              </w:rPr>
              <w:t>项</w:t>
            </w:r>
          </w:p>
        </w:tc>
      </w:tr>
      <w:tr w14:paraId="3B5C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45" w:type="dxa"/>
            <w:shd w:val="clear" w:color="auto" w:fill="auto"/>
            <w:vAlign w:val="center"/>
          </w:tcPr>
          <w:p w14:paraId="1D47A320">
            <w:pPr>
              <w:spacing w:line="330" w:lineRule="exact"/>
              <w:jc w:val="center"/>
              <w:rPr>
                <w:rFonts w:ascii="宋体" w:hAnsi="宋体"/>
                <w:bCs/>
                <w:sz w:val="18"/>
                <w:szCs w:val="18"/>
              </w:rPr>
            </w:pPr>
            <w:r>
              <w:rPr>
                <w:rFonts w:hint="eastAsia" w:ascii="宋体" w:hAnsi="宋体"/>
                <w:bCs/>
                <w:sz w:val="18"/>
                <w:szCs w:val="18"/>
              </w:rPr>
              <w:t>2</w:t>
            </w:r>
          </w:p>
        </w:tc>
        <w:tc>
          <w:tcPr>
            <w:tcW w:w="812" w:type="dxa"/>
            <w:shd w:val="clear" w:color="auto" w:fill="auto"/>
            <w:vAlign w:val="center"/>
          </w:tcPr>
          <w:p w14:paraId="0631FED2">
            <w:pPr>
              <w:spacing w:line="330" w:lineRule="exact"/>
              <w:jc w:val="left"/>
              <w:rPr>
                <w:rFonts w:ascii="宋体" w:hAnsi="宋体" w:cs="宋体"/>
                <w:sz w:val="18"/>
                <w:szCs w:val="18"/>
              </w:rPr>
            </w:pPr>
            <w:r>
              <w:rPr>
                <w:rFonts w:hint="eastAsia" w:ascii="宋体" w:hAnsi="宋体" w:eastAsia="宋体" w:cs="宋体"/>
                <w:b/>
                <w:bCs/>
                <w:sz w:val="18"/>
                <w:szCs w:val="18"/>
                <w:highlight w:val="none"/>
                <w:lang w:val="en-US" w:eastAsia="zh-CN"/>
              </w:rPr>
              <w:t>历史数据深度挖掘与决策支持</w:t>
            </w:r>
          </w:p>
        </w:tc>
        <w:tc>
          <w:tcPr>
            <w:tcW w:w="6375" w:type="dxa"/>
            <w:shd w:val="clear" w:color="auto" w:fill="auto"/>
          </w:tcPr>
          <w:p w14:paraId="4BA3282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1.采购全景画像：对医院近2的历史采购数据进行清洗与整理，分析采购规模、品类分布、采购方式、采购周期及节资率。</w:t>
            </w:r>
          </w:p>
          <w:p w14:paraId="292339CD">
            <w:pPr>
              <w:widowControl/>
              <w:shd w:val="clear" w:color="auto" w:fill="FFFFFF"/>
              <w:spacing w:line="600" w:lineRule="exact"/>
              <w:jc w:val="left"/>
              <w:rPr>
                <w:rFonts w:ascii="宋体" w:hAnsi="宋体" w:cs="宋体"/>
                <w:sz w:val="18"/>
                <w:szCs w:val="18"/>
              </w:rPr>
            </w:pPr>
            <w:r>
              <w:rPr>
                <w:rFonts w:hint="eastAsia" w:ascii="宋体" w:hAnsi="宋体" w:eastAsia="宋体" w:cs="宋体"/>
                <w:sz w:val="18"/>
                <w:szCs w:val="18"/>
                <w:highlight w:val="none"/>
                <w:lang w:val="en-US" w:eastAsia="zh-CN"/>
              </w:rPr>
              <w:t>2.异常数据预警：通过数据挖掘识别拆单采购、单一来源占比过高、特定供应商中标率异常等潜在风险点，提供数据驱动的《采购数据分析报告》。</w:t>
            </w:r>
          </w:p>
        </w:tc>
        <w:tc>
          <w:tcPr>
            <w:tcW w:w="585" w:type="dxa"/>
            <w:shd w:val="clear" w:color="auto" w:fill="auto"/>
            <w:vAlign w:val="center"/>
          </w:tcPr>
          <w:p w14:paraId="38BE32E0">
            <w:pPr>
              <w:spacing w:line="330" w:lineRule="exact"/>
              <w:jc w:val="center"/>
              <w:rPr>
                <w:rFonts w:ascii="宋体" w:hAnsi="宋体" w:cs="宋体"/>
                <w:szCs w:val="21"/>
              </w:rPr>
            </w:pPr>
            <w:r>
              <w:rPr>
                <w:rFonts w:hint="eastAsia" w:ascii="宋体" w:hAnsi="宋体" w:cs="宋体"/>
                <w:szCs w:val="21"/>
              </w:rPr>
              <w:t>1</w:t>
            </w:r>
          </w:p>
        </w:tc>
        <w:tc>
          <w:tcPr>
            <w:tcW w:w="550" w:type="dxa"/>
            <w:shd w:val="clear" w:color="auto" w:fill="auto"/>
            <w:vAlign w:val="center"/>
          </w:tcPr>
          <w:p w14:paraId="12554C0E">
            <w:pPr>
              <w:spacing w:line="330" w:lineRule="exact"/>
              <w:jc w:val="center"/>
              <w:rPr>
                <w:rFonts w:ascii="宋体" w:hAnsi="宋体" w:cs="宋体"/>
                <w:szCs w:val="21"/>
              </w:rPr>
            </w:pPr>
            <w:r>
              <w:rPr>
                <w:rFonts w:hint="eastAsia" w:ascii="宋体" w:hAnsi="宋体" w:cs="宋体"/>
                <w:szCs w:val="21"/>
              </w:rPr>
              <w:t>项</w:t>
            </w:r>
          </w:p>
        </w:tc>
      </w:tr>
      <w:tr w14:paraId="2C7D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3542A723">
            <w:pPr>
              <w:spacing w:line="330" w:lineRule="exact"/>
              <w:jc w:val="center"/>
              <w:rPr>
                <w:rFonts w:ascii="宋体" w:hAnsi="宋体"/>
                <w:bCs/>
                <w:sz w:val="18"/>
                <w:szCs w:val="18"/>
              </w:rPr>
            </w:pPr>
            <w:r>
              <w:rPr>
                <w:rFonts w:hint="eastAsia" w:ascii="宋体" w:hAnsi="宋体"/>
                <w:bCs/>
                <w:sz w:val="18"/>
                <w:szCs w:val="18"/>
              </w:rPr>
              <w:t>3</w:t>
            </w:r>
          </w:p>
        </w:tc>
        <w:tc>
          <w:tcPr>
            <w:tcW w:w="812" w:type="dxa"/>
            <w:shd w:val="clear" w:color="auto" w:fill="auto"/>
            <w:vAlign w:val="center"/>
          </w:tcPr>
          <w:p w14:paraId="5110AF9C">
            <w:pPr>
              <w:spacing w:line="330" w:lineRule="exact"/>
              <w:jc w:val="left"/>
              <w:rPr>
                <w:rFonts w:ascii="宋体" w:hAnsi="宋体" w:cs="宋体"/>
                <w:sz w:val="18"/>
                <w:szCs w:val="18"/>
              </w:rPr>
            </w:pPr>
            <w:r>
              <w:rPr>
                <w:rFonts w:hint="eastAsia" w:ascii="宋体" w:hAnsi="宋体" w:eastAsia="宋体" w:cs="宋体"/>
                <w:b/>
                <w:bCs/>
                <w:sz w:val="18"/>
                <w:szCs w:val="18"/>
                <w:highlight w:val="none"/>
                <w:lang w:val="en-US" w:eastAsia="zh-CN"/>
              </w:rPr>
              <w:t>采购档案规范化抽查与评价</w:t>
            </w:r>
          </w:p>
        </w:tc>
        <w:tc>
          <w:tcPr>
            <w:tcW w:w="6375" w:type="dxa"/>
            <w:shd w:val="clear" w:color="auto" w:fill="auto"/>
          </w:tcPr>
          <w:p w14:paraId="24C19F00">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1.档案完整性抽查：按照“一项目一档案”原则，随机抽取不同采购方式（公开招标、竞争性谈判、单一来源等）的历史档案，检查立项审批、招标文件、评审报告、合同、验收单等关键文件的完整性。</w:t>
            </w:r>
          </w:p>
          <w:p w14:paraId="21177D85">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2.流程合规性复核：重点核查档案中关键时间节点（如公告时间、质疑回复时间）的逻辑性，以及评审专家抽取、评分汇总的合规性。</w:t>
            </w:r>
          </w:p>
          <w:p w14:paraId="21FD2B3A">
            <w:pPr>
              <w:widowControl/>
              <w:shd w:val="clear" w:color="auto" w:fill="FFFFFF"/>
              <w:spacing w:line="600" w:lineRule="exact"/>
              <w:jc w:val="left"/>
              <w:rPr>
                <w:rFonts w:ascii="宋体" w:hAnsi="宋体" w:cs="宋体"/>
                <w:sz w:val="18"/>
                <w:szCs w:val="18"/>
              </w:rPr>
            </w:pPr>
            <w:r>
              <w:rPr>
                <w:rFonts w:hint="eastAsia" w:ascii="宋体" w:hAnsi="宋体" w:eastAsia="宋体" w:cs="宋体"/>
                <w:sz w:val="18"/>
                <w:szCs w:val="18"/>
                <w:highlight w:val="none"/>
                <w:lang w:val="en-US" w:eastAsia="zh-CN"/>
              </w:rPr>
              <w:t>3.档案管理优化建议：针对档案缺失、归档不及时等问题，协助医院建立标准化的《采购项目档案归档清单》。</w:t>
            </w:r>
          </w:p>
        </w:tc>
        <w:tc>
          <w:tcPr>
            <w:tcW w:w="585" w:type="dxa"/>
            <w:shd w:val="clear" w:color="auto" w:fill="auto"/>
            <w:vAlign w:val="center"/>
          </w:tcPr>
          <w:p w14:paraId="03E0B655">
            <w:pPr>
              <w:spacing w:line="330" w:lineRule="exact"/>
              <w:jc w:val="center"/>
              <w:rPr>
                <w:rFonts w:ascii="宋体" w:hAnsi="宋体" w:cs="宋体"/>
                <w:szCs w:val="21"/>
              </w:rPr>
            </w:pPr>
            <w:r>
              <w:rPr>
                <w:rFonts w:hint="eastAsia" w:ascii="宋体" w:hAnsi="宋体" w:cs="宋体"/>
                <w:szCs w:val="21"/>
              </w:rPr>
              <w:t>1</w:t>
            </w:r>
          </w:p>
        </w:tc>
        <w:tc>
          <w:tcPr>
            <w:tcW w:w="550" w:type="dxa"/>
            <w:shd w:val="clear" w:color="auto" w:fill="auto"/>
            <w:vAlign w:val="center"/>
          </w:tcPr>
          <w:p w14:paraId="345EB80D">
            <w:pPr>
              <w:spacing w:line="330" w:lineRule="exact"/>
              <w:jc w:val="center"/>
              <w:rPr>
                <w:rFonts w:ascii="宋体" w:hAnsi="宋体" w:cs="宋体"/>
                <w:szCs w:val="21"/>
              </w:rPr>
            </w:pPr>
            <w:r>
              <w:rPr>
                <w:rFonts w:hint="eastAsia" w:ascii="宋体" w:hAnsi="宋体" w:cs="宋体"/>
                <w:szCs w:val="21"/>
              </w:rPr>
              <w:t>项</w:t>
            </w:r>
          </w:p>
        </w:tc>
      </w:tr>
      <w:tr w14:paraId="544A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061FEBF8">
            <w:pPr>
              <w:spacing w:line="330" w:lineRule="exact"/>
              <w:jc w:val="center"/>
              <w:rPr>
                <w:rFonts w:ascii="宋体" w:hAnsi="宋体"/>
                <w:bCs/>
                <w:sz w:val="18"/>
                <w:szCs w:val="18"/>
              </w:rPr>
            </w:pPr>
            <w:r>
              <w:rPr>
                <w:rFonts w:hint="eastAsia" w:ascii="宋体" w:hAnsi="宋体"/>
                <w:bCs/>
                <w:sz w:val="18"/>
                <w:szCs w:val="18"/>
              </w:rPr>
              <w:t>4</w:t>
            </w:r>
          </w:p>
        </w:tc>
        <w:tc>
          <w:tcPr>
            <w:tcW w:w="812" w:type="dxa"/>
            <w:shd w:val="clear" w:color="auto" w:fill="auto"/>
            <w:vAlign w:val="center"/>
          </w:tcPr>
          <w:p w14:paraId="253994FF">
            <w:pPr>
              <w:spacing w:line="330" w:lineRule="exact"/>
              <w:jc w:val="left"/>
              <w:rPr>
                <w:rFonts w:ascii="宋体" w:hAnsi="宋体" w:cs="宋体"/>
                <w:sz w:val="18"/>
                <w:szCs w:val="18"/>
              </w:rPr>
            </w:pPr>
            <w:r>
              <w:rPr>
                <w:rFonts w:hint="eastAsia" w:ascii="宋体" w:hAnsi="宋体" w:eastAsia="宋体" w:cs="宋体"/>
                <w:b/>
                <w:bCs/>
                <w:sz w:val="18"/>
                <w:szCs w:val="18"/>
                <w:highlight w:val="none"/>
                <w:lang w:val="en-US" w:eastAsia="zh-CN"/>
              </w:rPr>
              <w:t>业务调研与现状诊断</w:t>
            </w:r>
          </w:p>
        </w:tc>
        <w:tc>
          <w:tcPr>
            <w:tcW w:w="6375" w:type="dxa"/>
            <w:shd w:val="clear" w:color="auto" w:fill="auto"/>
          </w:tcPr>
          <w:p w14:paraId="769F5C6A">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1.多维深度访谈：</w:t>
            </w:r>
          </w:p>
          <w:p w14:paraId="1F50A5AC">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决策层：了解医院战略采购目标及风险偏好。</w:t>
            </w:r>
          </w:p>
          <w:p w14:paraId="0A0162AE">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管理层（采购办/归口部门）：调研采购计划、执行、验收流程中的痛点与堵点。</w:t>
            </w:r>
          </w:p>
          <w:p w14:paraId="38380CA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执行层（临床/使用科室）：收集需求提报、收货验收及售后反馈的实际问题。</w:t>
            </w:r>
          </w:p>
          <w:p w14:paraId="276FDBC7">
            <w:pPr>
              <w:widowControl/>
              <w:shd w:val="clear" w:color="auto" w:fill="FFFFFF"/>
              <w:spacing w:line="600" w:lineRule="exact"/>
              <w:jc w:val="left"/>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2.问卷调查：通过问卷调查全面了解全院对采购工作的满意度及痛点。</w:t>
            </w:r>
          </w:p>
          <w:p w14:paraId="2D91FF91">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3.现场穿行测试：选取典型采购项目进行全流程“穿行测试”，实地验证流程执行的有效性。</w:t>
            </w:r>
          </w:p>
          <w:p w14:paraId="0F23CCD8">
            <w:pPr>
              <w:widowControl/>
              <w:shd w:val="clear" w:color="auto" w:fill="FFFFFF"/>
              <w:spacing w:line="600" w:lineRule="exact"/>
              <w:jc w:val="left"/>
              <w:rPr>
                <w:rFonts w:ascii="宋体" w:hAnsi="宋体" w:cs="宋体"/>
                <w:sz w:val="18"/>
                <w:szCs w:val="18"/>
              </w:rPr>
            </w:pPr>
            <w:r>
              <w:rPr>
                <w:rFonts w:hint="eastAsia" w:ascii="宋体" w:hAnsi="宋体" w:eastAsia="宋体" w:cs="宋体"/>
                <w:sz w:val="18"/>
                <w:szCs w:val="18"/>
                <w:highlight w:val="none"/>
                <w:lang w:val="en-US" w:eastAsia="zh-CN"/>
              </w:rPr>
              <w:t>4.调研报告编制：按照“对标监管要求—发现管理不足—剖析成因—提出改进建议”的逻辑，编写《采购问卷调查报告》《采购业务现状诊断与管理建议报告》。</w:t>
            </w:r>
          </w:p>
        </w:tc>
        <w:tc>
          <w:tcPr>
            <w:tcW w:w="585" w:type="dxa"/>
            <w:shd w:val="clear" w:color="auto" w:fill="auto"/>
            <w:vAlign w:val="center"/>
          </w:tcPr>
          <w:p w14:paraId="3045288E">
            <w:pPr>
              <w:spacing w:line="330" w:lineRule="exact"/>
              <w:jc w:val="center"/>
              <w:rPr>
                <w:rFonts w:ascii="宋体" w:hAnsi="宋体" w:cs="宋体"/>
                <w:szCs w:val="21"/>
              </w:rPr>
            </w:pPr>
            <w:r>
              <w:rPr>
                <w:rFonts w:hint="eastAsia" w:ascii="宋体" w:hAnsi="宋体" w:cs="宋体"/>
                <w:szCs w:val="21"/>
              </w:rPr>
              <w:t>1</w:t>
            </w:r>
          </w:p>
        </w:tc>
        <w:tc>
          <w:tcPr>
            <w:tcW w:w="550" w:type="dxa"/>
            <w:shd w:val="clear" w:color="auto" w:fill="auto"/>
            <w:vAlign w:val="center"/>
          </w:tcPr>
          <w:p w14:paraId="30C625CD">
            <w:pPr>
              <w:spacing w:line="330" w:lineRule="exact"/>
              <w:jc w:val="center"/>
              <w:rPr>
                <w:rFonts w:ascii="宋体" w:hAnsi="宋体" w:cs="宋体"/>
                <w:szCs w:val="21"/>
              </w:rPr>
            </w:pPr>
            <w:r>
              <w:rPr>
                <w:rFonts w:hint="eastAsia" w:ascii="宋体" w:hAnsi="宋体" w:cs="宋体"/>
                <w:szCs w:val="21"/>
              </w:rPr>
              <w:t>项</w:t>
            </w:r>
          </w:p>
        </w:tc>
      </w:tr>
      <w:tr w14:paraId="63E8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2" w:hRule="atLeast"/>
          <w:jc w:val="center"/>
        </w:trPr>
        <w:tc>
          <w:tcPr>
            <w:tcW w:w="745" w:type="dxa"/>
            <w:shd w:val="clear" w:color="auto" w:fill="auto"/>
            <w:vAlign w:val="center"/>
          </w:tcPr>
          <w:p w14:paraId="0A82000E">
            <w:pPr>
              <w:spacing w:line="330" w:lineRule="exact"/>
              <w:jc w:val="center"/>
              <w:rPr>
                <w:rFonts w:hint="eastAsia" w:ascii="宋体" w:hAnsi="宋体"/>
                <w:bCs/>
                <w:sz w:val="18"/>
                <w:szCs w:val="18"/>
              </w:rPr>
            </w:pPr>
            <w:r>
              <w:rPr>
                <w:rFonts w:hint="eastAsia" w:ascii="宋体" w:hAnsi="宋体"/>
                <w:bCs/>
                <w:sz w:val="18"/>
                <w:szCs w:val="18"/>
                <w:lang w:val="en-US" w:eastAsia="zh-CN"/>
              </w:rPr>
              <w:t>5</w:t>
            </w:r>
          </w:p>
        </w:tc>
        <w:tc>
          <w:tcPr>
            <w:tcW w:w="812" w:type="dxa"/>
            <w:shd w:val="clear" w:color="auto" w:fill="auto"/>
            <w:vAlign w:val="center"/>
          </w:tcPr>
          <w:p w14:paraId="2AE9F262">
            <w:pPr>
              <w:spacing w:line="330" w:lineRule="exact"/>
              <w:jc w:val="left"/>
              <w:rPr>
                <w:rFonts w:hint="eastAsia" w:ascii="宋体" w:hAnsi="宋体" w:cs="宋体"/>
                <w:sz w:val="18"/>
                <w:szCs w:val="18"/>
              </w:rPr>
            </w:pPr>
            <w:r>
              <w:rPr>
                <w:rFonts w:hint="eastAsia" w:ascii="宋体" w:hAnsi="宋体" w:eastAsia="宋体" w:cs="宋体"/>
                <w:b/>
                <w:bCs/>
                <w:sz w:val="18"/>
                <w:szCs w:val="18"/>
                <w:highlight w:val="none"/>
                <w:lang w:val="en-US" w:eastAsia="zh-CN"/>
              </w:rPr>
              <w:t>风险评估与流程梳理</w:t>
            </w:r>
          </w:p>
        </w:tc>
        <w:tc>
          <w:tcPr>
            <w:tcW w:w="6375" w:type="dxa"/>
            <w:shd w:val="clear" w:color="auto" w:fill="auto"/>
            <w:vAlign w:val="top"/>
          </w:tcPr>
          <w:p w14:paraId="19BD8A28">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1.构建采购风险数据库：结合行业案例与医院实际，建立《采购业务风险数据库》，识别立项、需求、招标、合同、验收、支付等各环节的廉洁风险与业务风险。</w:t>
            </w:r>
          </w:p>
          <w:p w14:paraId="2CC7E270">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2.绘制风险矩阵：对识别出的风险进行可能性和影响程度评级，绘制风险矩阵，制定针对性的防控措施。</w:t>
            </w:r>
          </w:p>
          <w:p w14:paraId="3FF8319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3.流程优化与固化：</w:t>
            </w:r>
          </w:p>
          <w:p w14:paraId="0E51391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绘制可视化的《采购业务框架》《采购业务全流程图》。</w:t>
            </w:r>
          </w:p>
          <w:p w14:paraId="50E85D5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编制《采购内部控制手册》，将合规要求嵌入业务流程。</w:t>
            </w:r>
          </w:p>
          <w:p w14:paraId="1B8222BC">
            <w:pPr>
              <w:widowControl/>
              <w:shd w:val="clear" w:color="auto" w:fill="FFFFFF"/>
              <w:spacing w:line="600" w:lineRule="exact"/>
              <w:jc w:val="left"/>
              <w:rPr>
                <w:rFonts w:hint="eastAsia" w:ascii="宋体" w:hAnsi="宋体" w:cs="宋体"/>
                <w:sz w:val="18"/>
                <w:szCs w:val="18"/>
              </w:rPr>
            </w:pPr>
            <w:r>
              <w:rPr>
                <w:rFonts w:hint="eastAsia" w:ascii="宋体" w:hAnsi="宋体" w:eastAsia="宋体" w:cs="宋体"/>
                <w:sz w:val="18"/>
                <w:szCs w:val="18"/>
                <w:highlight w:val="none"/>
                <w:lang w:val="en-US" w:eastAsia="zh-CN"/>
              </w:rPr>
              <w:t>权限指引设计：厘清各部门职责边界，编制《采购业务权责清单》，明确决策、执行、监督三权分离的具体落实路径。</w:t>
            </w:r>
          </w:p>
        </w:tc>
        <w:tc>
          <w:tcPr>
            <w:tcW w:w="585" w:type="dxa"/>
            <w:shd w:val="clear" w:color="auto" w:fill="auto"/>
            <w:vAlign w:val="center"/>
          </w:tcPr>
          <w:p w14:paraId="7A62035C">
            <w:pPr>
              <w:spacing w:line="330" w:lineRule="exact"/>
              <w:jc w:val="center"/>
              <w:rPr>
                <w:rFonts w:hint="eastAsia" w:ascii="宋体" w:hAnsi="宋体" w:cs="宋体"/>
                <w:szCs w:val="21"/>
              </w:rPr>
            </w:pPr>
            <w:r>
              <w:rPr>
                <w:rFonts w:hint="eastAsia" w:ascii="宋体" w:hAnsi="宋体" w:cs="宋体"/>
                <w:color w:val="000000"/>
                <w:szCs w:val="21"/>
              </w:rPr>
              <w:t>1</w:t>
            </w:r>
          </w:p>
        </w:tc>
        <w:tc>
          <w:tcPr>
            <w:tcW w:w="550" w:type="dxa"/>
            <w:shd w:val="clear" w:color="auto" w:fill="auto"/>
            <w:vAlign w:val="center"/>
          </w:tcPr>
          <w:p w14:paraId="75201E1E">
            <w:pPr>
              <w:spacing w:line="330" w:lineRule="exact"/>
              <w:jc w:val="center"/>
              <w:rPr>
                <w:rFonts w:hint="eastAsia" w:ascii="宋体" w:hAnsi="宋体" w:cs="宋体"/>
                <w:szCs w:val="21"/>
              </w:rPr>
            </w:pPr>
            <w:r>
              <w:rPr>
                <w:rFonts w:hint="eastAsia" w:ascii="宋体" w:hAnsi="宋体" w:cs="宋体"/>
                <w:color w:val="000000"/>
                <w:szCs w:val="21"/>
              </w:rPr>
              <w:t>项</w:t>
            </w:r>
          </w:p>
        </w:tc>
      </w:tr>
      <w:tr w14:paraId="6DE1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0C873C06">
            <w:pPr>
              <w:spacing w:line="330" w:lineRule="exact"/>
              <w:jc w:val="center"/>
              <w:rPr>
                <w:rFonts w:hint="eastAsia" w:ascii="宋体" w:hAnsi="宋体"/>
                <w:bCs/>
                <w:sz w:val="18"/>
                <w:szCs w:val="18"/>
              </w:rPr>
            </w:pPr>
            <w:r>
              <w:rPr>
                <w:rFonts w:hint="eastAsia" w:ascii="宋体" w:hAnsi="宋体"/>
                <w:bCs/>
                <w:sz w:val="18"/>
                <w:szCs w:val="18"/>
                <w:lang w:val="en-US" w:eastAsia="zh-CN"/>
              </w:rPr>
              <w:t>6</w:t>
            </w:r>
          </w:p>
        </w:tc>
        <w:tc>
          <w:tcPr>
            <w:tcW w:w="812" w:type="dxa"/>
            <w:shd w:val="clear" w:color="auto" w:fill="auto"/>
            <w:vAlign w:val="center"/>
          </w:tcPr>
          <w:p w14:paraId="0E43E162">
            <w:pPr>
              <w:spacing w:line="330" w:lineRule="exact"/>
              <w:jc w:val="left"/>
              <w:rPr>
                <w:rFonts w:hint="eastAsia" w:ascii="宋体" w:hAnsi="宋体" w:cs="宋体"/>
                <w:sz w:val="18"/>
                <w:szCs w:val="18"/>
              </w:rPr>
            </w:pPr>
            <w:r>
              <w:rPr>
                <w:rFonts w:hint="eastAsia" w:ascii="宋体" w:hAnsi="宋体" w:eastAsia="宋体" w:cs="宋体"/>
                <w:b/>
                <w:bCs/>
                <w:sz w:val="18"/>
                <w:szCs w:val="18"/>
                <w:highlight w:val="none"/>
                <w:lang w:val="en-US" w:eastAsia="zh-CN"/>
              </w:rPr>
              <w:t>制度优化与信息化规划</w:t>
            </w:r>
          </w:p>
        </w:tc>
        <w:tc>
          <w:tcPr>
            <w:tcW w:w="6375" w:type="dxa"/>
            <w:shd w:val="clear" w:color="auto" w:fill="auto"/>
            <w:vAlign w:val="top"/>
          </w:tcPr>
          <w:p w14:paraId="26564DE9">
            <w:pPr>
              <w:widowControl/>
              <w:shd w:val="clear" w:color="auto" w:fill="FFFFFF"/>
              <w:spacing w:line="600" w:lineRule="exact"/>
              <w:jc w:val="left"/>
              <w:rPr>
                <w:rFonts w:hint="eastAsia" w:ascii="宋体" w:hAnsi="宋体" w:cs="宋体"/>
                <w:sz w:val="18"/>
                <w:szCs w:val="18"/>
              </w:rPr>
            </w:pPr>
            <w:r>
              <w:rPr>
                <w:rFonts w:hint="eastAsia" w:ascii="宋体" w:hAnsi="宋体" w:eastAsia="宋体" w:cs="宋体"/>
                <w:sz w:val="18"/>
                <w:szCs w:val="18"/>
                <w:highlight w:val="none"/>
                <w:lang w:val="en-US" w:eastAsia="zh-CN"/>
              </w:rPr>
              <w:t>对照监管要求，协助医院构建“事前防范、事中控制、事后监督”的闭环内控体系桂林市人民医院采购内控制度体系，对《采购管理制度》《验收管理制度》《专家管理制度》《代理机构管理制度》《市场调研制度》等提出优化意见，提出采购内控信息化的规划方案。</w:t>
            </w:r>
          </w:p>
        </w:tc>
        <w:tc>
          <w:tcPr>
            <w:tcW w:w="585" w:type="dxa"/>
            <w:shd w:val="clear" w:color="auto" w:fill="auto"/>
            <w:vAlign w:val="center"/>
          </w:tcPr>
          <w:p w14:paraId="414C7BF7">
            <w:pPr>
              <w:spacing w:line="330" w:lineRule="exact"/>
              <w:jc w:val="center"/>
              <w:rPr>
                <w:rFonts w:hint="eastAsia" w:ascii="宋体" w:hAnsi="宋体" w:cs="宋体"/>
                <w:szCs w:val="21"/>
              </w:rPr>
            </w:pPr>
            <w:r>
              <w:rPr>
                <w:rFonts w:hint="eastAsia" w:ascii="宋体" w:hAnsi="宋体" w:cs="宋体"/>
                <w:color w:val="000000"/>
                <w:szCs w:val="21"/>
              </w:rPr>
              <w:t>1</w:t>
            </w:r>
          </w:p>
        </w:tc>
        <w:tc>
          <w:tcPr>
            <w:tcW w:w="550" w:type="dxa"/>
            <w:shd w:val="clear" w:color="auto" w:fill="auto"/>
            <w:vAlign w:val="center"/>
          </w:tcPr>
          <w:p w14:paraId="19D9FDBD">
            <w:pPr>
              <w:spacing w:line="330" w:lineRule="exact"/>
              <w:jc w:val="center"/>
              <w:rPr>
                <w:rFonts w:hint="eastAsia" w:ascii="宋体" w:hAnsi="宋体" w:cs="宋体"/>
                <w:szCs w:val="21"/>
              </w:rPr>
            </w:pPr>
            <w:r>
              <w:rPr>
                <w:rFonts w:hint="eastAsia" w:ascii="宋体" w:hAnsi="宋体" w:cs="宋体"/>
                <w:color w:val="000000"/>
                <w:szCs w:val="21"/>
              </w:rPr>
              <w:t>项</w:t>
            </w:r>
          </w:p>
        </w:tc>
      </w:tr>
      <w:tr w14:paraId="046D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shd w:val="clear" w:color="auto" w:fill="auto"/>
            <w:vAlign w:val="center"/>
          </w:tcPr>
          <w:p w14:paraId="03E6D82D">
            <w:pPr>
              <w:spacing w:line="330" w:lineRule="exact"/>
              <w:jc w:val="center"/>
              <w:rPr>
                <w:rFonts w:hint="default" w:ascii="宋体" w:hAnsi="宋体" w:eastAsia="宋体"/>
                <w:bCs/>
                <w:sz w:val="18"/>
                <w:szCs w:val="18"/>
                <w:lang w:val="en-US" w:eastAsia="zh-CN"/>
              </w:rPr>
            </w:pPr>
            <w:r>
              <w:rPr>
                <w:rFonts w:hint="eastAsia" w:ascii="宋体" w:hAnsi="宋体" w:eastAsia="宋体"/>
                <w:bCs/>
                <w:sz w:val="18"/>
                <w:szCs w:val="18"/>
                <w:lang w:val="en-US" w:eastAsia="zh-CN"/>
              </w:rPr>
              <w:t>7</w:t>
            </w:r>
          </w:p>
        </w:tc>
        <w:tc>
          <w:tcPr>
            <w:tcW w:w="812" w:type="dxa"/>
            <w:shd w:val="clear" w:color="auto" w:fill="auto"/>
            <w:vAlign w:val="center"/>
          </w:tcPr>
          <w:p w14:paraId="2D5A3FC6">
            <w:pPr>
              <w:spacing w:line="330" w:lineRule="exact"/>
              <w:jc w:val="left"/>
              <w:rPr>
                <w:rFonts w:ascii="宋体" w:hAnsi="宋体" w:cs="宋体"/>
                <w:sz w:val="18"/>
                <w:szCs w:val="18"/>
              </w:rPr>
            </w:pPr>
            <w:r>
              <w:rPr>
                <w:rFonts w:hint="eastAsia" w:ascii="宋体" w:hAnsi="宋体" w:eastAsia="宋体" w:cs="宋体"/>
                <w:b/>
                <w:bCs/>
                <w:sz w:val="18"/>
                <w:szCs w:val="18"/>
                <w:highlight w:val="none"/>
                <w:lang w:val="en-US" w:eastAsia="zh-CN"/>
              </w:rPr>
              <w:t>项目需提交的成果</w:t>
            </w:r>
          </w:p>
        </w:tc>
        <w:tc>
          <w:tcPr>
            <w:tcW w:w="6375" w:type="dxa"/>
            <w:shd w:val="clear" w:color="auto" w:fill="auto"/>
            <w:vAlign w:val="top"/>
          </w:tcPr>
          <w:p w14:paraId="169898B4">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1.《制度诊断与合规性审查报告》</w:t>
            </w:r>
          </w:p>
          <w:p w14:paraId="2379206D">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2.《采购数据分析报告》</w:t>
            </w:r>
          </w:p>
          <w:p w14:paraId="1DC90407">
            <w:pPr>
              <w:widowControl/>
              <w:shd w:val="clear" w:color="auto" w:fill="FFFFFF"/>
              <w:spacing w:line="600" w:lineRule="exact"/>
              <w:jc w:val="left"/>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3.《采购项目档案归档清单》。</w:t>
            </w:r>
          </w:p>
          <w:p w14:paraId="23D6712C">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4.《采购问卷调查报告》</w:t>
            </w:r>
          </w:p>
          <w:p w14:paraId="2820286E">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5.《采购业务现状诊断与管理建议报告》</w:t>
            </w:r>
          </w:p>
          <w:p w14:paraId="70B739DE">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6.《采购业务风险数据库》</w:t>
            </w:r>
          </w:p>
          <w:p w14:paraId="64202FAA">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7.《采购业务框架》《采购业务全流程图》</w:t>
            </w:r>
          </w:p>
          <w:p w14:paraId="435C3020">
            <w:pPr>
              <w:widowControl/>
              <w:shd w:val="clear" w:color="auto" w:fill="FFFFFF"/>
              <w:spacing w:line="600" w:lineRule="exact"/>
              <w:jc w:val="left"/>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8.《采购内部控制手册》</w:t>
            </w:r>
          </w:p>
          <w:p w14:paraId="702D7CD3">
            <w:pPr>
              <w:widowControl/>
              <w:shd w:val="clear" w:color="auto" w:fill="FFFFFF"/>
              <w:spacing w:line="600" w:lineRule="exact"/>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9.采购制度体系管理建议，包括采购、合同、验收、代理机构、专家、市场调研等重要业务制度</w:t>
            </w:r>
          </w:p>
          <w:p w14:paraId="05F940A5">
            <w:pPr>
              <w:widowControl/>
              <w:shd w:val="clear" w:color="auto" w:fill="FFFFFF"/>
              <w:spacing w:line="600" w:lineRule="exact"/>
              <w:jc w:val="left"/>
              <w:rPr>
                <w:rFonts w:ascii="宋体" w:hAnsi="宋体" w:cs="宋体"/>
                <w:sz w:val="18"/>
                <w:szCs w:val="18"/>
              </w:rPr>
            </w:pPr>
            <w:r>
              <w:rPr>
                <w:rFonts w:hint="eastAsia" w:ascii="宋体" w:hAnsi="宋体" w:eastAsia="宋体" w:cs="宋体"/>
                <w:sz w:val="18"/>
                <w:szCs w:val="18"/>
                <w:highlight w:val="none"/>
                <w:lang w:val="en-US" w:eastAsia="zh-CN"/>
              </w:rPr>
              <w:t>10.《采购内控信息化规划方案》</w:t>
            </w:r>
          </w:p>
        </w:tc>
        <w:tc>
          <w:tcPr>
            <w:tcW w:w="585" w:type="dxa"/>
            <w:shd w:val="clear" w:color="auto" w:fill="auto"/>
            <w:vAlign w:val="center"/>
          </w:tcPr>
          <w:p w14:paraId="66B76029">
            <w:pPr>
              <w:spacing w:line="330" w:lineRule="exact"/>
              <w:jc w:val="center"/>
              <w:rPr>
                <w:rFonts w:hint="eastAsia" w:ascii="宋体" w:hAnsi="宋体" w:eastAsia="宋体" w:cs="宋体"/>
                <w:szCs w:val="21"/>
                <w:lang w:val="en-US" w:eastAsia="zh-CN"/>
              </w:rPr>
            </w:pPr>
          </w:p>
        </w:tc>
        <w:tc>
          <w:tcPr>
            <w:tcW w:w="550" w:type="dxa"/>
            <w:shd w:val="clear" w:color="auto" w:fill="auto"/>
            <w:vAlign w:val="center"/>
          </w:tcPr>
          <w:p w14:paraId="40E5B81D">
            <w:pPr>
              <w:spacing w:line="330" w:lineRule="exact"/>
              <w:jc w:val="center"/>
              <w:rPr>
                <w:rFonts w:hint="eastAsia" w:ascii="宋体" w:hAnsi="宋体" w:eastAsia="宋体" w:cs="宋体"/>
                <w:szCs w:val="21"/>
                <w:lang w:val="en-US" w:eastAsia="zh-CN"/>
              </w:rPr>
            </w:pPr>
          </w:p>
        </w:tc>
      </w:tr>
    </w:tbl>
    <w:p w14:paraId="4B527F9E">
      <w:pPr>
        <w:numPr>
          <w:ilvl w:val="0"/>
          <w:numId w:val="0"/>
        </w:numPr>
        <w:spacing w:line="360" w:lineRule="exact"/>
        <w:ind w:firstLine="0" w:firstLineChars="0"/>
        <w:rPr>
          <w:rFonts w:hint="eastAsia" w:ascii="宋体" w:hAnsi="宋体" w:eastAsia="宋体" w:cs="Times New Roman"/>
          <w:b/>
          <w:kern w:val="2"/>
          <w:sz w:val="24"/>
          <w:szCs w:val="24"/>
          <w:lang w:val="en-US" w:eastAsia="zh-CN" w:bidi="ar-SA"/>
        </w:rPr>
      </w:pPr>
    </w:p>
    <w:p w14:paraId="55E7B032">
      <w:pPr>
        <w:numPr>
          <w:ilvl w:val="0"/>
          <w:numId w:val="0"/>
        </w:numPr>
        <w:spacing w:line="360" w:lineRule="exact"/>
        <w:ind w:firstLine="0" w:firstLineChars="0"/>
        <w:rPr>
          <w:rFonts w:hint="eastAsia" w:ascii="宋体" w:hAnsi="宋体"/>
          <w:b/>
          <w:sz w:val="24"/>
        </w:rPr>
      </w:pPr>
      <w:r>
        <w:rPr>
          <w:rFonts w:hint="eastAsia" w:ascii="宋体" w:hAnsi="宋体" w:eastAsia="宋体" w:cs="Times New Roman"/>
          <w:b/>
          <w:kern w:val="2"/>
          <w:sz w:val="24"/>
          <w:szCs w:val="24"/>
          <w:lang w:val="en-US" w:eastAsia="zh-CN" w:bidi="ar-SA"/>
        </w:rPr>
        <w:t>（二）</w:t>
      </w:r>
      <w:r>
        <w:rPr>
          <w:rFonts w:hint="eastAsia" w:ascii="宋体" w:hAnsi="宋体"/>
          <w:b/>
          <w:sz w:val="24"/>
        </w:rPr>
        <w:t>商务要求</w:t>
      </w:r>
    </w:p>
    <w:tbl>
      <w:tblPr>
        <w:tblStyle w:val="11"/>
        <w:tblpPr w:leftFromText="180" w:rightFromText="180" w:vertAnchor="text" w:horzAnchor="page" w:tblpX="1525" w:tblpY="352"/>
        <w:tblOverlap w:val="never"/>
        <w:tblW w:w="9075" w:type="dxa"/>
        <w:jc w:val="center"/>
        <w:tblLayout w:type="autofit"/>
        <w:tblCellMar>
          <w:top w:w="0" w:type="dxa"/>
          <w:left w:w="108" w:type="dxa"/>
          <w:bottom w:w="0" w:type="dxa"/>
          <w:right w:w="108" w:type="dxa"/>
        </w:tblCellMar>
      </w:tblPr>
      <w:tblGrid>
        <w:gridCol w:w="1575"/>
        <w:gridCol w:w="7500"/>
      </w:tblGrid>
      <w:tr w14:paraId="15AA3E54">
        <w:tblPrEx>
          <w:tblCellMar>
            <w:top w:w="0" w:type="dxa"/>
            <w:left w:w="108" w:type="dxa"/>
            <w:bottom w:w="0" w:type="dxa"/>
            <w:right w:w="108" w:type="dxa"/>
          </w:tblCellMar>
        </w:tblPrEx>
        <w:trPr>
          <w:trHeight w:val="90"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43947FA3">
            <w:pPr>
              <w:adjustRightInd w:val="0"/>
              <w:snapToGrid w:val="0"/>
              <w:spacing w:line="300" w:lineRule="exact"/>
              <w:jc w:val="left"/>
              <w:rPr>
                <w:rFonts w:hint="eastAsia" w:ascii="宋体" w:hAnsi="宋体" w:eastAsia="宋体" w:cs="宋体"/>
                <w:b w:val="0"/>
                <w:bCs/>
                <w:spacing w:val="-2"/>
                <w:sz w:val="21"/>
                <w:szCs w:val="21"/>
              </w:rPr>
            </w:pPr>
            <w:r>
              <w:rPr>
                <w:rFonts w:hint="eastAsia" w:ascii="宋体" w:hAnsi="宋体" w:eastAsia="宋体" w:cs="宋体"/>
                <w:b/>
                <w:bCs/>
                <w:sz w:val="21"/>
                <w:szCs w:val="21"/>
              </w:rPr>
              <w:t>供应商资质</w:t>
            </w:r>
          </w:p>
        </w:tc>
        <w:tc>
          <w:tcPr>
            <w:tcW w:w="7500" w:type="dxa"/>
            <w:tcBorders>
              <w:top w:val="single" w:color="auto" w:sz="4" w:space="0"/>
              <w:left w:val="single" w:color="auto" w:sz="4" w:space="0"/>
              <w:bottom w:val="single" w:color="auto" w:sz="4" w:space="0"/>
              <w:right w:val="single" w:color="auto" w:sz="4" w:space="0"/>
            </w:tcBorders>
            <w:vAlign w:val="center"/>
          </w:tcPr>
          <w:p w14:paraId="2B2B0AA9">
            <w:pPr>
              <w:widowControl/>
              <w:spacing w:line="400" w:lineRule="exact"/>
              <w:jc w:val="left"/>
              <w:rPr>
                <w:rFonts w:hint="eastAsia" w:ascii="宋体" w:hAnsi="宋体"/>
                <w:sz w:val="18"/>
                <w:szCs w:val="18"/>
              </w:rPr>
            </w:pPr>
            <w:r>
              <w:rPr>
                <w:rFonts w:hint="eastAsia" w:ascii="宋体" w:hAnsi="宋体"/>
                <w:sz w:val="18"/>
                <w:szCs w:val="18"/>
              </w:rPr>
              <w:t>1.国内注册【依法在市场监督管理部门(或行政审批部门)登记注册】的，具备合法资格的供应商。</w:t>
            </w:r>
          </w:p>
          <w:p w14:paraId="2EFB231D">
            <w:pPr>
              <w:widowControl/>
              <w:spacing w:line="400" w:lineRule="exact"/>
              <w:jc w:val="left"/>
              <w:rPr>
                <w:rFonts w:hint="eastAsia" w:ascii="宋体" w:hAnsi="宋体" w:eastAsia="宋体"/>
                <w:sz w:val="18"/>
                <w:szCs w:val="18"/>
                <w:lang w:val="en-US" w:eastAsia="zh-CN"/>
              </w:rPr>
            </w:pPr>
            <w:r>
              <w:rPr>
                <w:rFonts w:hint="eastAsia" w:ascii="宋体" w:hAnsi="宋体"/>
                <w:sz w:val="18"/>
                <w:szCs w:val="18"/>
              </w:rPr>
              <w:t>2.本项目不接受在“信用中国”网站(www.creditchina.gov.cn)、中国政府采购网(www.ccgp.gov.cn)被列入失信被执行人、重大税收违法失信主体、严重违法失信行为记录名单的供应商参与报</w:t>
            </w:r>
            <w:r>
              <w:rPr>
                <w:rFonts w:hint="eastAsia" w:ascii="宋体" w:hAnsi="宋体"/>
                <w:sz w:val="18"/>
                <w:szCs w:val="18"/>
                <w:lang w:val="en-US" w:eastAsia="zh-CN"/>
              </w:rPr>
              <w:t>价。</w:t>
            </w:r>
          </w:p>
          <w:p w14:paraId="3FC316BE">
            <w:pPr>
              <w:widowControl/>
              <w:spacing w:line="400" w:lineRule="exact"/>
              <w:jc w:val="left"/>
              <w:rPr>
                <w:rFonts w:hint="eastAsia" w:ascii="宋体" w:hAnsi="宋体"/>
                <w:sz w:val="18"/>
                <w:szCs w:val="18"/>
              </w:rPr>
            </w:pPr>
            <w:r>
              <w:rPr>
                <w:rFonts w:hint="eastAsia" w:ascii="宋体" w:hAnsi="宋体"/>
                <w:sz w:val="18"/>
                <w:szCs w:val="18"/>
              </w:rPr>
              <w:t>3.参加投标采购活动前三年内，在经营活动中没有重大违法记录: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p>
          <w:p w14:paraId="6161A9CD">
            <w:pPr>
              <w:widowControl/>
              <w:spacing w:line="400" w:lineRule="exact"/>
              <w:jc w:val="left"/>
              <w:rPr>
                <w:rFonts w:hint="eastAsia"/>
                <w:lang w:val="en-US" w:eastAsia="zh-CN"/>
              </w:rPr>
            </w:pPr>
            <w:r>
              <w:rPr>
                <w:rFonts w:hint="eastAsia" w:ascii="宋体" w:hAnsi="宋体"/>
                <w:sz w:val="18"/>
                <w:szCs w:val="18"/>
              </w:rPr>
              <w:t>4.本项目</w:t>
            </w:r>
            <w:r>
              <w:rPr>
                <w:rFonts w:hint="eastAsia" w:ascii="宋体" w:hAnsi="宋体"/>
                <w:sz w:val="18"/>
                <w:szCs w:val="18"/>
                <w:lang w:val="en-US" w:eastAsia="zh-CN"/>
              </w:rPr>
              <w:t>不</w:t>
            </w:r>
            <w:r>
              <w:rPr>
                <w:rFonts w:hint="eastAsia" w:ascii="宋体" w:hAnsi="宋体"/>
                <w:sz w:val="18"/>
                <w:szCs w:val="18"/>
              </w:rPr>
              <w:t>接受联合体参与报价。</w:t>
            </w:r>
          </w:p>
        </w:tc>
      </w:tr>
      <w:tr w14:paraId="0B6C988A">
        <w:tblPrEx>
          <w:tblCellMar>
            <w:top w:w="0" w:type="dxa"/>
            <w:left w:w="108" w:type="dxa"/>
            <w:bottom w:w="0" w:type="dxa"/>
            <w:right w:w="108" w:type="dxa"/>
          </w:tblCellMar>
        </w:tblPrEx>
        <w:trPr>
          <w:trHeight w:val="402"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4D5FEE6C">
            <w:pPr>
              <w:adjustRightInd w:val="0"/>
              <w:snapToGrid w:val="0"/>
              <w:spacing w:line="300" w:lineRule="exact"/>
              <w:jc w:val="left"/>
              <w:rPr>
                <w:rFonts w:hint="eastAsia" w:ascii="宋体" w:hAnsi="宋体" w:eastAsia="宋体" w:cs="宋体"/>
                <w:b w:val="0"/>
                <w:bCs/>
                <w:spacing w:val="-2"/>
                <w:kern w:val="2"/>
                <w:sz w:val="21"/>
                <w:szCs w:val="21"/>
                <w:lang w:val="en-US" w:eastAsia="zh-CN" w:bidi="ar-SA"/>
              </w:rPr>
            </w:pPr>
            <w:r>
              <w:rPr>
                <w:rFonts w:hint="eastAsia" w:ascii="宋体" w:hAnsi="宋体" w:eastAsia="宋体" w:cs="宋体"/>
                <w:b/>
                <w:bCs/>
                <w:sz w:val="21"/>
                <w:szCs w:val="21"/>
              </w:rPr>
              <w:t>服务要求</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36A6F2FF">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建设项目成果符合《公立医院内部控制管理办法》（国卫财务发〔2020〕31号）《关于进一步加强公立医院内部控制建设的指导意见》（财会〔2023〕31号）《行政事业单位内部控制规范（试行）》（财会〔2012〕21号）《广西卫生健康领域采购重点环节操作规范》（桂卫财审发〔2023〕2号）等相关文件要求及监管要求，获得采购人相关决策机构审核通过或者无修改意见。</w:t>
            </w:r>
          </w:p>
          <w:p w14:paraId="33FA3E0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2.本项目须配置高级咨询经理1位，咨询顾问2位，专家顾问1位，相关人员须依据资质要求内容提供相关证明材料。</w:t>
            </w:r>
          </w:p>
        </w:tc>
      </w:tr>
      <w:tr w14:paraId="61400CA1">
        <w:tblPrEx>
          <w:tblCellMar>
            <w:top w:w="0" w:type="dxa"/>
            <w:left w:w="108" w:type="dxa"/>
            <w:bottom w:w="0" w:type="dxa"/>
            <w:right w:w="108" w:type="dxa"/>
          </w:tblCellMar>
        </w:tblPrEx>
        <w:trPr>
          <w:trHeight w:val="90"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2F49A8F1">
            <w:pPr>
              <w:adjustRightInd w:val="0"/>
              <w:snapToGrid w:val="0"/>
              <w:spacing w:line="300" w:lineRule="exact"/>
              <w:jc w:val="left"/>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交付期及地点</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01F5612F">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1.交付期：自签订合同之日起90个日历日内验收合格并交付采购人。</w:t>
            </w:r>
          </w:p>
          <w:p w14:paraId="4D85F021">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2.交付地点：招标人指定地点。</w:t>
            </w:r>
          </w:p>
        </w:tc>
      </w:tr>
      <w:tr w14:paraId="1D794ED1">
        <w:tblPrEx>
          <w:tblCellMar>
            <w:top w:w="0" w:type="dxa"/>
            <w:left w:w="108" w:type="dxa"/>
            <w:bottom w:w="0" w:type="dxa"/>
            <w:right w:w="108" w:type="dxa"/>
          </w:tblCellMar>
        </w:tblPrEx>
        <w:trPr>
          <w:trHeight w:val="90"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60BC24F5">
            <w:pPr>
              <w:adjustRightInd w:val="0"/>
              <w:snapToGrid w:val="0"/>
              <w:spacing w:line="300" w:lineRule="exact"/>
              <w:jc w:val="left"/>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付款方式</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05475FA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付款方式：合同签订后，自双方验收合格且采购人收到中标人开具的正规等额、有效发票之日起30个工作日后向中标人支付合同约定的全部款项。</w:t>
            </w:r>
            <w:bookmarkStart w:id="0" w:name="_GoBack"/>
            <w:bookmarkEnd w:id="0"/>
          </w:p>
        </w:tc>
      </w:tr>
      <w:tr w14:paraId="391CEDB6">
        <w:tblPrEx>
          <w:tblCellMar>
            <w:top w:w="0" w:type="dxa"/>
            <w:left w:w="108" w:type="dxa"/>
            <w:bottom w:w="0" w:type="dxa"/>
            <w:right w:w="108" w:type="dxa"/>
          </w:tblCellMar>
        </w:tblPrEx>
        <w:trPr>
          <w:trHeight w:val="1260"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6CDF28C">
            <w:pPr>
              <w:adjustRightInd w:val="0"/>
              <w:snapToGrid w:val="0"/>
              <w:spacing w:line="300" w:lineRule="exact"/>
              <w:jc w:val="left"/>
              <w:rPr>
                <w:rFonts w:hint="eastAsia" w:ascii="宋体" w:hAnsi="宋体" w:eastAsia="宋体" w:cs="宋体"/>
                <w:b w:val="0"/>
                <w:bCs/>
                <w:color w:val="auto"/>
                <w:spacing w:val="-2"/>
                <w:kern w:val="2"/>
                <w:sz w:val="21"/>
                <w:szCs w:val="21"/>
                <w:lang w:val="en-US" w:eastAsia="zh-CN" w:bidi="ar-SA"/>
              </w:rPr>
            </w:pPr>
            <w:r>
              <w:rPr>
                <w:rFonts w:hint="eastAsia" w:ascii="宋体" w:hAnsi="宋体" w:eastAsia="宋体" w:cs="宋体"/>
                <w:b/>
                <w:bCs/>
                <w:sz w:val="21"/>
                <w:szCs w:val="21"/>
              </w:rPr>
              <w:t>验收标准</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06F11294">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1.投标人提供的产品必须符合国家强制执行的相关质量标准要求以及产品制造厂家合格产品的出厂质量标准。</w:t>
            </w:r>
          </w:p>
          <w:p w14:paraId="605F8F4A">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产品到货交付后，采购人将根据招标文件要求及投标文件承诺逐条对应进行核验，必要时，采购人有权邀请国家质量监督检验部门或国家认可的检测机构参与共同验收。如产品不满足招标文件要求、投标文件承诺或国家强制执行的相关质量标准要求以及产品制造厂家合格产品的出厂质量标准，采购人有权不予验收，由此造成采购人的经济损失由中标人承担全部赔偿责任，验收时所产生的一切费用由中标人承担。</w:t>
            </w:r>
          </w:p>
          <w:p w14:paraId="3D1AB569">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3.项目完成系统建设内容，经稳定运行一周以上可提出验收，中标人按医院信息化项目管理制度要求提供有关材料，由采购人组织现场验收。</w:t>
            </w:r>
          </w:p>
          <w:p w14:paraId="6BC171D7">
            <w:pPr>
              <w:widowControl/>
              <w:spacing w:line="400" w:lineRule="exact"/>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4.验收其他要求按合同条款执行。</w:t>
            </w:r>
          </w:p>
        </w:tc>
      </w:tr>
      <w:tr w14:paraId="259FFBCB">
        <w:tblPrEx>
          <w:tblCellMar>
            <w:top w:w="0" w:type="dxa"/>
            <w:left w:w="108" w:type="dxa"/>
            <w:bottom w:w="0" w:type="dxa"/>
            <w:right w:w="108" w:type="dxa"/>
          </w:tblCellMar>
        </w:tblPrEx>
        <w:trPr>
          <w:trHeight w:val="1260"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601B476">
            <w:pPr>
              <w:adjustRightInd w:val="0"/>
              <w:snapToGrid w:val="0"/>
              <w:spacing w:line="300" w:lineRule="exact"/>
              <w:jc w:val="left"/>
              <w:rPr>
                <w:rFonts w:hint="eastAsia" w:ascii="宋体" w:hAnsi="宋体" w:eastAsia="宋体" w:cs="宋体"/>
                <w:b w:val="0"/>
                <w:bCs/>
                <w:spacing w:val="-2"/>
                <w:kern w:val="2"/>
                <w:sz w:val="21"/>
                <w:szCs w:val="21"/>
                <w:highlight w:val="none"/>
                <w:lang w:val="zh-CN" w:eastAsia="zh-CN" w:bidi="ar-SA"/>
              </w:rPr>
            </w:pPr>
            <w:r>
              <w:rPr>
                <w:rFonts w:hint="eastAsia" w:ascii="宋体" w:hAnsi="宋体" w:eastAsia="宋体" w:cs="宋体"/>
                <w:b/>
                <w:bCs/>
                <w:sz w:val="21"/>
                <w:szCs w:val="21"/>
                <w:lang w:val="zh-CN"/>
              </w:rPr>
              <w:t>其他要求</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5D439B0C">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本项目所提供的软件必须具有合法的版权或使用权，如在本项目范围内使用过程中出现版权或使用权纠纷，应由供应商负责。</w:t>
            </w:r>
          </w:p>
          <w:p w14:paraId="4F88C8FE">
            <w:pPr>
              <w:widowControl/>
              <w:spacing w:line="400" w:lineRule="exact"/>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本项目不接受联合投标，不接受分包或转包。</w:t>
            </w:r>
          </w:p>
        </w:tc>
      </w:tr>
      <w:tr w14:paraId="4491C3A3">
        <w:tblPrEx>
          <w:tblCellMar>
            <w:top w:w="0" w:type="dxa"/>
            <w:left w:w="108" w:type="dxa"/>
            <w:bottom w:w="0" w:type="dxa"/>
            <w:right w:w="108" w:type="dxa"/>
          </w:tblCellMar>
        </w:tblPrEx>
        <w:trPr>
          <w:trHeight w:val="90" w:hRule="atLeast"/>
          <w:jc w:val="center"/>
        </w:trPr>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D289981">
            <w:pPr>
              <w:adjustRightInd w:val="0"/>
              <w:snapToGrid w:val="0"/>
              <w:spacing w:line="300" w:lineRule="exact"/>
              <w:jc w:val="left"/>
              <w:rPr>
                <w:rFonts w:hint="eastAsia" w:ascii="宋体" w:hAnsi="宋体" w:eastAsia="宋体" w:cs="宋体"/>
                <w:b/>
                <w:bCs/>
                <w:sz w:val="21"/>
                <w:szCs w:val="21"/>
                <w:lang w:val="zh-CN"/>
              </w:rPr>
            </w:pPr>
            <w:r>
              <w:rPr>
                <w:rFonts w:hint="eastAsia" w:ascii="宋体" w:hAnsi="宋体" w:eastAsia="宋体" w:cs="宋体"/>
                <w:b/>
                <w:bCs/>
                <w:sz w:val="21"/>
                <w:szCs w:val="21"/>
                <w:lang w:val="en-US" w:eastAsia="zh-CN"/>
              </w:rPr>
              <w:t>最高限价</w:t>
            </w:r>
          </w:p>
        </w:tc>
        <w:tc>
          <w:tcPr>
            <w:tcW w:w="7500" w:type="dxa"/>
            <w:tcBorders>
              <w:top w:val="single" w:color="auto" w:sz="4" w:space="0"/>
              <w:left w:val="single" w:color="auto" w:sz="4" w:space="0"/>
              <w:bottom w:val="single" w:color="auto" w:sz="4" w:space="0"/>
              <w:right w:val="single" w:color="auto" w:sz="4" w:space="0"/>
            </w:tcBorders>
            <w:shd w:val="clear" w:color="auto" w:fill="auto"/>
            <w:vAlign w:val="center"/>
          </w:tcPr>
          <w:p w14:paraId="1FCEC318">
            <w:pPr>
              <w:widowControl/>
              <w:spacing w:line="400" w:lineRule="exact"/>
              <w:jc w:val="left"/>
              <w:rPr>
                <w:rFonts w:hint="eastAsia" w:ascii="宋体" w:hAnsi="宋体" w:eastAsia="宋体" w:cs="Times New Roman"/>
                <w:sz w:val="18"/>
                <w:szCs w:val="18"/>
                <w:lang w:val="en-US" w:eastAsia="zh-CN"/>
              </w:rPr>
            </w:pPr>
            <w:r>
              <w:rPr>
                <w:rFonts w:hint="eastAsia" w:ascii="宋体" w:hAnsi="宋体"/>
                <w:sz w:val="18"/>
                <w:szCs w:val="18"/>
              </w:rPr>
              <w:t>本项目预算金额为人民币</w:t>
            </w:r>
            <w:r>
              <w:rPr>
                <w:rFonts w:hint="eastAsia" w:ascii="宋体" w:hAnsi="宋体"/>
                <w:color w:val="FF0000"/>
                <w:sz w:val="18"/>
                <w:szCs w:val="18"/>
                <w:lang w:val="en-US" w:eastAsia="zh-CN"/>
              </w:rPr>
              <w:t>壹拾伍万元整（¥150000.00）</w:t>
            </w:r>
            <w:r>
              <w:rPr>
                <w:rFonts w:hint="eastAsia" w:ascii="宋体" w:hAnsi="宋体"/>
                <w:sz w:val="18"/>
                <w:szCs w:val="18"/>
              </w:rPr>
              <w:t>，</w:t>
            </w:r>
            <w:r>
              <w:rPr>
                <w:rFonts w:hint="eastAsia" w:ascii="宋体" w:hAnsi="宋体"/>
                <w:sz w:val="18"/>
                <w:szCs w:val="18"/>
                <w:lang w:val="en-US" w:eastAsia="zh-CN"/>
              </w:rPr>
              <w:t>投标人</w:t>
            </w:r>
            <w:r>
              <w:rPr>
                <w:rFonts w:hint="eastAsia" w:ascii="宋体" w:hAnsi="宋体"/>
                <w:sz w:val="18"/>
                <w:szCs w:val="18"/>
              </w:rPr>
              <w:t>报价超出参考预算金额的，按无效处理。</w:t>
            </w:r>
          </w:p>
        </w:tc>
      </w:tr>
    </w:tbl>
    <w:p w14:paraId="2060D54B"/>
    <w:p w14:paraId="219FE979">
      <w:pPr>
        <w:numPr>
          <w:ilvl w:val="0"/>
          <w:numId w:val="0"/>
        </w:numPr>
        <w:jc w:val="left"/>
        <w:rPr>
          <w:rFonts w:hint="eastAsia" w:ascii="宋体" w:hAnsi="宋体" w:cs="宋体"/>
          <w:b/>
          <w:bCs w:val="0"/>
          <w:sz w:val="24"/>
          <w:szCs w:val="24"/>
          <w:lang w:val="en-US" w:eastAsia="zh-CN"/>
        </w:rPr>
      </w:pPr>
    </w:p>
    <w:p w14:paraId="4AE74951">
      <w:pPr>
        <w:pStyle w:val="4"/>
        <w:numPr>
          <w:ilvl w:val="0"/>
          <w:numId w:val="0"/>
        </w:numPr>
        <w:rPr>
          <w:rFonts w:hint="eastAsia"/>
        </w:rPr>
      </w:pPr>
    </w:p>
    <w:p w14:paraId="393ADB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4DCF9"/>
    <w:multiLevelType w:val="singleLevel"/>
    <w:tmpl w:val="DF64DCF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7ACD"/>
    <w:rsid w:val="0D804797"/>
    <w:rsid w:val="0DBC574E"/>
    <w:rsid w:val="12670401"/>
    <w:rsid w:val="13390465"/>
    <w:rsid w:val="17375756"/>
    <w:rsid w:val="184616E2"/>
    <w:rsid w:val="1E1332F5"/>
    <w:rsid w:val="1E8A5DE4"/>
    <w:rsid w:val="20FC6612"/>
    <w:rsid w:val="21D3730A"/>
    <w:rsid w:val="25D315FC"/>
    <w:rsid w:val="2E693783"/>
    <w:rsid w:val="305203E9"/>
    <w:rsid w:val="30F73365"/>
    <w:rsid w:val="32227DB9"/>
    <w:rsid w:val="345B12C4"/>
    <w:rsid w:val="3BAF1030"/>
    <w:rsid w:val="3F9E3E2A"/>
    <w:rsid w:val="411B504A"/>
    <w:rsid w:val="44E0071B"/>
    <w:rsid w:val="4AEA4621"/>
    <w:rsid w:val="4B045373"/>
    <w:rsid w:val="4B783F5F"/>
    <w:rsid w:val="4B835B73"/>
    <w:rsid w:val="4D7A195F"/>
    <w:rsid w:val="4DCE3E0D"/>
    <w:rsid w:val="4FBE4323"/>
    <w:rsid w:val="503B1779"/>
    <w:rsid w:val="51FB42E8"/>
    <w:rsid w:val="52CE1B5C"/>
    <w:rsid w:val="547D21CC"/>
    <w:rsid w:val="5C886ED1"/>
    <w:rsid w:val="5DD451FE"/>
    <w:rsid w:val="6A855EE4"/>
    <w:rsid w:val="6D133DBF"/>
    <w:rsid w:val="6D206B80"/>
    <w:rsid w:val="740F3067"/>
    <w:rsid w:val="76412F66"/>
    <w:rsid w:val="77B5724E"/>
    <w:rsid w:val="784A4D50"/>
    <w:rsid w:val="79BF7F82"/>
    <w:rsid w:val="7A58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link w:val="14"/>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rPr>
  </w:style>
  <w:style w:type="paragraph" w:styleId="6">
    <w:name w:val="Body Text"/>
    <w:basedOn w:val="1"/>
    <w:unhideWhenUsed/>
    <w:qFormat/>
    <w:uiPriority w:val="0"/>
    <w:pPr>
      <w:spacing w:after="120"/>
    </w:pPr>
  </w:style>
  <w:style w:type="paragraph" w:styleId="7">
    <w:name w:val="Body Text Indent"/>
    <w:basedOn w:val="1"/>
    <w:semiHidden/>
    <w:unhideWhenUsed/>
    <w:qFormat/>
    <w:uiPriority w:val="99"/>
    <w:pPr>
      <w:spacing w:after="120"/>
      <w:ind w:left="420" w:leftChars="200"/>
    </w:pPr>
  </w:style>
  <w:style w:type="paragraph" w:styleId="8">
    <w:name w:val="footer"/>
    <w:basedOn w:val="1"/>
    <w:uiPriority w:val="0"/>
    <w:pPr>
      <w:tabs>
        <w:tab w:val="center" w:pos="4153"/>
        <w:tab w:val="right" w:pos="8306"/>
      </w:tabs>
      <w:snapToGrid w:val="0"/>
      <w:jc w:val="left"/>
    </w:pPr>
    <w:rPr>
      <w:sz w:val="18"/>
    </w:rPr>
  </w:style>
  <w:style w:type="paragraph" w:styleId="9">
    <w:name w:val="toc 1"/>
    <w:basedOn w:val="1"/>
    <w:next w:val="1"/>
    <w:qFormat/>
    <w:uiPriority w:val="39"/>
  </w:style>
  <w:style w:type="paragraph" w:styleId="10">
    <w:name w:val="Body Text First Indent 2"/>
    <w:basedOn w:val="7"/>
    <w:next w:val="1"/>
    <w:qFormat/>
    <w:uiPriority w:val="0"/>
    <w:pPr>
      <w:widowControl w:val="0"/>
      <w:spacing w:after="0"/>
      <w:ind w:left="0" w:leftChars="0"/>
      <w:jc w:val="both"/>
    </w:pPr>
    <w:rPr>
      <w:rFonts w:ascii="宋体" w:hAnsi="Courier New"/>
      <w:spacing w:val="-4"/>
      <w:kern w:val="2"/>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Char"/>
    <w:link w:val="5"/>
    <w:qFormat/>
    <w:uiPriority w:val="99"/>
    <w:rPr>
      <w:rFonts w:ascii="Calibri" w:hAnsi="Calibri" w:eastAsia="宋体" w:cs="Times New Roman"/>
      <w:kern w:val="2"/>
      <w:sz w:val="28"/>
      <w:szCs w:val="22"/>
      <w:lang w:val="en-US" w:eastAsia="zh-CN" w:bidi="ar-SA"/>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2023</Words>
  <Characters>2117</Characters>
  <Lines>0</Lines>
  <Paragraphs>0</Paragraphs>
  <TotalTime>35</TotalTime>
  <ScaleCrop>false</ScaleCrop>
  <LinksUpToDate>false</LinksUpToDate>
  <CharactersWithSpaces>2117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2026-05-22T01:34:22Z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69E661B178A2495284B28AFA3B9381A5_13</vt:lpwstr>
  </property>
  <property fmtid="{D5CDD505-2E9C-101B-9397-08002B2CF9AE}" pid="4" name="KSOTemplateDocerSaveRecord">
    <vt:lpwstr>eyJoZGlkIjoiODJhZjYxNmNlMWQyYTI4MDdkNDQzYWM1MDViY2VlZTMiLCJ1c2VySWQiOiI0MzYyNDA5MDIifQ==</vt:lpwstr>
  </property>
</Properties>
</file>