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A8CFB">
      <w:pPr>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智慧服务三级功能提升建设项目-功能需求</w:t>
      </w:r>
    </w:p>
    <w:p w14:paraId="59E5202D">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1.技术要求</w:t>
      </w:r>
    </w:p>
    <w:tbl>
      <w:tblPr>
        <w:tblStyle w:val="3"/>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0"/>
        <w:gridCol w:w="347"/>
        <w:gridCol w:w="495"/>
        <w:gridCol w:w="435"/>
        <w:gridCol w:w="7852"/>
      </w:tblGrid>
      <w:tr w14:paraId="1D2F9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32F7F">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名称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D745B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6787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功能描述</w:t>
            </w:r>
          </w:p>
        </w:tc>
      </w:tr>
      <w:tr w14:paraId="17F5D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65A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架构升级</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C7E8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界面风格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07097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界面设计充分考虑用户使用习惯，让用户更快更方便地触达高频常用功能，全面优化与第三方对接的形式，保证界面风格和功能使用方式的一致性，建立完整统一的互联网便民服务的对外形象。满足一致性、易用性、高效性、兼容性、可扩展性、安全稳定性等设计原则。</w:t>
            </w:r>
          </w:p>
        </w:tc>
      </w:tr>
      <w:tr w14:paraId="73E12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7D056">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2</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B8B9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一体化门户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C2254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为患者提供统一的线上诊疗门户入口，呈现默认就诊人员信息，待处理事项，为患者提供围绕门诊、住院、互联网医院等个性主页组合排列能力服务。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为医护人员提供统一的线上诊疗门户入口，聚合互联网+本项目提供的诊疗各类服务应用。</w:t>
            </w:r>
          </w:p>
        </w:tc>
      </w:tr>
      <w:tr w14:paraId="3D710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83F83">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7ED6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功能迁移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4F667B">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实现现有智慧服务功能及互联网医院功能的迁移，如电子健康卡管理、预约挂号、报告查询、门诊缴费、自助入院、住院押金补缴、住院日清单、在线咨询、在线问诊、处方流转等线上服务功能。</w:t>
            </w:r>
          </w:p>
        </w:tc>
      </w:tr>
      <w:tr w14:paraId="2DD6C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F864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组织管理子系统</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A00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机构列表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E9C211">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提供机构管理，包括机构LOGO、医院名称、医院编码、医院级别、上班时间、经纬度、位置信息、医院介绍等信息管理；</w:t>
            </w:r>
          </w:p>
        </w:tc>
      </w:tr>
      <w:tr w14:paraId="1168A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9087E">
            <w:pPr>
              <w:jc w:val="center"/>
              <w:rPr>
                <w:rFonts w:hint="eastAsia" w:ascii="宋体" w:hAnsi="宋体" w:eastAsia="宋体" w:cs="宋体"/>
                <w:i w:val="0"/>
                <w:iCs w:val="0"/>
                <w:color w:val="000000"/>
                <w:sz w:val="18"/>
                <w:szCs w:val="18"/>
                <w:u w:val="none"/>
              </w:rPr>
            </w:pPr>
          </w:p>
        </w:tc>
        <w:tc>
          <w:tcPr>
            <w:tcW w:w="0" w:type="auto"/>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F7B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商务号配置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A3A0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提供商户号配置列表，包括支付业务类型、支付渠道、商户号ID、商户密钥、商户模式等信息的配置，方便机构对于商户号的管理；</w:t>
            </w:r>
          </w:p>
        </w:tc>
      </w:tr>
      <w:tr w14:paraId="36498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E3C28">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8D87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3B03E">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提供商户号配置的管理，包括商户号配置的新增、删除和修改。</w:t>
            </w:r>
          </w:p>
        </w:tc>
      </w:tr>
      <w:tr w14:paraId="568D6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996AB">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F639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821A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提供商户号配置可以按照支付类型和支付渠道进行信息筛选；</w:t>
            </w:r>
          </w:p>
        </w:tc>
      </w:tr>
      <w:tr w14:paraId="61F3E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F3F5F">
            <w:pPr>
              <w:jc w:val="center"/>
              <w:rPr>
                <w:rFonts w:hint="eastAsia" w:ascii="宋体" w:hAnsi="宋体" w:eastAsia="宋体" w:cs="宋体"/>
                <w:i w:val="0"/>
                <w:iCs w:val="0"/>
                <w:color w:val="000000"/>
                <w:sz w:val="18"/>
                <w:szCs w:val="18"/>
                <w:u w:val="none"/>
              </w:rPr>
            </w:pPr>
          </w:p>
        </w:tc>
        <w:tc>
          <w:tcPr>
            <w:tcW w:w="0" w:type="auto"/>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8164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科室管理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B816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提供科室列表，包括序号、科室名称、科室编码、科室地址、上级科室、上级科室编码、所属院区、HIS科室ID、排序等信息展示；</w:t>
            </w:r>
          </w:p>
        </w:tc>
      </w:tr>
      <w:tr w14:paraId="5D71D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E4FE8">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DBAC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62EA2">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科室列表提供按照科室名称搜索和所属院区进行筛选；</w:t>
            </w:r>
          </w:p>
        </w:tc>
      </w:tr>
      <w:tr w14:paraId="1C431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E8FF7">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8C04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FD6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科室列表提供按照科室层级进行展示；</w:t>
            </w:r>
          </w:p>
        </w:tc>
      </w:tr>
      <w:tr w14:paraId="5A864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1372E">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8011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DACD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提供科室列表的列展示配置，可以手动配置部分列隐藏或者展示；支持设定为固定列和非固定列；</w:t>
            </w:r>
          </w:p>
        </w:tc>
      </w:tr>
      <w:tr w14:paraId="1D686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2551A">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F5E67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E1F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提供列密度设置，包括默认、中等和紧凑；</w:t>
            </w:r>
          </w:p>
        </w:tc>
      </w:tr>
      <w:tr w14:paraId="1416C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3D1EC">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19D5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C0BF8">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与HIS对接接口，实现科室数据的定时拉取；同时支持部分数据手动维护，如排序；</w:t>
            </w:r>
          </w:p>
        </w:tc>
      </w:tr>
      <w:tr w14:paraId="60E58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A8186">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F849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6AC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提供手动刷新科室数据按钮；</w:t>
            </w:r>
          </w:p>
        </w:tc>
      </w:tr>
      <w:tr w14:paraId="68EDD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290F0">
            <w:pPr>
              <w:jc w:val="center"/>
              <w:rPr>
                <w:rFonts w:hint="eastAsia" w:ascii="宋体" w:hAnsi="宋体" w:eastAsia="宋体" w:cs="宋体"/>
                <w:i w:val="0"/>
                <w:iCs w:val="0"/>
                <w:color w:val="000000"/>
                <w:sz w:val="18"/>
                <w:szCs w:val="18"/>
                <w:u w:val="none"/>
              </w:rPr>
            </w:pPr>
          </w:p>
        </w:tc>
        <w:tc>
          <w:tcPr>
            <w:tcW w:w="0" w:type="auto"/>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0AAC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医护管理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A7BE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提供医护列表，包括序号、医护姓名、照片、编码、职称、所属科室、所属院区、HISID、排序等信息展示；</w:t>
            </w:r>
          </w:p>
        </w:tc>
      </w:tr>
      <w:tr w14:paraId="1E9CD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5919F">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0482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0678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医生列表提供按照姓名搜索和所属科室进行筛选；</w:t>
            </w:r>
          </w:p>
        </w:tc>
      </w:tr>
      <w:tr w14:paraId="7C953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ADE4D">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3CC4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CAF4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提供医护列表的列展示配置，可以手动配置部分列隐藏或者展示；支持设定为固定列和非固定列；</w:t>
            </w:r>
          </w:p>
        </w:tc>
      </w:tr>
      <w:tr w14:paraId="3B528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87CD1">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DF99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AEE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提供列密度设置，包括默认、中等和紧凑；</w:t>
            </w:r>
          </w:p>
        </w:tc>
      </w:tr>
      <w:tr w14:paraId="31E52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6FE63">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7341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78E48">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与HIS对接接口，实现医护数据的定时拉取；同时支持部分数据手动维护，如排序；</w:t>
            </w:r>
          </w:p>
        </w:tc>
      </w:tr>
      <w:tr w14:paraId="6F3E5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F77F2">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767E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96C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提供手动刷新科室数据按钮；</w:t>
            </w:r>
          </w:p>
        </w:tc>
      </w:tr>
      <w:tr w14:paraId="62C92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7208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应用管理子系统</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E444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功能管理</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0D9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功能字典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3A75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提供功能分组字典管理实现对于功能分组，方便对于功能的快速查找和管理；</w:t>
            </w:r>
          </w:p>
        </w:tc>
      </w:tr>
      <w:tr w14:paraId="1F54B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17CA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BE379">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9F41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4AA36">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支持分组字典的新增、修改、删除；</w:t>
            </w:r>
          </w:p>
        </w:tc>
      </w:tr>
      <w:tr w14:paraId="5D401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E23E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45764">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045F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C01D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提供功能分组的列表展示，包括序号、字典类型、字典项标签、字典项键值、排序、字典项描述等信息展示；</w:t>
            </w:r>
          </w:p>
        </w:tc>
      </w:tr>
      <w:tr w14:paraId="0F93B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6B85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71DB40">
            <w:pPr>
              <w:jc w:val="center"/>
              <w:rPr>
                <w:rFonts w:hint="eastAsia" w:ascii="宋体" w:hAnsi="宋体" w:eastAsia="宋体" w:cs="宋体"/>
                <w:i w:val="0"/>
                <w:iCs w:val="0"/>
                <w:color w:val="000000"/>
                <w:sz w:val="18"/>
                <w:szCs w:val="18"/>
                <w:u w:val="none"/>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4DD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功能配置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88808">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提供功能配置的列表展示，可以按照全部及功能分组字典进行功能分组展示；</w:t>
            </w:r>
          </w:p>
        </w:tc>
      </w:tr>
      <w:tr w14:paraId="2C8F4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3186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4257A">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5642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A6D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提供按照功能名称和功能编码进行功能搜索；</w:t>
            </w:r>
          </w:p>
        </w:tc>
      </w:tr>
      <w:tr w14:paraId="6FF16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55A0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95783">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2FC4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BE0EA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提供功能配置列表展示包含但不限于，序号、功能图标、功能名称、功能编码、排序、功能类型、功能描述、模块名称、是否常用等信息；</w:t>
            </w:r>
          </w:p>
        </w:tc>
      </w:tr>
      <w:tr w14:paraId="3572E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B2E3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AB87A">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3976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40E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提供新增、删除及编辑功能配置；</w:t>
            </w:r>
          </w:p>
        </w:tc>
      </w:tr>
      <w:tr w14:paraId="6E97E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BD30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0DAF3">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E22F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363B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提供设置功能配置时，可以按照功能类型动态展示相应配置项；</w:t>
            </w:r>
          </w:p>
        </w:tc>
      </w:tr>
      <w:tr w14:paraId="6E9A1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3D0D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5DF0D">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AAC7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B00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支持设置功能的上架及下架；</w:t>
            </w:r>
          </w:p>
        </w:tc>
      </w:tr>
      <w:tr w14:paraId="4D8C7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BE6B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8EB74">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F710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67C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支持设置功能是否常用；</w:t>
            </w:r>
          </w:p>
        </w:tc>
      </w:tr>
      <w:tr w14:paraId="36BCA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6564A">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B9FA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运营管理</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377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运营位管理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FB6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提供在应用中提供运营位的埋点；</w:t>
            </w:r>
          </w:p>
        </w:tc>
      </w:tr>
      <w:tr w14:paraId="4CF1E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3B66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AD593">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9B92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B29B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提供运营位的管理，包括设置运营位的名称、应用端信息和选择运营位的ID；</w:t>
            </w:r>
          </w:p>
        </w:tc>
      </w:tr>
      <w:tr w14:paraId="07EDE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3972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95F6E">
            <w:pPr>
              <w:jc w:val="center"/>
              <w:rPr>
                <w:rFonts w:hint="eastAsia" w:ascii="宋体" w:hAnsi="宋体" w:eastAsia="宋体" w:cs="宋体"/>
                <w:i w:val="0"/>
                <w:iCs w:val="0"/>
                <w:color w:val="000000"/>
                <w:sz w:val="18"/>
                <w:szCs w:val="18"/>
                <w:u w:val="none"/>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3A3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运营设置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53F2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提供运营列表信息展示，包括序号、标题、图片、跳转类型、排序、展示开始时间、展示结束时间等；</w:t>
            </w:r>
          </w:p>
        </w:tc>
      </w:tr>
      <w:tr w14:paraId="001F1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E54C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44EA1">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65D3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BA7A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提供运营信息的管理，包括运营的新增、修改和删除；</w:t>
            </w:r>
          </w:p>
        </w:tc>
      </w:tr>
      <w:tr w14:paraId="1B882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3902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C8AA0">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A5D6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535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支持设置运营信息的上架或者下架；</w:t>
            </w:r>
          </w:p>
        </w:tc>
      </w:tr>
      <w:tr w14:paraId="29E84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900D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15437">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FD80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455B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支持设置运营信息时，可根据跳转类动态展示相应的配置项；</w:t>
            </w:r>
          </w:p>
        </w:tc>
      </w:tr>
      <w:tr w14:paraId="2E296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7271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7720B">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0A7A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EC617">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支持运营列表信息按照标题、客户端类型、运营位进行筛选；</w:t>
            </w:r>
          </w:p>
        </w:tc>
      </w:tr>
      <w:tr w14:paraId="41A72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D6B693">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3716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消息配置</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DDD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消息模板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B408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提供消息模板的管理，包括模版名称、模板类型和第三方模版ID；</w:t>
            </w:r>
          </w:p>
        </w:tc>
      </w:tr>
      <w:tr w14:paraId="57626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2BB4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583BC">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A3D7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4F35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提供根据模板类型，包括微信公众号、微信小程序、企业微信登，动态展示可配置项；</w:t>
            </w:r>
          </w:p>
        </w:tc>
      </w:tr>
      <w:tr w14:paraId="18335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9CC7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6615D">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E427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0BB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提供设置消息模板是否启用；</w:t>
            </w:r>
          </w:p>
        </w:tc>
      </w:tr>
      <w:tr w14:paraId="31410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2A5E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F93AA">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0A5D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624E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提供按照模板名称和模板类型对消息模板进行信息筛选；</w:t>
            </w:r>
          </w:p>
        </w:tc>
      </w:tr>
      <w:tr w14:paraId="59209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7B19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E02A2">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CBB7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54DC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提供选择相应消息模板，可设置1个或多个发送者手动发送消息；</w:t>
            </w:r>
          </w:p>
        </w:tc>
      </w:tr>
      <w:tr w14:paraId="5EDF8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BB0F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38E7A">
            <w:pPr>
              <w:jc w:val="center"/>
              <w:rPr>
                <w:rFonts w:hint="eastAsia" w:ascii="宋体" w:hAnsi="宋体" w:eastAsia="宋体" w:cs="宋体"/>
                <w:i w:val="0"/>
                <w:iCs w:val="0"/>
                <w:color w:val="000000"/>
                <w:sz w:val="18"/>
                <w:szCs w:val="18"/>
                <w:u w:val="none"/>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DA1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消息记录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EDF86">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提供消息记录列表，包含序号、发送用户、模板类型、模板名称、发送状态、发送时间和重发时间等；</w:t>
            </w:r>
          </w:p>
        </w:tc>
      </w:tr>
      <w:tr w14:paraId="3F56E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5432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F7E0D">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AFAB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27F21E">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支持选择某条消息记录，可以点击重发；</w:t>
            </w:r>
          </w:p>
        </w:tc>
      </w:tr>
      <w:tr w14:paraId="41A21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7384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5036E">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BE91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A9CE7E">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支持按照时间范围、发送用户、模板类型和发送状态进行信息筛选；</w:t>
            </w:r>
          </w:p>
        </w:tc>
      </w:tr>
      <w:tr w14:paraId="03FEC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684D8">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726D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支付管理</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7C54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支付订单管理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5C5DB748">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 提供支付订单列表查询，按院区、业务类型、支付状态、HIS同步状态、退费状态、患者姓名、患者ID、就诊卡号、支付订单号、业务订单号、第三方流水号、HIS结算号、创建时间、支付时间等多条件组合查询支付订单列表，支持分页展示。</w:t>
            </w:r>
          </w:p>
        </w:tc>
      </w:tr>
      <w:tr w14:paraId="19B68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1023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274B1">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5085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1D798D0D">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 具备导出权限的用户可将当前筛选结果导出为文件；导出内容受数据权限、筛选条件和脱敏规则约束；导出动作写入人工操作记录。</w:t>
            </w:r>
          </w:p>
        </w:tc>
      </w:tr>
      <w:tr w14:paraId="4D26C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226F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9DF9A">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C65F6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0BD080A0">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 提供支付订单详情查看，点击列表行[详情]按钮，右侧打开抽屉，按业务信息→订单信息→同步信息→退费信息→操作记录时间轴顺序纵向展示支付订单全流程信息；无退费记录时展示暂无退费记录提示；详情不提供重同步HIS或发起退费入口。</w:t>
            </w:r>
          </w:p>
        </w:tc>
      </w:tr>
      <w:tr w14:paraId="190A0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48E4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3F81E">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4F1C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1066FF13">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 提供异常标签展示，列表中自动识别第三方流水缺失、支付与业务状态不一致等异常情况并以异常标签形式标注，辅助快速定位问题订单。</w:t>
            </w:r>
          </w:p>
        </w:tc>
      </w:tr>
      <w:tr w14:paraId="216C7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E28C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DB5E1">
            <w:pPr>
              <w:jc w:val="center"/>
              <w:rPr>
                <w:rFonts w:hint="eastAsia" w:ascii="宋体" w:hAnsi="宋体" w:eastAsia="宋体" w:cs="宋体"/>
                <w:i w:val="0"/>
                <w:iCs w:val="0"/>
                <w:color w:val="000000"/>
                <w:sz w:val="18"/>
                <w:szCs w:val="18"/>
                <w:u w:val="none"/>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21E9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单边订单处理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7DCD9C35">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 提供单订单识别与列表展示，自动识别支付成功但HIS同步状态为未同步或同步失败、且退费状态不是退费成功的订单，作为单边订单展示在列表中；列表显示订单号、业务类型、患者、金额、支付时间、HIS同步状态、单边原因、同步次数、最近处理人、处理状态。</w:t>
            </w:r>
          </w:p>
        </w:tc>
      </w:tr>
      <w:tr w14:paraId="0BD44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D963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17BEC">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8D20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5DF8B125">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 提供指标卡展示，页面顶部展示待处理单边数、同步失败数、未同步超时数、退费异常数、今日已处理数5项实时指标，辅助管理人员快速了解异常整体情况。</w:t>
            </w:r>
          </w:p>
        </w:tc>
      </w:tr>
      <w:tr w14:paraId="788DB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56B9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BF965">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1C04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77D76FA3">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 提供单边订单筛选查询，支持按院区、业务类型、单边原因、处理状态、支付订单号、患者信息、支付时间范围等条件筛选单边订单，并可导出查询结果。</w:t>
            </w:r>
          </w:p>
        </w:tc>
      </w:tr>
      <w:tr w14:paraId="264A5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F341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F2AA9">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91B8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31B51177">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 提供重新同步HIS能力，具备重同步HIS权限的用户可对支付成功且HIS未闭环的单边订单执行重同步HIS操作；系统校验权限、支付状态、同步状态、退费状态及频控规则；操作前弹出二次确认弹窗展示当前状态、同步次数和风险提示；执行成功后更新HIS同步状态、同步时间、同步次数和HIS结算号；失败时保留待处理状态并展示失败原因；无论成功或失败均写入人工操作记录。</w:t>
            </w:r>
          </w:p>
        </w:tc>
      </w:tr>
      <w:tr w14:paraId="3DB31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4BC9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6C0F6">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3A1D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7D005254">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 提供发起退费能力，具备发起退费权限的用户可对支付成功且HIS未成功同步的单边订单发起退费；系统校验权限、支付状态、退费状态、流水完整性；操作前弹出二次确认弹窗展示退费金额、退费原因和风险提示；提交后订单进入退费中/退费成功/退费失败状态；操作写入人工操作记录。</w:t>
            </w:r>
          </w:p>
        </w:tc>
      </w:tr>
      <w:tr w14:paraId="05A7C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F2C5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290E4">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6ED2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5FD6922A">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 提供单边订单详情查看，点击[详情]可查看该单边订单关联的支付、同步及历史处理信息。</w:t>
            </w:r>
          </w:p>
        </w:tc>
      </w:tr>
      <w:tr w14:paraId="7B80A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82A39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31DD6">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C6F1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78C3CB1C">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 提供重同步HIS频控，同一订单在频控时间窗口内不可重复提交重同步HIS请求，防止短时间内多次对HIS造成压力；超出频控限制时提示用户等待，频控时间窗口大小支持后台配置。</w:t>
            </w:r>
          </w:p>
        </w:tc>
      </w:tr>
      <w:tr w14:paraId="0A7A5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995D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15CB35">
            <w:pPr>
              <w:jc w:val="center"/>
              <w:rPr>
                <w:rFonts w:hint="eastAsia" w:ascii="宋体" w:hAnsi="宋体" w:eastAsia="宋体" w:cs="宋体"/>
                <w:i w:val="0"/>
                <w:iCs w:val="0"/>
                <w:color w:val="000000"/>
                <w:sz w:val="18"/>
                <w:szCs w:val="18"/>
                <w:u w:val="none"/>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A0B9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退费订单管理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4574CAE6">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 提供退费订单列表查询，支持按院区、业务类型、退费状态、退费来源、原支付订单号、退费订单号、第三方退费ID、患者信息、退费时间等条件查询退费订单；列表展示退费订单号、原支付订单号、业务类型、患者、订单金额、退费金额、退费来源、退费状态、退费时间。</w:t>
            </w:r>
          </w:p>
        </w:tc>
      </w:tr>
      <w:tr w14:paraId="1E2EB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901F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69FE8">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56A7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4A0F9C64">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 提供退费订单筛选与导出，支持多条件组合筛选，可重置筛选条件；具备导出权限的用户可将筛选结果导出文件，导出动作写入人工操作记录。</w:t>
            </w:r>
          </w:p>
        </w:tc>
      </w:tr>
      <w:tr w14:paraId="1D2F9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3CC9E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C8EFF">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D88B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1572F26D">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 提供退费详情查看，点击[详情]打开右侧抽屉，展示退费信息、第三方退费返回结果和操作记录，支持核查退费全链路。</w:t>
            </w:r>
          </w:p>
        </w:tc>
      </w:tr>
      <w:tr w14:paraId="3BAD1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CB1B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DF876">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DFCA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2EBE7E1D">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 提供原订单跳转，点击[原订单]按钮，跳转或打开原支付订单详情，方便财务人员关联核查退费前的支付信息。</w:t>
            </w:r>
          </w:p>
        </w:tc>
      </w:tr>
      <w:tr w14:paraId="57B78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F647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4383F">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D43A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1D455498">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 提供退费失败重试，具备[退费失败重试]权限的用户可对退费失败状态的订单执行重试；系统校验权限、退费状态及原支付订单状态；重试前弹窗二次确认；成功后更新退费状态及支付订单退费状态；失败后保留退费失败状态并更新失败原因；操作写入人工操作记录；退费中、退费成功状态的订单不展示重试按钮。</w:t>
            </w:r>
          </w:p>
        </w:tc>
      </w:tr>
      <w:tr w14:paraId="5F7C9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7516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4E5C2">
            <w:pPr>
              <w:jc w:val="center"/>
              <w:rPr>
                <w:rFonts w:hint="eastAsia" w:ascii="宋体" w:hAnsi="宋体" w:eastAsia="宋体" w:cs="宋体"/>
                <w:i w:val="0"/>
                <w:iCs w:val="0"/>
                <w:color w:val="000000"/>
                <w:sz w:val="18"/>
                <w:szCs w:val="18"/>
                <w:u w:val="none"/>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4E63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人工操作记录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759B8C2F">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 提供操作记录列表查询，记录并展示后台所有人工操作，包括重同步HIS、发起退费、退费重试、导出数据；支持按院区、操作类型、操作结果、操作人、支付订单号、退费订单号、操作时间范围筛选查询，支持分页展示。</w:t>
            </w:r>
          </w:p>
        </w:tc>
      </w:tr>
      <w:tr w14:paraId="00475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3ABA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A6821">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CAF3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3C24A135">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 提供操作记录导出，具备导出权限的用户可将当前筛选的操作记录导出；导出内容受数据权限控制；导出动作本身也会产生一条新的操作记录。</w:t>
            </w:r>
          </w:p>
        </w:tc>
      </w:tr>
      <w:tr w14:paraId="5871A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698A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A8D0D">
            <w:pPr>
              <w:jc w:val="center"/>
              <w:rPr>
                <w:rFonts w:hint="eastAsia" w:ascii="宋体" w:hAnsi="宋体" w:eastAsia="宋体" w:cs="宋体"/>
                <w:i w:val="0"/>
                <w:iCs w:val="0"/>
                <w:color w:val="000000"/>
                <w:sz w:val="18"/>
                <w:szCs w:val="18"/>
                <w:u w:val="none"/>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EE1C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统计看板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3224A381">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 展示5项核心治理指标：支付成功订单数、HIS同步成功率、单边订单数、退费成功率、异常平均处理时长。</w:t>
            </w:r>
          </w:p>
        </w:tc>
      </w:tr>
      <w:tr w14:paraId="2FDBC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3BA6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D67A4">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DDC7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7ED71264">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 提供支付订单趋势图，以柱状图展示指定时间范围内每日/周期支付订单数量趋势，辅助管理层了解业务量波动。</w:t>
            </w:r>
          </w:p>
        </w:tc>
      </w:tr>
      <w:tr w14:paraId="43283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7FE8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90D4C">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0B26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0171100C">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 提供单边原因分布图，以柱状图展示单边订单各原因的分布占比，辅助定位主要异常来源。</w:t>
            </w:r>
          </w:p>
        </w:tc>
      </w:tr>
      <w:tr w14:paraId="0BA80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B278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789FB">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91AC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7BA651A2">
            <w:pPr>
              <w:keepNext w:val="0"/>
              <w:keepLines w:val="0"/>
              <w:widowControl/>
              <w:suppressLineNumbers w:val="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 提供统计数据筛选与导出，支持按院区、业务类型、开始时间、结束时间进行筛选，查询后指标和图表数据联动刷新；可导出统计报表。</w:t>
            </w:r>
          </w:p>
        </w:tc>
      </w:tr>
      <w:tr w14:paraId="34D7D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4446F">
            <w:pPr>
              <w:jc w:val="center"/>
              <w:rPr>
                <w:rFonts w:hint="eastAsia" w:ascii="宋体" w:hAnsi="宋体" w:eastAsia="宋体" w:cs="宋体"/>
                <w:i w:val="0"/>
                <w:iCs w:val="0"/>
                <w:color w:val="000000"/>
                <w:sz w:val="18"/>
                <w:szCs w:val="18"/>
                <w:u w:val="none"/>
              </w:rPr>
            </w:pPr>
          </w:p>
        </w:tc>
        <w:tc>
          <w:tcPr>
            <w:tcW w:w="0" w:type="auto"/>
            <w:vMerge w:val="restart"/>
            <w:tcBorders>
              <w:top w:val="nil"/>
              <w:left w:val="single" w:color="000000" w:sz="4" w:space="0"/>
              <w:bottom w:val="single" w:color="000000" w:sz="4" w:space="0"/>
              <w:right w:val="single" w:color="000000" w:sz="4" w:space="0"/>
            </w:tcBorders>
            <w:shd w:val="clear" w:color="auto" w:fill="auto"/>
            <w:vAlign w:val="center"/>
          </w:tcPr>
          <w:p w14:paraId="047079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就诊卡管理</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B26B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就诊卡列表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3E2C6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 支持多条件筛选查询，支持按患者姓名、手机号、证件号、卡号、医院/院区、绑定状态进行组合筛选查询</w:t>
            </w:r>
          </w:p>
        </w:tc>
      </w:tr>
      <w:tr w14:paraId="0F03F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0836E">
            <w:pPr>
              <w:jc w:val="center"/>
              <w:rPr>
                <w:rFonts w:hint="eastAsia" w:ascii="宋体" w:hAnsi="宋体" w:eastAsia="宋体" w:cs="宋体"/>
                <w:i w:val="0"/>
                <w:iCs w:val="0"/>
                <w:color w:val="000000"/>
                <w:sz w:val="18"/>
                <w:szCs w:val="18"/>
                <w:u w:val="none"/>
              </w:rPr>
            </w:pPr>
          </w:p>
        </w:tc>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14:paraId="387050C8">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5840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A127A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 支持查看绑定关系，展示患者档案号、就诊人、医院/院区、卡号、状态（已绑定/已解除）、主副卡标识、绑定来源、绑定时间</w:t>
            </w:r>
          </w:p>
        </w:tc>
      </w:tr>
      <w:tr w14:paraId="19DC0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41486">
            <w:pPr>
              <w:jc w:val="center"/>
              <w:rPr>
                <w:rFonts w:hint="eastAsia" w:ascii="宋体" w:hAnsi="宋体" w:eastAsia="宋体" w:cs="宋体"/>
                <w:i w:val="0"/>
                <w:iCs w:val="0"/>
                <w:color w:val="000000"/>
                <w:sz w:val="18"/>
                <w:szCs w:val="18"/>
                <w:u w:val="none"/>
              </w:rPr>
            </w:pPr>
          </w:p>
        </w:tc>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14:paraId="6114E8EF">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FBDB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64D78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 支持查询就诊卡详情，在抽屉中展示患者基本信息（账号、就诊人、证件、手机号）、卡信息（医院、院区、卡号、状态）、关系信息（主/副卡、绑定来源、绑定时间）以及历史操作记录</w:t>
            </w:r>
          </w:p>
        </w:tc>
      </w:tr>
      <w:tr w14:paraId="0A988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2F771">
            <w:pPr>
              <w:jc w:val="center"/>
              <w:rPr>
                <w:rFonts w:hint="eastAsia" w:ascii="宋体" w:hAnsi="宋体" w:eastAsia="宋体" w:cs="宋体"/>
                <w:i w:val="0"/>
                <w:iCs w:val="0"/>
                <w:color w:val="000000"/>
                <w:sz w:val="18"/>
                <w:szCs w:val="18"/>
                <w:u w:val="none"/>
              </w:rPr>
            </w:pPr>
          </w:p>
        </w:tc>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14:paraId="33990CD9">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0164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48C87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 提供协助解绑，管理员可协助患者执行解绑操作，需填写原因，操作结果记入操作日志</w:t>
            </w:r>
          </w:p>
        </w:tc>
      </w:tr>
      <w:tr w14:paraId="47196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773F8">
            <w:pPr>
              <w:jc w:val="center"/>
              <w:rPr>
                <w:rFonts w:hint="eastAsia" w:ascii="宋体" w:hAnsi="宋体" w:eastAsia="宋体" w:cs="宋体"/>
                <w:i w:val="0"/>
                <w:iCs w:val="0"/>
                <w:color w:val="000000"/>
                <w:sz w:val="18"/>
                <w:szCs w:val="18"/>
                <w:u w:val="none"/>
              </w:rPr>
            </w:pPr>
          </w:p>
        </w:tc>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14:paraId="7CF6DF44">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77FF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7F679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 支持调整主卡，将指定副卡账号调整为主卡，原主卡降为副卡，需填写原因，操作结果记入人工处理记录和操作日志</w:t>
            </w:r>
          </w:p>
        </w:tc>
      </w:tr>
      <w:tr w14:paraId="34096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95E35">
            <w:pPr>
              <w:jc w:val="center"/>
              <w:rPr>
                <w:rFonts w:hint="eastAsia" w:ascii="宋体" w:hAnsi="宋体" w:eastAsia="宋体" w:cs="宋体"/>
                <w:i w:val="0"/>
                <w:iCs w:val="0"/>
                <w:color w:val="000000"/>
                <w:sz w:val="18"/>
                <w:szCs w:val="18"/>
                <w:u w:val="none"/>
              </w:rPr>
            </w:pPr>
          </w:p>
        </w:tc>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14:paraId="68DBEDF9">
            <w:pPr>
              <w:jc w:val="center"/>
              <w:rPr>
                <w:rFonts w:hint="eastAsia" w:ascii="宋体" w:hAnsi="宋体" w:eastAsia="宋体" w:cs="宋体"/>
                <w:i w:val="0"/>
                <w:iCs w:val="0"/>
                <w:color w:val="000000"/>
                <w:sz w:val="18"/>
                <w:szCs w:val="18"/>
                <w:u w:val="none"/>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DDFF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人工处理记录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3B4F5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 支持多条件查询，支持按处理类型、操作人、患者姓名、卡号、医院/院区、时间范围进行组合筛选</w:t>
            </w:r>
          </w:p>
        </w:tc>
      </w:tr>
      <w:tr w14:paraId="68042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8AF29">
            <w:pPr>
              <w:jc w:val="center"/>
              <w:rPr>
                <w:rFonts w:hint="eastAsia" w:ascii="宋体" w:hAnsi="宋体" w:eastAsia="宋体" w:cs="宋体"/>
                <w:i w:val="0"/>
                <w:iCs w:val="0"/>
                <w:color w:val="000000"/>
                <w:sz w:val="18"/>
                <w:szCs w:val="18"/>
                <w:u w:val="none"/>
              </w:rPr>
            </w:pPr>
          </w:p>
        </w:tc>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14:paraId="5A09F7B9">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BE12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3EF74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 提供人工处理记录列表，展示操作时间、处理类型、患者、卡号、医院/院区、处理原因、处理结果、操作人等字段</w:t>
            </w:r>
          </w:p>
        </w:tc>
      </w:tr>
      <w:tr w14:paraId="2B7D8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89C34">
            <w:pPr>
              <w:jc w:val="center"/>
              <w:rPr>
                <w:rFonts w:hint="eastAsia" w:ascii="宋体" w:hAnsi="宋体" w:eastAsia="宋体" w:cs="宋体"/>
                <w:i w:val="0"/>
                <w:iCs w:val="0"/>
                <w:color w:val="000000"/>
                <w:sz w:val="18"/>
                <w:szCs w:val="18"/>
                <w:u w:val="none"/>
              </w:rPr>
            </w:pPr>
          </w:p>
        </w:tc>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14:paraId="1DBAFF39">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1B4D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03A5C6">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 提供协助解绑处理记录</w:t>
            </w:r>
          </w:p>
        </w:tc>
      </w:tr>
      <w:tr w14:paraId="5472B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6EF72">
            <w:pPr>
              <w:jc w:val="center"/>
              <w:rPr>
                <w:rFonts w:hint="eastAsia" w:ascii="宋体" w:hAnsi="宋体" w:eastAsia="宋体" w:cs="宋体"/>
                <w:i w:val="0"/>
                <w:iCs w:val="0"/>
                <w:color w:val="000000"/>
                <w:sz w:val="18"/>
                <w:szCs w:val="18"/>
                <w:u w:val="none"/>
              </w:rPr>
            </w:pPr>
          </w:p>
        </w:tc>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14:paraId="5DC65C74">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C390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23CD1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 提供主卡调整处理记录</w:t>
            </w:r>
          </w:p>
        </w:tc>
      </w:tr>
      <w:tr w14:paraId="14F8E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C39F9">
            <w:pPr>
              <w:jc w:val="center"/>
              <w:rPr>
                <w:rFonts w:hint="eastAsia" w:ascii="宋体" w:hAnsi="宋体" w:eastAsia="宋体" w:cs="宋体"/>
                <w:i w:val="0"/>
                <w:iCs w:val="0"/>
                <w:color w:val="000000"/>
                <w:sz w:val="18"/>
                <w:szCs w:val="18"/>
                <w:u w:val="none"/>
              </w:rPr>
            </w:pPr>
          </w:p>
        </w:tc>
        <w:tc>
          <w:tcPr>
            <w:tcW w:w="0" w:type="auto"/>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41FC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公告管理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C8ACB">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提供公告的管理，包括公告的添加、修改和删除；</w:t>
            </w:r>
          </w:p>
        </w:tc>
      </w:tr>
      <w:tr w14:paraId="0104B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43758">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53B3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5BC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提供设置公告是否可用；</w:t>
            </w:r>
          </w:p>
        </w:tc>
      </w:tr>
      <w:tr w14:paraId="4BBB6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2ABB1">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3102F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957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提供可以按照公告标题及公告状态筛选信息；</w:t>
            </w:r>
          </w:p>
        </w:tc>
      </w:tr>
      <w:tr w14:paraId="791F5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76084E">
            <w:pPr>
              <w:jc w:val="center"/>
              <w:rPr>
                <w:rFonts w:hint="eastAsia" w:ascii="宋体" w:hAnsi="宋体" w:eastAsia="宋体" w:cs="宋体"/>
                <w:i w:val="0"/>
                <w:iCs w:val="0"/>
                <w:color w:val="000000"/>
                <w:sz w:val="18"/>
                <w:szCs w:val="18"/>
                <w:u w:val="none"/>
              </w:rPr>
            </w:pPr>
          </w:p>
        </w:tc>
        <w:tc>
          <w:tcPr>
            <w:tcW w:w="0" w:type="auto"/>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1913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协议与提醒管理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F6D1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提供协议与提醒的列表展示，包括序号、名称、类型、应用类型、状态等信息；</w:t>
            </w:r>
          </w:p>
        </w:tc>
      </w:tr>
      <w:tr w14:paraId="74504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1CD8F">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7223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DAB88">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提供协议与提醒的管理，包括新增、修改和删除；</w:t>
            </w:r>
          </w:p>
        </w:tc>
      </w:tr>
      <w:tr w14:paraId="383FC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2D291">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0117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314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提供设置协议与提醒是否启用；</w:t>
            </w:r>
          </w:p>
        </w:tc>
      </w:tr>
      <w:tr w14:paraId="0D1EE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7B432">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2CB6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2AA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提供协议与提醒内容的富文本编辑；</w:t>
            </w:r>
          </w:p>
        </w:tc>
      </w:tr>
      <w:tr w14:paraId="531D7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8445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互联网医疗运营分析平台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701F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用户行为采集功能</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4016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全业务及前端页面埋点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0E621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在数字医院微信小程序前</w:t>
            </w:r>
            <w:bookmarkStart w:id="0" w:name="_GoBack"/>
            <w:r>
              <w:rPr>
                <w:rFonts w:hint="eastAsia" w:ascii="宋体" w:hAnsi="宋体" w:eastAsia="宋体" w:cs="宋体"/>
                <w:i w:val="0"/>
                <w:iCs w:val="0"/>
                <w:color w:val="000000"/>
                <w:kern w:val="0"/>
                <w:sz w:val="18"/>
                <w:szCs w:val="18"/>
                <w:u w:val="none"/>
                <w:lang w:val="en-US" w:eastAsia="zh-CN" w:bidi="ar"/>
              </w:rPr>
              <w:t>端页面中实现标准化埋点，采集用户行为数据，包括点击、浏览、表单提交、页面加载等事件。</w:t>
            </w:r>
            <w:bookmarkEnd w:id="0"/>
          </w:p>
        </w:tc>
      </w:tr>
      <w:tr w14:paraId="63837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35F79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CF67F">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2004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用户旅程耗时分析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E8D9D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采集用户在关键业务流程中的每一步耗时，如预约挂号流程中各步骤的耗时，以优化用户体验。</w:t>
            </w:r>
          </w:p>
        </w:tc>
      </w:tr>
      <w:tr w14:paraId="4F544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D5E76">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4620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数据处理</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BB8E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多源数据采集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FEF28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支持从数据库、日志、API等多源异构数据源接入数据，实现平台需要的全域数据整合。</w:t>
            </w:r>
          </w:p>
        </w:tc>
      </w:tr>
      <w:tr w14:paraId="04C20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3DA8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B43E3">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E536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实时数据处理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595C0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对实时数据进行清洗、转换、聚合，支持实时分析和监控。</w:t>
            </w:r>
          </w:p>
        </w:tc>
      </w:tr>
      <w:tr w14:paraId="5E7A3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2AAD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968089">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C55D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批量数据处理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92B99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对历史数据进行批量处理，支持清洗、转换、聚合。</w:t>
            </w:r>
          </w:p>
        </w:tc>
      </w:tr>
      <w:tr w14:paraId="07935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4909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1F264">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91C8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用户数据储存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D4E176">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存储用户行为日志，支持按时间、用户、事件类型等多维度查询。</w:t>
            </w:r>
          </w:p>
        </w:tc>
      </w:tr>
      <w:tr w14:paraId="74D25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7982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847B6">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B3DB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数据存储与管理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B75D46">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1.存储用户行为日志，支持按时间、用户、事件类型等多维度查询。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2.将清洗后数据存储在分布式数据库，加密存储敏感数据。</w:t>
            </w:r>
          </w:p>
        </w:tc>
      </w:tr>
      <w:tr w14:paraId="001A2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E5E1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D3CDD">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1B19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数据开发与建模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AD114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基于业务指标实现业务建模及开发。</w:t>
            </w:r>
          </w:p>
        </w:tc>
      </w:tr>
      <w:tr w14:paraId="33903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B5FDA6">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9DDD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智慧服务运营分析平台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D008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可视化分析平台搭建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313AFB">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打造可视化分析平台，提供多样组件和模板，支持自定义报表，展示时屏蔽敏感信息，设置查看权限，对导出报表水印处理。</w:t>
            </w:r>
          </w:p>
        </w:tc>
      </w:tr>
      <w:tr w14:paraId="32486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31A6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7D591">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1C56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综合管理分析</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F731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实时看板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F9577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累计用户指标： 累计绑卡/建卡数量、访问量、累计入驻医生数（门诊就医与互联网医院）；</w:t>
            </w:r>
          </w:p>
        </w:tc>
      </w:tr>
      <w:tr w14:paraId="104E6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C6D0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87D3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D0AD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CB2D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12DA5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实时动态指标： 今日/本周/本月新增建卡数量、活跃用户数、在线医生数（门诊、互联网医院）；</w:t>
            </w:r>
          </w:p>
        </w:tc>
      </w:tr>
      <w:tr w14:paraId="580F9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0AF0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65428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8A90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B7D9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FEDEE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核心营收指标： 今日/本周/本月总流水（挂号、门诊、住院、互联网医院）、总订单量（挂号、门诊、住院、互联网医院）。</w:t>
            </w:r>
          </w:p>
        </w:tc>
      </w:tr>
      <w:tr w14:paraId="39D3D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FDE7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68F2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CA2F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0667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业务地理分布图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63DBCF">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以动态地图形式，实时展示患者、医生、订单量的地理位置分布。</w:t>
            </w:r>
          </w:p>
        </w:tc>
      </w:tr>
      <w:tr w14:paraId="198D3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94AA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464A7">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B61E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就医服务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5EAA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门诊业务分析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B5FA3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挂号业务分析：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1.挂号量统计：按日/周/月统计挂号量及趋势；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2.热门科室/医生分析：统计挂号量排名靠前的科室和医生，为资源配置提供依据。</w:t>
            </w:r>
          </w:p>
        </w:tc>
      </w:tr>
      <w:tr w14:paraId="24EE0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A059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82E2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301E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1A8B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2121F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门诊缴费分析：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1.费金额统计：按日/周/月统计费金笔数、缴费金额及趋势；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2.缴费渠道分析：分析线上支付（如支付宝、微信）的比例；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3.缴费成功率：统计缴费成功与失败的比例，识别支付环节的瓶颈。</w:t>
            </w:r>
          </w:p>
        </w:tc>
      </w:tr>
      <w:tr w14:paraId="3CCBA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7CFA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9F546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C77A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AEE9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F7D73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药品邮寄分析：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1.药品邮寄量统计：统计药品邮寄订单量及趋势。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2.邮寄时效分析：分析药品从开具到送达的平均时长，评估物流效率。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3.药品类型分布：分析不同药品的邮寄频率，指导库存管理。</w:t>
            </w:r>
          </w:p>
        </w:tc>
      </w:tr>
      <w:tr w14:paraId="49301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9174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B4D4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B650E">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1E6F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住院业务分析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F90AC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办理入院分析：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1.入院量统计：统计住院患者入院量及趋势。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2.入院流程效率：分析从预约到入院的平均时长，评估入院流程的效率。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3.入院科室分布：统计不同科室的入院量，为资源配置提供依据。</w:t>
            </w:r>
          </w:p>
        </w:tc>
      </w:tr>
      <w:tr w14:paraId="349EC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8B7C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BC69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8FAA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74DE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E1F2A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押金补缴分析：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1.押金补缴量统计：统计住院患者补缴押金的次数及金额。</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2.补缴时效分析：分析补缴押金的平均时长，评估补缴流程的效率。</w:t>
            </w:r>
          </w:p>
        </w:tc>
      </w:tr>
      <w:tr w14:paraId="71C58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DC71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B561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A5372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B303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FFC56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病案复印邮寄分析：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1.病案复印量统计：统计病案复印申请的数量及趋势。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2.复印时效分析：分析从申请到邮寄的平均时长，评估复印流程的效率。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3.复印费用分布：统计不同病案的复印费用，评估费用合理性。</w:t>
            </w:r>
          </w:p>
        </w:tc>
      </w:tr>
      <w:tr w14:paraId="7EEEE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7309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B871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32187">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5444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业务漏斗分析模块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9015D1">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预约挂号漏斗： 科室列表页 &gt; 排班 &gt; 号源   -&gt; 确认支付 -&gt; 支付成功。</w:t>
            </w:r>
          </w:p>
        </w:tc>
      </w:tr>
      <w:tr w14:paraId="619DF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3BCB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74F1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85DF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85177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66C0B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药品邮寄漏斗：门诊缴费 &gt; 选择邮寄 &gt; 地址维护 &gt; 缴费 &gt;  邮寄到家。</w:t>
            </w:r>
          </w:p>
        </w:tc>
      </w:tr>
      <w:tr w14:paraId="1499E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7F21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407EA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FDAF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BAD8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14EDE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病案邮寄漏斗：选择住院记录 &gt; 上传材料 &gt; 提交申请 &gt; 缴费 &gt; 审核 &gt; 邮寄到家。</w:t>
            </w:r>
          </w:p>
        </w:tc>
      </w:tr>
      <w:tr w14:paraId="16A90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BEA9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E2F7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8B99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31C4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5ED6E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漏斗可视化： 以形象的漏斗图展示每个节点的转化率和流失率。</w:t>
            </w:r>
          </w:p>
        </w:tc>
      </w:tr>
      <w:tr w14:paraId="39751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32E8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187E0">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A7F5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互联网医院运营分析</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EE89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在线问诊业务分析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0F648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问诊量分析： 按日/周/月/季/年统计图文、电话、视频等不同问诊类型的总量、占比及趋势；</w:t>
            </w:r>
          </w:p>
        </w:tc>
      </w:tr>
      <w:tr w14:paraId="2E4B9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32518">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99F39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ADFA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C624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33775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问诊时段分析： 按小时分析一天内问诊量分布，识别高峰与低谷，为医生排班提供依据；</w:t>
            </w:r>
          </w:p>
        </w:tc>
      </w:tr>
      <w:tr w14:paraId="7120D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00A7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9B0C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A1DB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C5E4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D1D80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问诊转化分析：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1.问诊-处方转化率： （产生处方的问诊数 / 总有效问诊数） * 100%；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2.处方-支付转化率： （已支付的处方单数 / 总开具处方单数） * 100%；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3.线上转线下转化率；</w:t>
            </w:r>
          </w:p>
        </w:tc>
      </w:tr>
      <w:tr w14:paraId="51D58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5565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7E3E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CA422">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1E25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处方与药品业务分析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D94CD7">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处方分析：处方量与处方率： 统计总处方量及处方占总问诊的比例。</w:t>
            </w:r>
          </w:p>
        </w:tc>
      </w:tr>
      <w:tr w14:paraId="74E15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57318">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8649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5787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8445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B47F0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处方客单价： 总药品销售额 / 总处方数。</w:t>
            </w:r>
          </w:p>
        </w:tc>
      </w:tr>
      <w:tr w14:paraId="3838F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ECBF8">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0C87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4C7B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3E6A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87DF6E">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电子处方审核分析： 统计处方审核通过率、驳回率及驳回原因分布。</w:t>
            </w:r>
          </w:p>
        </w:tc>
      </w:tr>
      <w:tr w14:paraId="0E3D8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3F2D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7B5F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B631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88A5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889352">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药品销售分析：按日/周/月统计药品销售额（院内购药及流转药品）、比率及趋势；</w:t>
            </w:r>
          </w:p>
        </w:tc>
      </w:tr>
      <w:tr w14:paraId="24253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3AD5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1F5E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1ED43">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5484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患者多维度分析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F325C6">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基础属性： 年龄、性别、地域分布、医保类型等构成的用户结构图。</w:t>
            </w:r>
          </w:p>
        </w:tc>
      </w:tr>
      <w:tr w14:paraId="042C8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C6DF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B4E3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45D2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E51E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A1311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就诊行为分析：复诊率计算： （复诊患者数 / 总就诊患者数） * 100%。需建立明确的复诊判定规则，即患者因同一诊断的疾病再次就诊。</w:t>
            </w:r>
          </w:p>
        </w:tc>
      </w:tr>
      <w:tr w14:paraId="5318C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E4DF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51FF0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452C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54A2F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35FF5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满意度与体验分析：按医生、科室、问诊类型等多维度统计患者满意度评分。</w:t>
            </w:r>
          </w:p>
        </w:tc>
      </w:tr>
      <w:tr w14:paraId="7D980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68A7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7683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24C9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0EA4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88B8A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投诉分析： 统计投诉数量、类型（服务态度、诊疗效果、药品问题等）、处理时效，并定位高投诉率的医生或科室。</w:t>
            </w:r>
          </w:p>
        </w:tc>
      </w:tr>
      <w:tr w14:paraId="42BE9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7425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40EA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ADA48">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9AAD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医生多维度分析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DD447B">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基础信息： 职称、科室、从业年限、教育背景等静态信息分布。</w:t>
            </w:r>
          </w:p>
        </w:tc>
      </w:tr>
      <w:tr w14:paraId="36303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2339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2B26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65AB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28E6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00ED4F">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接诊量分析： 按日/周/月统计每位医生的总接诊量、图文/视频接诊量，并进行排名和趋势分析。</w:t>
            </w:r>
          </w:p>
        </w:tc>
      </w:tr>
      <w:tr w14:paraId="0F51D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CEA86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DE27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ECF9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ECE2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3F27A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服务时长分析： 统计医生在线时长、平均接诊响应时长、平均单次问诊服务时长。</w:t>
            </w:r>
          </w:p>
        </w:tc>
      </w:tr>
      <w:tr w14:paraId="4E6E9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0B02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F82C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D17B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ADC2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5BFC5E">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工作饱和度分析： （医生总服务时长 / 医生总在线时长） * 100%，评估医生资源利用率。</w:t>
            </w:r>
          </w:p>
        </w:tc>
      </w:tr>
      <w:tr w14:paraId="5A468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3474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93A2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2E83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A32C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A202B8">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诊疗质量： 统计医生的患者平均满意度、好评率、投诉率、复诊率。</w:t>
            </w:r>
          </w:p>
        </w:tc>
      </w:tr>
      <w:tr w14:paraId="5B1E4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7FB5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2C41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FDB9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058C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02BD9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处方质量： 统计医生的处方率、处方审核通过率、客单价</w:t>
            </w:r>
          </w:p>
        </w:tc>
      </w:tr>
      <w:tr w14:paraId="43D44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AF05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22BA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940D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7386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FEE5FF">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收入贡献： 统计每位医生带来的问诊收入、药品收入，并进行排名。</w:t>
            </w:r>
          </w:p>
        </w:tc>
      </w:tr>
      <w:tr w14:paraId="5EBA3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A3D6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6730A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97E19">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3437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科室运营分析模块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7DF35B">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核心指标排名： 对各科室的问诊量、处方量、收入、患者满意度、平均候诊时长等核心指标进行排名比较。</w:t>
            </w:r>
          </w:p>
        </w:tc>
      </w:tr>
      <w:tr w14:paraId="275B2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D95D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D510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803C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94D2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CDF8B8">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工作效率对比： 对比各科室的人均接诊量、人均创收等指标。</w:t>
            </w:r>
          </w:p>
        </w:tc>
      </w:tr>
      <w:tr w14:paraId="4975D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18D4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82AE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157A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A742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1D6E9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科室病种谱： 分析各科室接诊量排名前10的病种及其占比，了解各科室的线上服务优势领域。</w:t>
            </w:r>
          </w:p>
        </w:tc>
      </w:tr>
      <w:tr w14:paraId="1E47F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42A3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CCE1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045A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32AA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9701F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患者来源分析： 分析各科室患者的地域分布、年龄结构等，为精准营销提供依据。</w:t>
            </w:r>
          </w:p>
        </w:tc>
      </w:tr>
      <w:tr w14:paraId="79126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4D46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7872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A858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676B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5C5DC8">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对比各科室的医生投入数量、排班时长与产生的业务量和收入，评估线上业务的投入产出比（ROI）。</w:t>
            </w:r>
          </w:p>
        </w:tc>
      </w:tr>
      <w:tr w14:paraId="3E8E6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12D88">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83F9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D7D54">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FCBC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运营漏斗分析模块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25E99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问诊-支付漏斗： 首页/科室列表页 &gt; 医生主页 &gt; 发起问诊（提交主诉）  &gt; 选择服务类型 -&gt; 确认支付 -&gt; 支付成功。</w:t>
            </w:r>
          </w:p>
        </w:tc>
      </w:tr>
      <w:tr w14:paraId="1DAA9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E2A6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55AF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E485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2557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57166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处方-购药漏斗： 收到处方提醒 &gt; 查看处方详情 &gt; 选择药店 &gt; 确认订单 &gt; 支付成功。</w:t>
            </w:r>
          </w:p>
        </w:tc>
      </w:tr>
      <w:tr w14:paraId="3810C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E3DD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66DC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46DF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A61F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7A72C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漏斗可视化： 以形象的漏斗图展示每个节点的转化率和流失率。</w:t>
            </w:r>
          </w:p>
        </w:tc>
      </w:tr>
      <w:tr w14:paraId="1AF21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9577C">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F201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数据安全</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86C8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数据加密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454A5F">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对传输和存储的用户敏感数据（如身份证、手机号）采用强加密算法（如AES-256）进行加密。</w:t>
            </w:r>
          </w:p>
        </w:tc>
      </w:tr>
      <w:tr w14:paraId="660D9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5ADA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F36C5">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6481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数据脱敏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576F7F">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在数据展示和分析环节，对敏感信息进行脱敏处理。</w:t>
            </w:r>
          </w:p>
        </w:tc>
      </w:tr>
      <w:tr w14:paraId="38D25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62BD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25CA0C">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AF45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数据日志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522EB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记录所有数据访问、操作行为。</w:t>
            </w:r>
          </w:p>
        </w:tc>
      </w:tr>
      <w:tr w14:paraId="026A2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37DC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服务能力升级</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B803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消息中心（升级）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185FFE">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（1）与HIS、互联网医院及其他相关业务系统对接接口，实现独立模块及入口，为用户提供统一入口及消息的统一管理；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（2）消息中心分为2大类型：在线沟通及通知中心；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（3）在线沟通主要是用来接收互联网医院的医患沟通信息，并点击可打开医患沟通窗口；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（4）通知中心把消息分成三个类型，分别是重要通知、服务通知和待办提醒，也可以通过全部通知查看所有类型的通知；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（5）通知中心可接收如下消息：建卡成功通知、预约成功通知、停诊通知、候诊签到通知、抽血签到通知、报告出具提醒、缴费通知、取药通知、开具住院证通知、床位通知、手术通知、出院通知；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（6）有新的消息，提供以小红点的方式提供用户，并在小红点中显示具体的条数；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（7）通知中心提供一键全部已读功能，设置所有未读的通知中心的消息设置成已读；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（8）提供消息发送日志，并支持按照类型和时间范围进行筛选。</w:t>
            </w:r>
          </w:p>
        </w:tc>
      </w:tr>
      <w:tr w14:paraId="1640A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24ED7">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F3FD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自助开单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666D1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（1）查询医院支持的自助检验、检查项目查询；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（2）预约成功后进行在线缴费；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（3）提供消息通知提醒，包括预约成功、待缴费、支付成功提醒等场景。</w:t>
            </w:r>
          </w:p>
        </w:tc>
      </w:tr>
      <w:tr w14:paraId="46682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AEDEA">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A8CF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医保指引（升级）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59C05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支持4个可启用的目录，点击相应的目录可查看相关的医保指引；提供管理后台对医保指引进行修改发布。</w:t>
            </w:r>
          </w:p>
        </w:tc>
      </w:tr>
      <w:tr w14:paraId="0FB4D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B8A4E">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BB06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消息配置面板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C18E9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（1）实现独立入口，提供用户可以自主设置消息的接收；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（2）实现现有消息通知列表，并且每一个消息通知都有开关键；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（3）用户设置为关，则不接收该通知；用户设置为开，则接收该通知；系统跟进用户设置，会自主判断是否给用户发送该通知；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（4）无论用户设置开或者关，消息都会进入消息中心，只是设置为开，则会以模板消息通知给到用户，作为强提醒。</w:t>
            </w:r>
          </w:p>
        </w:tc>
      </w:tr>
      <w:tr w14:paraId="24089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E999B">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2EC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取药签到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C1C2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提供独立入口和模块，实现患者在线取药签到。</w:t>
            </w:r>
          </w:p>
        </w:tc>
      </w:tr>
      <w:tr w14:paraId="5875C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45259">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0225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物价查询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4AAD9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（1）支持与医院系统对接，可实时查询物价信息；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（2）支持按院内药品、卫材、手术、检查等费用类别查询；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（3）提供搜索功能，可根据收费项目名称查询；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（4）支持查看收费项目详情，如收费名称、规格型号、单位、价格等信息。</w:t>
            </w:r>
          </w:p>
        </w:tc>
      </w:tr>
      <w:tr w14:paraId="79C35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A92CE">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AC94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检验检查注意事项（升级）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AD43B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（1）与HIS对接接口，实现独立模块，提供用户缴费完且有检查时推送相应注意事项消息通知；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（2）实现检查注意事项消息通知进入消息中心，同时系统会检测消息配置自主判断是否发送模板消息；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（3）实现用户点击消息，跳转到独立页面并展示该检查项目的注意事项。</w:t>
            </w:r>
          </w:p>
        </w:tc>
      </w:tr>
      <w:tr w14:paraId="2D4B9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DE69B">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AF21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投诉建议（升级）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7D53F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（1）与投诉系统对接接口，实现独立模块与入口，提供在线投诉功能；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（2）提供用户在线填写投诉内容，支持投诉信息同步给到投诉系统；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（3）支持用户提交后，可以查询历史投诉列表及详情；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（4）支持管理人员查看在线投诉列表，并可以根据科室、医生、日期进行筛选；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（5）支持投诉处理结果消息通知；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（6）支持在投诉详情中展示处理结果；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（7）支持用户对于处理结果进行评价，如满意、一般和不满意。</w:t>
            </w:r>
          </w:p>
        </w:tc>
      </w:tr>
    </w:tbl>
    <w:p w14:paraId="5A4BE8D5">
      <w:pP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default" w:ascii="宋体" w:hAnsi="宋体" w:eastAsia="宋体" w:cs="宋体"/>
          <w:sz w:val="28"/>
          <w:szCs w:val="28"/>
          <w:lang w:val="en-US" w:eastAsia="zh-CN"/>
        </w:rPr>
        <w:t>商务要求</w:t>
      </w:r>
    </w:p>
    <w:p w14:paraId="3464F5DA">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w:t>
      </w:r>
      <w:r>
        <w:rPr>
          <w:rFonts w:hint="eastAsia" w:ascii="Arial" w:hAnsi="Arial" w:cs="Arial"/>
          <w:b w:val="0"/>
          <w:bCs w:val="0"/>
          <w:sz w:val="18"/>
          <w:szCs w:val="18"/>
          <w:highlight w:val="none"/>
          <w:lang w:val="en-US" w:eastAsia="zh-CN"/>
        </w:rPr>
        <w:t>1</w:t>
      </w:r>
      <w:r>
        <w:rPr>
          <w:rFonts w:hint="default" w:ascii="Arial" w:hAnsi="Arial" w:cs="Arial"/>
          <w:b w:val="0"/>
          <w:bCs w:val="0"/>
          <w:sz w:val="18"/>
          <w:szCs w:val="18"/>
          <w:highlight w:val="none"/>
          <w:lang w:val="en-US" w:eastAsia="zh-CN"/>
        </w:rPr>
        <w:t>）售后服务要求：</w:t>
      </w:r>
    </w:p>
    <w:p w14:paraId="1CD187A8">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1、按国家有关产品“三包”规定执行“三包”，提供≥3年维保服务</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维保到期以后每年的维保费用</w:t>
      </w:r>
      <w:r>
        <w:rPr>
          <w:rFonts w:hint="eastAsia" w:ascii="Arial" w:hAnsi="Arial" w:cs="Arial"/>
          <w:b w:val="0"/>
          <w:bCs w:val="0"/>
          <w:sz w:val="18"/>
          <w:szCs w:val="18"/>
          <w:highlight w:val="none"/>
          <w:lang w:val="en-US" w:eastAsia="zh-CN"/>
        </w:rPr>
        <w:t>不超过</w:t>
      </w:r>
      <w:r>
        <w:rPr>
          <w:rFonts w:hint="default" w:ascii="Arial" w:hAnsi="Arial" w:cs="Arial"/>
          <w:b w:val="0"/>
          <w:bCs w:val="0"/>
          <w:sz w:val="18"/>
          <w:szCs w:val="18"/>
          <w:highlight w:val="none"/>
          <w:lang w:val="en-US" w:eastAsia="zh-CN"/>
        </w:rPr>
        <w:t>合同总额的5%。</w:t>
      </w:r>
    </w:p>
    <w:p w14:paraId="4035B0A1">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eastAsia"/>
          <w:sz w:val="18"/>
          <w:szCs w:val="18"/>
          <w:lang w:val="en-US" w:eastAsia="zh-CN"/>
        </w:rPr>
      </w:pPr>
      <w:r>
        <w:rPr>
          <w:rFonts w:hint="default" w:ascii="Arial" w:hAnsi="Arial" w:cs="Arial"/>
          <w:b w:val="0"/>
          <w:bCs w:val="0"/>
          <w:sz w:val="18"/>
          <w:szCs w:val="18"/>
          <w:highlight w:val="none"/>
          <w:lang w:val="en-US" w:eastAsia="zh-CN"/>
        </w:rPr>
        <w:t>2、送货上门、免费技术培训（须提供详细的项目培训计划；对系统使用人员、系统运行维护管理人员等不同对象的培训计划；培训课程安排、培训方式及时间；地点场所由采购人提供；提供系统操作培训：主要面向医院医务人员及相关管理部门等使用系统的人员，提供操作培训；提供系统日常维护系统培训：主要面向医院信息管理技术人员进行培训，使其具备独立进行系统日常维护、故障的诊断与处理等方面的培训）</w:t>
      </w:r>
      <w:r>
        <w:rPr>
          <w:rFonts w:hint="eastAsia"/>
          <w:sz w:val="18"/>
          <w:szCs w:val="18"/>
          <w:lang w:val="en-US" w:eastAsia="zh-CN"/>
        </w:rPr>
        <w:t>相关费用包括在投标报价中，采购人不再另行支付。</w:t>
      </w:r>
    </w:p>
    <w:p w14:paraId="50E037C3">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3、提供3年的7*24小时售后技术服务，维保期内均提供上门维护、升级服务，故障响应时间：</w:t>
      </w:r>
      <w:r>
        <w:rPr>
          <w:rFonts w:hint="eastAsia" w:ascii="Arial" w:hAnsi="Arial" w:cs="Arial"/>
          <w:b w:val="0"/>
          <w:bCs w:val="0"/>
          <w:sz w:val="18"/>
          <w:szCs w:val="18"/>
          <w:highlight w:val="none"/>
          <w:lang w:val="en-US" w:eastAsia="zh-CN"/>
        </w:rPr>
        <w:t>1</w:t>
      </w:r>
      <w:r>
        <w:rPr>
          <w:rFonts w:hint="default" w:ascii="Arial" w:hAnsi="Arial" w:cs="Arial"/>
          <w:b w:val="0"/>
          <w:bCs w:val="0"/>
          <w:sz w:val="18"/>
          <w:szCs w:val="18"/>
          <w:highlight w:val="none"/>
          <w:lang w:val="en-US" w:eastAsia="zh-CN"/>
        </w:rPr>
        <w:t>小时内进行响应，</w:t>
      </w:r>
      <w:r>
        <w:rPr>
          <w:rFonts w:hint="eastAsia" w:ascii="Arial" w:hAnsi="Arial" w:cs="Arial"/>
          <w:b w:val="0"/>
          <w:bCs w:val="0"/>
          <w:sz w:val="18"/>
          <w:szCs w:val="18"/>
          <w:highlight w:val="none"/>
          <w:lang w:val="en-US" w:eastAsia="zh-CN"/>
        </w:rPr>
        <w:t>6</w:t>
      </w:r>
      <w:r>
        <w:rPr>
          <w:rFonts w:hint="default" w:ascii="Arial" w:hAnsi="Arial" w:cs="Arial"/>
          <w:b w:val="0"/>
          <w:bCs w:val="0"/>
          <w:sz w:val="18"/>
          <w:szCs w:val="18"/>
          <w:highlight w:val="none"/>
          <w:lang w:val="en-US" w:eastAsia="zh-CN"/>
        </w:rPr>
        <w:t>小时以内以内解决问题</w:t>
      </w:r>
      <w:r>
        <w:rPr>
          <w:rFonts w:hint="eastAsia" w:ascii="Arial" w:hAnsi="Arial" w:cs="Arial"/>
          <w:b w:val="0"/>
          <w:bCs w:val="0"/>
          <w:sz w:val="18"/>
          <w:szCs w:val="18"/>
          <w:highlight w:val="none"/>
          <w:lang w:val="en-US" w:eastAsia="zh-CN"/>
        </w:rPr>
        <w:t>，</w:t>
      </w:r>
      <w:r>
        <w:rPr>
          <w:rFonts w:hint="eastAsia" w:ascii="宋体" w:hAnsi="宋体" w:eastAsia="宋体" w:cs="宋体"/>
          <w:sz w:val="18"/>
          <w:szCs w:val="18"/>
          <w:lang w:val="en-US" w:eastAsia="zh-CN"/>
        </w:rPr>
        <w:t>并负责上门维护(不收取任何费用）</w:t>
      </w:r>
      <w:r>
        <w:rPr>
          <w:rFonts w:hint="default" w:ascii="Arial" w:hAnsi="Arial" w:cs="Arial"/>
          <w:b w:val="0"/>
          <w:bCs w:val="0"/>
          <w:sz w:val="18"/>
          <w:szCs w:val="18"/>
          <w:highlight w:val="none"/>
          <w:lang w:val="en-US" w:eastAsia="zh-CN"/>
        </w:rPr>
        <w:t>。包括升级、功能完善、故障排除、性能调优、技术咨询等。相关费用包括在投标报价中，采购人不再另行支付。</w:t>
      </w:r>
    </w:p>
    <w:p w14:paraId="236D0CD4">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w:t>
      </w:r>
      <w:r>
        <w:rPr>
          <w:rFonts w:hint="eastAsia" w:ascii="Arial" w:hAnsi="Arial" w:cs="Arial"/>
          <w:b w:val="0"/>
          <w:bCs w:val="0"/>
          <w:sz w:val="18"/>
          <w:szCs w:val="18"/>
          <w:highlight w:val="none"/>
          <w:lang w:val="en-US" w:eastAsia="zh-CN"/>
        </w:rPr>
        <w:t>2</w:t>
      </w:r>
      <w:r>
        <w:rPr>
          <w:rFonts w:hint="default" w:ascii="Arial" w:hAnsi="Arial" w:cs="Arial"/>
          <w:b w:val="0"/>
          <w:bCs w:val="0"/>
          <w:sz w:val="18"/>
          <w:szCs w:val="18"/>
          <w:highlight w:val="none"/>
          <w:lang w:val="en-US" w:eastAsia="zh-CN"/>
        </w:rPr>
        <w:t>）交付期及地点:</w:t>
      </w:r>
    </w:p>
    <w:p w14:paraId="685C18CD">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1</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交付期：自签订合同之日起</w:t>
      </w:r>
      <w:r>
        <w:rPr>
          <w:rFonts w:hint="eastAsia" w:ascii="Arial" w:hAnsi="Arial" w:cs="Arial"/>
          <w:b w:val="0"/>
          <w:bCs w:val="0"/>
          <w:sz w:val="18"/>
          <w:szCs w:val="18"/>
          <w:highlight w:val="none"/>
          <w:lang w:val="en-US" w:eastAsia="zh-CN"/>
        </w:rPr>
        <w:t>6</w:t>
      </w:r>
      <w:r>
        <w:rPr>
          <w:rFonts w:hint="default" w:ascii="Arial" w:hAnsi="Arial" w:cs="Arial"/>
          <w:b w:val="0"/>
          <w:bCs w:val="0"/>
          <w:sz w:val="18"/>
          <w:szCs w:val="18"/>
          <w:highlight w:val="none"/>
          <w:lang w:val="en-US" w:eastAsia="zh-CN"/>
        </w:rPr>
        <w:t>0日历日内验收合格并交付采购人使用。</w:t>
      </w:r>
    </w:p>
    <w:p w14:paraId="03663AA0">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2</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交付地点：</w:t>
      </w:r>
      <w:r>
        <w:rPr>
          <w:rFonts w:hint="eastAsia" w:ascii="Arial" w:hAnsi="Arial" w:cs="Arial"/>
          <w:b w:val="0"/>
          <w:bCs w:val="0"/>
          <w:sz w:val="18"/>
          <w:szCs w:val="18"/>
          <w:highlight w:val="none"/>
          <w:lang w:val="en-US" w:eastAsia="zh-CN"/>
        </w:rPr>
        <w:t>广西桂林市采购人</w:t>
      </w:r>
      <w:r>
        <w:rPr>
          <w:rFonts w:hint="default" w:ascii="Arial" w:hAnsi="Arial" w:cs="Arial"/>
          <w:b w:val="0"/>
          <w:bCs w:val="0"/>
          <w:sz w:val="18"/>
          <w:szCs w:val="18"/>
          <w:highlight w:val="none"/>
          <w:lang w:val="en-US" w:eastAsia="zh-CN"/>
        </w:rPr>
        <w:t>指定地点。</w:t>
      </w:r>
    </w:p>
    <w:p w14:paraId="11F0F23C">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w:t>
      </w:r>
      <w:r>
        <w:rPr>
          <w:rFonts w:hint="eastAsia" w:ascii="Arial" w:hAnsi="Arial" w:cs="Arial"/>
          <w:b w:val="0"/>
          <w:bCs w:val="0"/>
          <w:sz w:val="18"/>
          <w:szCs w:val="18"/>
          <w:highlight w:val="none"/>
          <w:lang w:val="en-US" w:eastAsia="zh-CN"/>
        </w:rPr>
        <w:t>3</w:t>
      </w:r>
      <w:r>
        <w:rPr>
          <w:rFonts w:hint="default" w:ascii="Arial" w:hAnsi="Arial" w:cs="Arial"/>
          <w:b w:val="0"/>
          <w:bCs w:val="0"/>
          <w:sz w:val="18"/>
          <w:szCs w:val="18"/>
          <w:highlight w:val="none"/>
          <w:lang w:val="en-US" w:eastAsia="zh-CN"/>
        </w:rPr>
        <w:t>）付款方式：</w:t>
      </w:r>
    </w:p>
    <w:p w14:paraId="368A8E7A">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1、付款方式：合同签订之后，</w:t>
      </w:r>
      <w:r>
        <w:rPr>
          <w:rFonts w:hint="eastAsia" w:ascii="Arial" w:hAnsi="Arial" w:cs="Arial"/>
          <w:b w:val="0"/>
          <w:bCs w:val="0"/>
          <w:sz w:val="18"/>
          <w:szCs w:val="18"/>
          <w:highlight w:val="none"/>
          <w:lang w:val="en-US" w:eastAsia="zh-CN"/>
        </w:rPr>
        <w:t>中标供应商</w:t>
      </w:r>
      <w:r>
        <w:rPr>
          <w:rFonts w:hint="default" w:ascii="Arial" w:hAnsi="Arial" w:cs="Arial"/>
          <w:b w:val="0"/>
          <w:bCs w:val="0"/>
          <w:sz w:val="18"/>
          <w:szCs w:val="18"/>
          <w:highlight w:val="none"/>
          <w:lang w:val="en-US" w:eastAsia="zh-CN"/>
        </w:rPr>
        <w:t>将尽快安排入场安装，自验收合格（培训指导完成、设备、软件正式使用）收到正规等额、有效发票之日起60个工作日后支付合同价款的95%，合同价款的5%作为履约保证金，质保期届满且</w:t>
      </w:r>
      <w:r>
        <w:rPr>
          <w:rFonts w:hint="eastAsia" w:ascii="Arial" w:hAnsi="Arial" w:cs="Arial"/>
          <w:b w:val="0"/>
          <w:bCs w:val="0"/>
          <w:sz w:val="18"/>
          <w:szCs w:val="18"/>
          <w:highlight w:val="none"/>
          <w:lang w:val="en-US" w:eastAsia="zh-CN"/>
        </w:rPr>
        <w:t>中标供应商</w:t>
      </w:r>
      <w:r>
        <w:rPr>
          <w:rFonts w:hint="default" w:ascii="Arial" w:hAnsi="Arial" w:cs="Arial"/>
          <w:b w:val="0"/>
          <w:bCs w:val="0"/>
          <w:sz w:val="18"/>
          <w:szCs w:val="18"/>
          <w:highlight w:val="none"/>
          <w:lang w:val="en-US" w:eastAsia="zh-CN"/>
        </w:rPr>
        <w:t>全面履行合同义务后30个工作日后付清（无息）。合同维保到期以后每年的维保费用不超过合同总额的5%，维保协议双方另行签订。</w:t>
      </w:r>
    </w:p>
    <w:p w14:paraId="50EA7D87">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2、中标人申请款项时需同时开具正式足额发票给</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，否则</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可以拒绝付款。</w:t>
      </w:r>
    </w:p>
    <w:p w14:paraId="1514D5E2">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w:t>
      </w:r>
      <w:r>
        <w:rPr>
          <w:rFonts w:hint="eastAsia" w:ascii="Arial" w:hAnsi="Arial" w:cs="Arial"/>
          <w:b w:val="0"/>
          <w:bCs w:val="0"/>
          <w:sz w:val="18"/>
          <w:szCs w:val="18"/>
          <w:highlight w:val="none"/>
          <w:lang w:val="en-US" w:eastAsia="zh-CN"/>
        </w:rPr>
        <w:t>4</w:t>
      </w:r>
      <w:r>
        <w:rPr>
          <w:rFonts w:hint="default" w:ascii="Arial" w:hAnsi="Arial" w:cs="Arial"/>
          <w:b w:val="0"/>
          <w:bCs w:val="0"/>
          <w:sz w:val="18"/>
          <w:szCs w:val="18"/>
          <w:highlight w:val="none"/>
          <w:lang w:val="en-US" w:eastAsia="zh-CN"/>
        </w:rPr>
        <w:t>）包装和运输：</w:t>
      </w:r>
    </w:p>
    <w:p w14:paraId="7C6D1DE5">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1</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原厂原包装，包装完好完整、无破损、未开封。</w:t>
      </w:r>
    </w:p>
    <w:p w14:paraId="14F8FC3D">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2</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包装及运输方式应综合考虑运输距离、防潮、防震、防锈和防破损装卸等要求，以保证标的安全运达</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指定地点。国家对包装及运输有相关强制性标准或要求的，中标人应当执行。</w:t>
      </w:r>
    </w:p>
    <w:p w14:paraId="5ECEC7EA">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3</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产品（含包装）运抵</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指定交付地点前发生损坏以及全部风险和责任均由中标人负责。</w:t>
      </w:r>
    </w:p>
    <w:p w14:paraId="7692F850">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w:t>
      </w:r>
      <w:r>
        <w:rPr>
          <w:rFonts w:hint="eastAsia" w:ascii="Arial" w:hAnsi="Arial" w:cs="Arial"/>
          <w:b w:val="0"/>
          <w:bCs w:val="0"/>
          <w:sz w:val="18"/>
          <w:szCs w:val="18"/>
          <w:highlight w:val="none"/>
          <w:lang w:val="en-US" w:eastAsia="zh-CN"/>
        </w:rPr>
        <w:t>5</w:t>
      </w:r>
      <w:r>
        <w:rPr>
          <w:rFonts w:hint="default" w:ascii="Arial" w:hAnsi="Arial" w:cs="Arial"/>
          <w:b w:val="0"/>
          <w:bCs w:val="0"/>
          <w:sz w:val="18"/>
          <w:szCs w:val="18"/>
          <w:highlight w:val="none"/>
          <w:lang w:val="en-US" w:eastAsia="zh-CN"/>
        </w:rPr>
        <w:t>）验收标准：</w:t>
      </w:r>
    </w:p>
    <w:p w14:paraId="703AAD35">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1</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投标人提供的产品必须符合国家强制执行的相关质量标准要求以及产品制造厂家合格产品的出厂质量标准。</w:t>
      </w:r>
    </w:p>
    <w:p w14:paraId="0914C785">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2</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产品需全新、完好、无破损，产品到货交付后，</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将根据招标文件要求及投标文件承诺逐条对应进行核验，必要时，</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有权邀请国家质量监督检验部门或国家认可的检测机构参与共同验收。如产品不满足招标文件要求、投标文件承诺或国家强制执行的相关质量标准要求以及产品制造厂家合格产品的出厂质量标准，</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有权不予验收，由此造成</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的经济损失由中标人承担全部赔偿责任，验收时所产生的一切费用由中标供应商承担。</w:t>
      </w:r>
    </w:p>
    <w:p w14:paraId="61D82319">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3、项目完成系统建设内容，经稳定运行一周以上可提出验收，中标人按医院信息化项目管理制度要求提供有关材料，由</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组织现场验收。</w:t>
      </w:r>
    </w:p>
    <w:p w14:paraId="6D5D24F5">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w:t>
      </w:r>
      <w:r>
        <w:rPr>
          <w:rFonts w:hint="eastAsia" w:ascii="Arial" w:hAnsi="Arial" w:cs="Arial"/>
          <w:b w:val="0"/>
          <w:bCs w:val="0"/>
          <w:sz w:val="18"/>
          <w:szCs w:val="18"/>
          <w:highlight w:val="none"/>
          <w:lang w:val="en-US" w:eastAsia="zh-CN"/>
        </w:rPr>
        <w:t>6</w:t>
      </w:r>
      <w:r>
        <w:rPr>
          <w:rFonts w:hint="default" w:ascii="Arial" w:hAnsi="Arial" w:cs="Arial"/>
          <w:b w:val="0"/>
          <w:bCs w:val="0"/>
          <w:sz w:val="18"/>
          <w:szCs w:val="18"/>
          <w:highlight w:val="none"/>
          <w:lang w:val="en-US" w:eastAsia="zh-CN"/>
        </w:rPr>
        <w:t>）其他要求：</w:t>
      </w:r>
    </w:p>
    <w:p w14:paraId="54DEE668">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1、本项目所提供的软件必须具有合法的版权或使用权，如在本项目范围内使用过程中出现版权或使用权纠纷，应由中标人负责。</w:t>
      </w:r>
    </w:p>
    <w:p w14:paraId="481EECF3">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2、本项目所提供的软件必须提供由国家认可的有资质的第三方软件测试机构出具的产品代码审计报告，要求系统不存在高危漏洞及安全隐患，否则，不予验收。</w:t>
      </w:r>
    </w:p>
    <w:p w14:paraId="19DD86E2">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3、本项目采购预算金额为（人民币</w:t>
      </w:r>
      <w:r>
        <w:rPr>
          <w:rFonts w:hint="eastAsia" w:ascii="Arial" w:hAnsi="Arial" w:cs="Arial"/>
          <w:b w:val="0"/>
          <w:bCs w:val="0"/>
          <w:color w:val="FF0000"/>
          <w:sz w:val="18"/>
          <w:szCs w:val="18"/>
          <w:highlight w:val="none"/>
          <w:lang w:val="en-US" w:eastAsia="zh-CN"/>
        </w:rPr>
        <w:t>玖拾捌万玖仟</w:t>
      </w:r>
      <w:r>
        <w:rPr>
          <w:rFonts w:hint="default" w:ascii="Arial" w:hAnsi="Arial" w:cs="Arial"/>
          <w:b w:val="0"/>
          <w:bCs w:val="0"/>
          <w:color w:val="FF0000"/>
          <w:sz w:val="18"/>
          <w:szCs w:val="18"/>
          <w:highlight w:val="none"/>
          <w:lang w:val="en-US" w:eastAsia="zh-CN"/>
        </w:rPr>
        <w:t>元整）：</w:t>
      </w:r>
      <w:r>
        <w:rPr>
          <w:rFonts w:hint="eastAsia" w:ascii="Arial" w:hAnsi="Arial" w:cs="Arial"/>
          <w:b w:val="0"/>
          <w:bCs w:val="0"/>
          <w:color w:val="FF0000"/>
          <w:sz w:val="18"/>
          <w:szCs w:val="18"/>
          <w:highlight w:val="none"/>
          <w:lang w:val="en-US" w:eastAsia="zh-CN"/>
        </w:rPr>
        <w:t>¥989</w:t>
      </w:r>
      <w:r>
        <w:rPr>
          <w:rFonts w:hint="default" w:ascii="Arial" w:hAnsi="Arial" w:cs="Arial"/>
          <w:b w:val="0"/>
          <w:bCs w:val="0"/>
          <w:color w:val="FF0000"/>
          <w:sz w:val="18"/>
          <w:szCs w:val="18"/>
          <w:highlight w:val="none"/>
          <w:lang w:val="en-US" w:eastAsia="zh-CN"/>
        </w:rPr>
        <w:t>000元</w:t>
      </w:r>
      <w:r>
        <w:rPr>
          <w:rFonts w:hint="default" w:ascii="Arial" w:hAnsi="Arial" w:cs="Arial"/>
          <w:b w:val="0"/>
          <w:bCs w:val="0"/>
          <w:sz w:val="18"/>
          <w:szCs w:val="18"/>
          <w:highlight w:val="none"/>
          <w:lang w:val="en-US" w:eastAsia="zh-CN"/>
        </w:rPr>
        <w:t>，超出采购预算金额的投标报价将被视为无效投标处理。</w:t>
      </w:r>
    </w:p>
    <w:p w14:paraId="4CDC112D"/>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C1410"/>
    <w:rsid w:val="12670401"/>
    <w:rsid w:val="28AF7842"/>
    <w:rsid w:val="29F02881"/>
    <w:rsid w:val="2CA5144C"/>
    <w:rsid w:val="36DB20BF"/>
    <w:rsid w:val="3C287E0E"/>
    <w:rsid w:val="3EA763FA"/>
    <w:rsid w:val="4F4552D9"/>
    <w:rsid w:val="50B37461"/>
    <w:rsid w:val="5CD821BC"/>
    <w:rsid w:val="60FA0151"/>
    <w:rsid w:val="64667791"/>
    <w:rsid w:val="64DA1D6E"/>
    <w:rsid w:val="6B753270"/>
    <w:rsid w:val="7BA45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5"/>
    <w:semiHidden/>
    <w:unhideWhenUsed/>
    <w:qFormat/>
    <w:uiPriority w:val="0"/>
    <w:pPr>
      <w:keepNext/>
      <w:keepLines/>
      <w:ind w:firstLine="560" w:firstLineChars="200"/>
      <w:outlineLvl w:val="2"/>
    </w:pPr>
    <w:rPr>
      <w:rFonts w:ascii="Calibri" w:hAnsi="Calibri" w:eastAsia="宋体" w:cs="Times New Roman"/>
      <w:sz w:val="28"/>
      <w:szCs w:val="2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customStyle="1" w:styleId="5">
    <w:name w:val="标题 3 Char"/>
    <w:link w:val="2"/>
    <w:qFormat/>
    <w:uiPriority w:val="99"/>
    <w:rPr>
      <w:rFonts w:ascii="Calibri" w:hAnsi="Calibri"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8959</Words>
  <Characters>9115</Characters>
  <Lines>0</Lines>
  <Paragraphs>0</Paragraphs>
  <TotalTime>437</TotalTime>
  <ScaleCrop>false</ScaleCrop>
  <LinksUpToDate>false</LinksUpToDate>
  <CharactersWithSpaces>9241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2024-11-13T01:32:00Z</dcterms:created>
  <dc:creator>Administrator</dc:creator>
  <cp:lastModifiedBy>Samuel</cp:lastModifiedBy>
  <dcterms:modified xsi:type="dcterms:W3CDTF">2026-06-05T02:08:44Z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E18C8639019D41708215FE23DF45C012_12</vt:lpwstr>
  </property>
  <property fmtid="{D5CDD505-2E9C-101B-9397-08002B2CF9AE}" pid="4" name="KSOTemplateDocerSaveRecord">
    <vt:lpwstr>eyJoZGlkIjoiODJhZjYxNmNlMWQyYTI4MDdkNDQzYWM1MDViY2VlZTMiLCJ1c2VySWQiOiI0MzYyNDA5MDIifQ==</vt:lpwstr>
  </property>
</Properties>
</file>